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3, 2019 (May 2, 2019)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6960" w:type="dxa"/>
            <w:vAlign w:val="bottom"/>
          </w:tcPr>
          <w:p>
            <w:pPr>
              <w:jc w:val="center"/>
              <w:ind w:left="2910"/>
              <w:spacing w:after="0"/>
              <w:rPr>
                <w:sz w:val="20"/>
                <w:szCs w:val="20"/>
                <w:color w:val="auto"/>
              </w:rPr>
            </w:pPr>
            <w:r>
              <w:rPr>
                <w:rFonts w:ascii="Arial" w:cs="Arial" w:eastAsia="Arial" w:hAnsi="Arial"/>
                <w:sz w:val="18"/>
                <w:szCs w:val="18"/>
                <w:b w:val="1"/>
                <w:bCs w:val="1"/>
                <w:color w:val="auto"/>
                <w:w w:val="92"/>
              </w:rPr>
              <w:t>New York</w:t>
            </w:r>
          </w:p>
        </w:tc>
        <w:tc>
          <w:tcPr>
            <w:tcW w:w="1700" w:type="dxa"/>
            <w:vAlign w:val="bottom"/>
          </w:tcPr>
          <w:p>
            <w:pPr>
              <w:spacing w:after="0"/>
              <w:rPr>
                <w:sz w:val="18"/>
                <w:szCs w:val="18"/>
                <w:color w:val="auto"/>
              </w:rPr>
            </w:pPr>
          </w:p>
        </w:tc>
      </w:tr>
      <w:tr>
        <w:trPr>
          <w:trHeight w:val="216"/>
        </w:trPr>
        <w:tc>
          <w:tcPr>
            <w:tcW w:w="6960" w:type="dxa"/>
            <w:vAlign w:val="bottom"/>
          </w:tcPr>
          <w:p>
            <w:pPr>
              <w:jc w:val="center"/>
              <w:ind w:left="28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1700" w:type="dxa"/>
            <w:vAlign w:val="bottom"/>
          </w:tcPr>
          <w:p>
            <w:pPr>
              <w:spacing w:after="0"/>
              <w:rPr>
                <w:sz w:val="18"/>
                <w:szCs w:val="18"/>
                <w:color w:val="auto"/>
              </w:rPr>
            </w:pPr>
          </w:p>
        </w:tc>
      </w:tr>
      <w:tr>
        <w:trPr>
          <w:trHeight w:val="216"/>
        </w:trPr>
        <w:tc>
          <w:tcPr>
            <w:tcW w:w="6960" w:type="dxa"/>
            <w:vAlign w:val="bottom"/>
          </w:tcPr>
          <w:p>
            <w:pPr>
              <w:jc w:val="center"/>
              <w:ind w:right="2850"/>
              <w:spacing w:after="0"/>
              <w:rPr>
                <w:sz w:val="20"/>
                <w:szCs w:val="20"/>
                <w:color w:val="auto"/>
              </w:rPr>
            </w:pPr>
            <w:r>
              <w:rPr>
                <w:rFonts w:ascii="Arial" w:cs="Arial" w:eastAsia="Arial" w:hAnsi="Arial"/>
                <w:sz w:val="18"/>
                <w:szCs w:val="18"/>
                <w:b w:val="1"/>
                <w:bCs w:val="1"/>
                <w:color w:val="auto"/>
                <w:w w:val="90"/>
              </w:rPr>
              <w:t>000-19034</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13-3444607</w:t>
            </w:r>
          </w:p>
        </w:tc>
      </w:tr>
      <w:tr>
        <w:trPr>
          <w:trHeight w:val="216"/>
        </w:trPr>
        <w:tc>
          <w:tcPr>
            <w:tcW w:w="6960" w:type="dxa"/>
            <w:vAlign w:val="bottom"/>
          </w:tcPr>
          <w:p>
            <w:pPr>
              <w:jc w:val="center"/>
              <w:ind w:right="28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960" w:type="dxa"/>
            <w:vAlign w:val="bottom"/>
          </w:tcPr>
          <w:p>
            <w:pPr>
              <w:jc w:val="center"/>
              <w:ind w:right="28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960" w:type="dxa"/>
            <w:vAlign w:val="bottom"/>
          </w:tcPr>
          <w:p>
            <w:pPr>
              <w:jc w:val="center"/>
              <w:ind w:right="285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10591-6707</w:t>
            </w:r>
          </w:p>
        </w:tc>
      </w:tr>
      <w:tr>
        <w:trPr>
          <w:trHeight w:val="234"/>
        </w:trPr>
        <w:tc>
          <w:tcPr>
            <w:tcW w:w="696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70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360" w:type="dxa"/>
            <w:vAlign w:val="bottom"/>
            <w:tcBorders>
              <w:top w:val="single" w:sz="8" w:color="auto"/>
              <w:left w:val="single" w:sz="8" w:color="auto"/>
              <w:right w:val="single" w:sz="8" w:color="auto"/>
            </w:tcBorders>
          </w:tcPr>
          <w:p>
            <w:pPr>
              <w:spacing w:after="0"/>
              <w:rPr>
                <w:sz w:val="18"/>
                <w:szCs w:val="18"/>
                <w:color w:val="auto"/>
              </w:rPr>
            </w:pPr>
          </w:p>
        </w:tc>
        <w:tc>
          <w:tcPr>
            <w:tcW w:w="2400" w:type="dxa"/>
            <w:vAlign w:val="bottom"/>
            <w:tcBorders>
              <w:top w:val="single" w:sz="8" w:color="auto"/>
              <w:right w:val="single" w:sz="8" w:color="auto"/>
            </w:tcBorders>
          </w:tcPr>
          <w:p>
            <w:pPr>
              <w:spacing w:after="0"/>
              <w:rPr>
                <w:sz w:val="18"/>
                <w:szCs w:val="18"/>
                <w:color w:val="auto"/>
              </w:rPr>
            </w:pPr>
          </w:p>
        </w:tc>
        <w:tc>
          <w:tcPr>
            <w:tcW w:w="4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w:t>
            </w:r>
          </w:p>
        </w:tc>
      </w:tr>
      <w:tr>
        <w:trPr>
          <w:trHeight w:val="230"/>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on which registered</w:t>
            </w:r>
          </w:p>
        </w:tc>
      </w:tr>
      <w:tr>
        <w:trPr>
          <w:trHeight w:val="27"/>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REGN</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439"/>
        </w:trPr>
        <w:tc>
          <w:tcPr>
            <w:tcW w:w="4360" w:type="dxa"/>
            <w:vAlign w:val="bottom"/>
            <w:tcBorders>
              <w:bottom w:val="single" w:sz="8" w:color="A0A0A0"/>
            </w:tcBorders>
          </w:tcPr>
          <w:p>
            <w:pPr>
              <w:spacing w:after="0"/>
              <w:rPr>
                <w:sz w:val="24"/>
                <w:szCs w:val="24"/>
                <w:color w:val="auto"/>
              </w:rPr>
            </w:pPr>
          </w:p>
        </w:tc>
        <w:tc>
          <w:tcPr>
            <w:tcW w:w="2400" w:type="dxa"/>
            <w:vAlign w:val="bottom"/>
            <w:tcBorders>
              <w:bottom w:val="single" w:sz="8" w:color="A0A0A0"/>
            </w:tcBorders>
          </w:tcPr>
          <w:p>
            <w:pPr>
              <w:spacing w:after="0"/>
              <w:rPr>
                <w:sz w:val="24"/>
                <w:szCs w:val="24"/>
                <w:color w:val="auto"/>
              </w:rPr>
            </w:pPr>
          </w:p>
        </w:tc>
        <w:tc>
          <w:tcPr>
            <w:tcW w:w="4660" w:type="dxa"/>
            <w:vAlign w:val="bottom"/>
            <w:tcBorders>
              <w:bottom w:val="single" w:sz="8" w:color="A0A0A0"/>
            </w:tcBorders>
          </w:tcPr>
          <w:p>
            <w:pPr>
              <w:spacing w:after="0"/>
              <w:rPr>
                <w:sz w:val="24"/>
                <w:szCs w:val="24"/>
                <w:color w:val="auto"/>
              </w:rPr>
            </w:pPr>
          </w:p>
        </w:tc>
      </w:tr>
      <w:tr>
        <w:trPr>
          <w:trHeight w:val="277"/>
        </w:trPr>
        <w:tc>
          <w:tcPr>
            <w:tcW w:w="43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466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06"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On May 2, 2019,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and/or certain of its subsidiaries amended and restated (i) the Participation Agreement, dated as of March 3, 2017 (the “</w:t>
      </w:r>
      <w:r>
        <w:rPr>
          <w:rFonts w:ascii="Arial" w:cs="Arial" w:eastAsia="Arial" w:hAnsi="Arial"/>
          <w:sz w:val="17"/>
          <w:szCs w:val="17"/>
          <w:u w:val="single" w:color="auto"/>
          <w:color w:val="auto"/>
        </w:rPr>
        <w:t>Original Participation Agreement</w:t>
      </w:r>
      <w:r>
        <w:rPr>
          <w:rFonts w:ascii="Arial" w:cs="Arial" w:eastAsia="Arial" w:hAnsi="Arial"/>
          <w:sz w:val="17"/>
          <w:szCs w:val="17"/>
          <w:color w:val="auto"/>
        </w:rPr>
        <w:t>” and, as so amended and restated, the “</w:t>
      </w:r>
      <w:r>
        <w:rPr>
          <w:rFonts w:ascii="Arial" w:cs="Arial" w:eastAsia="Arial" w:hAnsi="Arial"/>
          <w:sz w:val="17"/>
          <w:szCs w:val="17"/>
          <w:u w:val="single" w:color="auto"/>
          <w:color w:val="auto"/>
        </w:rPr>
        <w:t>A&amp;R Participation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with Bank of America, N.A., as administrative agent, BA Leasing BSC, LLC, as lessor (in such capacity, the “</w:t>
      </w:r>
      <w:r>
        <w:rPr>
          <w:rFonts w:ascii="Arial" w:cs="Arial" w:eastAsia="Arial" w:hAnsi="Arial"/>
          <w:sz w:val="17"/>
          <w:szCs w:val="17"/>
          <w:u w:val="single" w:color="auto"/>
          <w:color w:val="auto"/>
        </w:rPr>
        <w:t>Lessor</w:t>
      </w:r>
      <w:r>
        <w:rPr>
          <w:rFonts w:ascii="Arial" w:cs="Arial" w:eastAsia="Arial" w:hAnsi="Arial"/>
          <w:sz w:val="17"/>
          <w:szCs w:val="17"/>
          <w:color w:val="auto"/>
        </w:rPr>
        <w:t>”), and a syndicate of lenders (collectively with the Lessor, the “</w:t>
      </w:r>
      <w:r>
        <w:rPr>
          <w:rFonts w:ascii="Arial" w:cs="Arial" w:eastAsia="Arial" w:hAnsi="Arial"/>
          <w:sz w:val="17"/>
          <w:szCs w:val="17"/>
          <w:u w:val="single" w:color="auto"/>
          <w:color w:val="auto"/>
        </w:rPr>
        <w:t>Participants</w:t>
      </w:r>
      <w:r>
        <w:rPr>
          <w:rFonts w:ascii="Arial" w:cs="Arial" w:eastAsia="Arial" w:hAnsi="Arial"/>
          <w:sz w:val="17"/>
          <w:szCs w:val="17"/>
          <w:color w:val="auto"/>
        </w:rPr>
        <w:t>”) and (ii) certain other related agreements that were previously entered into in March 2017 (collectively, the “</w:t>
      </w:r>
      <w:r>
        <w:rPr>
          <w:rFonts w:ascii="Arial" w:cs="Arial" w:eastAsia="Arial" w:hAnsi="Arial"/>
          <w:sz w:val="17"/>
          <w:szCs w:val="17"/>
          <w:u w:val="single" w:color="auto"/>
          <w:color w:val="auto"/>
        </w:rPr>
        <w:t>Original Agreements</w:t>
      </w:r>
      <w:r>
        <w:rPr>
          <w:rFonts w:ascii="Arial" w:cs="Arial" w:eastAsia="Arial" w:hAnsi="Arial"/>
          <w:sz w:val="17"/>
          <w:szCs w:val="17"/>
          <w:color w:val="auto"/>
        </w:rPr>
        <w:t>”). The Original Agreements provided for lease financing in connection with the acquisition by the Lessor of Regeneron’s corporate headquarters and other rentable area consisting of approximately 170 acres of predominately office buildings and laboratory space located in the towns of Mount Pleasant and Greenburgh, New York (the “</w:t>
      </w:r>
      <w:r>
        <w:rPr>
          <w:rFonts w:ascii="Arial" w:cs="Arial" w:eastAsia="Arial" w:hAnsi="Arial"/>
          <w:sz w:val="17"/>
          <w:szCs w:val="17"/>
          <w:u w:val="single" w:color="auto"/>
          <w:color w:val="auto"/>
        </w:rPr>
        <w:t>Facility</w:t>
      </w:r>
      <w:r>
        <w:rPr>
          <w:rFonts w:ascii="Arial" w:cs="Arial" w:eastAsia="Arial" w:hAnsi="Arial"/>
          <w:sz w:val="17"/>
          <w:szCs w:val="17"/>
          <w:color w:val="auto"/>
        </w:rPr>
        <w:t>”) and the lease of the Facility by Old Saw Mill Holdings LLC (the “</w:t>
      </w:r>
      <w:r>
        <w:rPr>
          <w:rFonts w:ascii="Arial" w:cs="Arial" w:eastAsia="Arial" w:hAnsi="Arial"/>
          <w:sz w:val="17"/>
          <w:szCs w:val="17"/>
          <w:u w:val="single" w:color="auto"/>
          <w:color w:val="auto"/>
        </w:rPr>
        <w:t>Lessee</w:t>
      </w:r>
      <w:r>
        <w:rPr>
          <w:rFonts w:ascii="Arial" w:cs="Arial" w:eastAsia="Arial" w:hAnsi="Arial"/>
          <w:sz w:val="17"/>
          <w:szCs w:val="17"/>
          <w:color w:val="auto"/>
        </w:rPr>
        <w:t>”), a wholly owned subsidiary of Regeneron, from the Lessor for a five-year term.</w:t>
      </w:r>
    </w:p>
    <w:p>
      <w:pPr>
        <w:spacing w:after="0" w:line="200"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As described in greater detail below, the Original Agreements were amended and restated (as so amended and restated, collectively, the “</w:t>
      </w:r>
      <w:r>
        <w:rPr>
          <w:rFonts w:ascii="Arial" w:cs="Arial" w:eastAsia="Arial" w:hAnsi="Arial"/>
          <w:sz w:val="16"/>
          <w:szCs w:val="16"/>
          <w:u w:val="single" w:color="auto"/>
          <w:color w:val="auto"/>
        </w:rPr>
        <w:t>A&amp;R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Agreements</w:t>
      </w:r>
      <w:r>
        <w:rPr>
          <w:rFonts w:ascii="Arial" w:cs="Arial" w:eastAsia="Arial" w:hAnsi="Arial"/>
          <w:sz w:val="16"/>
          <w:szCs w:val="16"/>
          <w:color w:val="auto"/>
        </w:rPr>
        <w:t>”), among other things, in order to revise certain covenants, representations and warranties, and events of default to be substantially similar to those set forth in the Credit Agreement, dated as of December 14, 2018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Regeneron, as a borrower and guarantor, certain subsidiaries of Regeneron party thereto as subsidiary borrowers, JPMorgan Chase Bank, N.A., as administrative agent, and the lenders party thereto from time to time. The Company’s entry into the Credit Agreement was previously reported in its Current Report on Form 8-K filed with the United States Securities and Exchange Commission on December 17, 2018. The A&amp;R Agreements did not change the maturity date of the advances under the A&amp;R Participation Agreement or the end of the term of the A&amp;R Lease (as defined below). The interest or yield that is payable to the Participants on their outstanding advances under the A&amp;R Participation Agreement also remains unchanged under the A&amp;R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A&amp;R Participation Agreement</w:t>
      </w:r>
    </w:p>
    <w:p>
      <w:pPr>
        <w:spacing w:after="0" w:line="225"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On May 2, 2019, the Lessee entered into the A&amp;R Participation Agreement by and among the Lessee, Bank of America, N.A., as administrative agent, the Lessor, and the other Participants. The A&amp;R Participation Agreement governs the $720 million lease financing that was previously advanced by the Participants in March 2017 to finance the purchase price for the Facility and to reimburse the Company for certain payments previously made by 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A&amp;R Lease</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May 2, 2019, the Lessee also entered into an Amended and Restated Lease and Remedies Agreement (the “</w:t>
      </w:r>
      <w:r>
        <w:rPr>
          <w:rFonts w:ascii="Arial" w:cs="Arial" w:eastAsia="Arial" w:hAnsi="Arial"/>
          <w:sz w:val="16"/>
          <w:szCs w:val="16"/>
          <w:u w:val="single" w:color="auto"/>
          <w:color w:val="auto"/>
        </w:rPr>
        <w:t>A&amp;R Lease</w:t>
      </w:r>
      <w:r>
        <w:rPr>
          <w:rFonts w:ascii="Arial" w:cs="Arial" w:eastAsia="Arial" w:hAnsi="Arial"/>
          <w:sz w:val="16"/>
          <w:szCs w:val="16"/>
          <w:color w:val="auto"/>
        </w:rPr>
        <w:t>”) with the Lessor, which amends and restates the lease of the Facility and certain related assets previously entered into in March 2017 by the Lessee and the Lessor. Pursuant to the A&amp;R Lease, the Lessee continues to grant a security interest in certain of its assets and rights to secure certain obligations under the A&amp;R Agreements and certain related documents. The A&amp;R Lease continues to be a triple-net lease requiring the Lessee, among other things, to pay during the term of the A&amp;R Lease all maintenance, insurance, taxes, and other costs arising out of the use of the Facility (which are offset in part by payments received by the Lessee from third-party tenants to whom certain parts of the Facility are subleased from the Lessee). The A&amp;R Lease also continues to require that the Lessee make monthly payments of basic rent during the remaining term of the A&amp;R Lease in an amount equal to the interest and yield payable to the Participants on their outstanding advances under the A&amp;R Participation Agreement. Such advances accrue interest or yield, as applicable, at a variable rate per annum based on the one-month London Interbank Offered Rate, plus an applicable margin that varies with the Company’s debt rating and total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405"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A&amp;R Guaranty</w:t>
      </w:r>
    </w:p>
    <w:p>
      <w:pPr>
        <w:spacing w:after="0" w:line="22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Company and its wholly owned subsidiaries Regeneron Healthcare Solutions, Inc. and Regeneron Genetics Center LLC, on a joint and several basis, continue to guarantee all of the Lessee’s obligations under the A&amp;R Participation Agreement, the A&amp;R Lease, and certain related documents pursuant to an Amended and Restated Guaranty, dated as of May 2, 2019 (the “</w:t>
      </w:r>
      <w:r>
        <w:rPr>
          <w:rFonts w:ascii="Arial" w:cs="Arial" w:eastAsia="Arial" w:hAnsi="Arial"/>
          <w:sz w:val="16"/>
          <w:szCs w:val="16"/>
          <w:u w:val="single" w:color="auto"/>
          <w:color w:val="auto"/>
        </w:rPr>
        <w:t>A&amp;R Guaranty</w:t>
      </w:r>
      <w:r>
        <w:rPr>
          <w:rFonts w:ascii="Arial" w:cs="Arial" w:eastAsia="Arial" w:hAnsi="Arial"/>
          <w:sz w:val="16"/>
          <w:szCs w:val="16"/>
          <w:color w:val="auto"/>
        </w:rPr>
        <w:t>”), made by the Company and such subsidiaries, as guarantors.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Operating Covenants; Other Terms</w:t>
      </w:r>
    </w:p>
    <w:p>
      <w:pPr>
        <w:spacing w:after="0" w:line="225"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The A&amp;R Agreements contain financial and operating covenants, which are substantially similar to the covenants set forth in the Credit Agreement, except for such matters specifically relating to the Facility or the lease financing nature of the transactions contemplated by the A&amp;R Participation Agreement. Financial covenants include a maximum total leverage ratio and a minimum interest expense coverage ratio. Operating covenants include, among other things, limitations on (i) the incurrence of indebtedness by the Company’s subsidiaries, (ii) liens on assets of the Company and its subsidiaries and liens on the Facility, (iii) certain fundamental changes and the disposition of assets by the Company and its subsidiaries, (iv) entering into affiliate transactions, and (v) the payment of dividends, distributions, and certain other restricted payments in respect of the capital stock of the Company and its subsidiaries (the</w:t>
      </w:r>
    </w:p>
    <w:p>
      <w:pPr>
        <w:spacing w:after="0" w:line="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 Covenant</w:t>
      </w:r>
      <w:r>
        <w:rPr>
          <w:rFonts w:ascii="Arial" w:cs="Arial" w:eastAsia="Arial" w:hAnsi="Arial"/>
          <w:sz w:val="18"/>
          <w:szCs w:val="18"/>
          <w:color w:val="auto"/>
        </w:rPr>
        <w:t>”). Similar to the Credit Agreement, the Restricted Payments Covenant allows the Company, so long as no event of default exists, to make payments that would otherwise be restricted if at the time of the making of any such payment and immediately thereafter it meets a specified total leverage ratio requirement. The A&amp;R Agreements contain other customary covenants, representations and warranties, and events of default. The A&amp;R Lease also continues to include certain early termination events relating to the occurrence of certain material events of loss or material environmental events relating to the Facility.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Date; Extension Option; Termination</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March 3, 2022 continues to be the maturity date for the advances under the A&amp;R Participation Agreement and the end of the term of the A&amp;R Lease, at which time all amounts outstanding under the A&amp;R Agreements will become due and payable in full. The A&amp;R Participation Agreement and the A&amp;R Lease continue to include an option for the Lessee to elect to extend the maturity date of the A&amp;R Participation Agreement and the term of the A&amp;R Lease for an additional five-year period, subject to the consent of all the Participants and certain other conditions. The Lessee also continues to have the option prior to the end of the term of the A&amp;R Lease to (a) purchase the Facility by paying an amount equal to the outstanding principal amount of the Participants’ advances under the A&amp;R Participation Agreement, all accrued and unpaid interest and yield thereon, and all other outstanding amounts under the A&amp;R Agreements and certain related documents or (b) sell the Facility to a third party on behalf of the Lessor, in each case, subject to certain terms and conditions set forth in the A&amp;R Participation Agreement and the A&amp;R Lease. Outstanding advances under the A&amp;R Participation Agreement and outstanding obligations under the A&amp;R Lease may be prepaid at any time without premium or penalty, subject to customary breakage costs.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foregoing description of the A&amp;R Participation Agreement, the A&amp;R Lease, and the A&amp;R Guaranty is qualified in its entirety by reference to the full text of such agreements, which are attached hereto as Exhibits 10.1, 10.2, and 10.3, respectively, and are incorporated herein by reference.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On May 2, 2019, the Company and certain of its subsidiaries, as applicable, entered into the A&amp;R Participation Agreement, the A&amp;R Lease, and the A&amp;R Guaranty described under Item 1.01 above, which amend and restate the Original Agreements relating to the lease financing for the Facility that were previously entered into in March 2017. The description of the A&amp;R Agreements set forth in Item 1.01 above is incorporated herein by reference.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820" w:right="540" w:hanging="809"/>
        <w:spacing w:after="0" w:line="308"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Amended and Restated Participation Agreement, dated as of May 2, 2019, by and among Old Saw Mill Holdings LLC, as lessee; Bank of America, N.A., as administrative agent; BA Leasing BSC, LLC, as lessor; and the lenders party thereto from time to time.</w:t>
      </w:r>
    </w:p>
    <w:p>
      <w:pPr>
        <w:spacing w:after="0" w:line="147" w:lineRule="exact"/>
        <w:rPr>
          <w:sz w:val="20"/>
          <w:szCs w:val="20"/>
          <w:color w:val="auto"/>
        </w:rPr>
      </w:pPr>
    </w:p>
    <w:p>
      <w:pPr>
        <w:ind w:left="820" w:right="420" w:hanging="809"/>
        <w:spacing w:after="0" w:line="277"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Lease and Remedies Agreement, dated as of May 2, 2019, between Old Saw Mill Holdings LLC, as lessee, and BA Leasing BSC, LLC, as lessor.</w:t>
      </w:r>
    </w:p>
    <w:p>
      <w:pPr>
        <w:spacing w:after="0" w:line="170" w:lineRule="exact"/>
        <w:rPr>
          <w:sz w:val="20"/>
          <w:szCs w:val="20"/>
          <w:color w:val="auto"/>
        </w:rPr>
      </w:pPr>
    </w:p>
    <w:p>
      <w:pPr>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Guaranty, dated as of May 2, 2019, made by Regeneron Pharmaceuticals, Inc., Regeneron Healthcare Solutions, Inc., and Regeneron Genetics Center LLC, as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409" w:right="37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General Counsel and Secretary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40"/>
          </w:cols>
          <w:pgMar w:left="240" w:top="405" w:right="7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620" w:type="dxa"/>
            <w:vAlign w:val="bottom"/>
            <w:gridSpan w:val="6"/>
          </w:tcPr>
          <w:p>
            <w:pPr>
              <w:ind w:left="12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Borders>
              <w:top w:val="single" w:sz="8" w:color="auto"/>
            </w:tcBorders>
            <w:gridSpan w:val="7"/>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Amended and Restated Participation Agreement, dated as of May 2, 2019, by and among Old Saw Mill Holdings LLC, as lessee; Bank of</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America, N.A., as administrative agent; BA Leasing BSC, LLC, as lessor; and the lenders party thereto from time to time.</w:t>
              </w:r>
            </w:hyperlink>
          </w:p>
        </w:tc>
        <w:tc>
          <w:tcPr>
            <w:tcW w:w="1120" w:type="dxa"/>
            <w:vAlign w:val="bottom"/>
            <w:tcBorders>
              <w:top w:val="single" w:sz="8" w:color="0000EE"/>
            </w:tcBorders>
            <w:gridSpan w:val="3"/>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gridSpan w:val="7"/>
          </w:tcPr>
          <w:p>
            <w:pPr>
              <w:spacing w:after="0"/>
              <w:rPr>
                <w:rFonts w:ascii="Arial" w:cs="Arial" w:eastAsia="Arial" w:hAnsi="Arial"/>
                <w:sz w:val="18"/>
                <w:szCs w:val="18"/>
                <w:color w:val="0000EE"/>
                <w:w w:val="92"/>
              </w:rPr>
            </w:pPr>
            <w:hyperlink w:anchor="page207">
              <w:r>
                <w:rPr>
                  <w:rFonts w:ascii="Arial" w:cs="Arial" w:eastAsia="Arial" w:hAnsi="Arial"/>
                  <w:sz w:val="18"/>
                  <w:szCs w:val="18"/>
                  <w:color w:val="0000EE"/>
                  <w:w w:val="92"/>
                </w:rPr>
                <w:t>Amended and Restated Lease and Remedies Agreement, dated as of May 2, 2019, between Old Saw Mill Holdings LLC, as lessee, and</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BA Leasing BSC, LLC, as lessor.</w:t>
              </w:r>
            </w:hyperlink>
          </w:p>
        </w:tc>
        <w:tc>
          <w:tcPr>
            <w:tcW w:w="300" w:type="dxa"/>
            <w:vAlign w:val="bottom"/>
            <w:gridSpan w:val="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98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26">
              <w:r>
                <w:rPr>
                  <w:rFonts w:ascii="Arial" w:cs="Arial" w:eastAsia="Arial" w:hAnsi="Arial"/>
                  <w:sz w:val="18"/>
                  <w:szCs w:val="18"/>
                  <w:color w:val="0000EE"/>
                  <w:w w:val="89"/>
                </w:rPr>
                <w:t>Amended and Restated Guaranty, dated as of May 2, 2019, made by Regeneron Pharmaceuticals, Inc., Regeneron Healthcare Solutions,</w:t>
              </w:r>
            </w:hyperlink>
          </w:p>
        </w:tc>
        <w:tc>
          <w:tcPr>
            <w:tcW w:w="2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7"/>
          </w:tcPr>
          <w:p>
            <w:pPr>
              <w:spacing w:after="0" w:line="196" w:lineRule="exact"/>
              <w:rPr>
                <w:rFonts w:ascii="Arial" w:cs="Arial" w:eastAsia="Arial" w:hAnsi="Arial"/>
                <w:sz w:val="18"/>
                <w:szCs w:val="18"/>
                <w:color w:val="0000EE"/>
              </w:rPr>
            </w:pPr>
            <w:hyperlink w:anchor="page326">
              <w:r>
                <w:rPr>
                  <w:rFonts w:ascii="Arial" w:cs="Arial" w:eastAsia="Arial" w:hAnsi="Arial"/>
                  <w:sz w:val="18"/>
                  <w:szCs w:val="18"/>
                  <w:color w:val="0000EE"/>
                </w:rPr>
                <w:t>Inc., and Regeneron Genetics Center LLC, as guarantors.</w:t>
              </w:r>
            </w:hyperlink>
          </w:p>
        </w:tc>
      </w:tr>
      <w:tr>
        <w:trPr>
          <w:trHeight w:val="298"/>
        </w:trPr>
        <w:tc>
          <w:tcPr>
            <w:tcW w:w="1160" w:type="dxa"/>
            <w:vAlign w:val="bottom"/>
            <w:tcBorders>
              <w:bottom w:val="single" w:sz="8" w:color="C0C0C0"/>
            </w:tcBorders>
          </w:tcPr>
          <w:p>
            <w:pPr>
              <w:spacing w:after="0"/>
              <w:rPr>
                <w:sz w:val="24"/>
                <w:szCs w:val="24"/>
                <w:color w:val="auto"/>
              </w:rPr>
            </w:pPr>
          </w:p>
        </w:tc>
        <w:tc>
          <w:tcPr>
            <w:tcW w:w="220" w:type="dxa"/>
            <w:vAlign w:val="bottom"/>
            <w:tcBorders>
              <w:bottom w:val="single" w:sz="8" w:color="C0C0C0"/>
            </w:tcBorders>
          </w:tcPr>
          <w:p>
            <w:pPr>
              <w:spacing w:after="0"/>
              <w:rPr>
                <w:sz w:val="24"/>
                <w:szCs w:val="24"/>
                <w:color w:val="auto"/>
              </w:rPr>
            </w:pPr>
          </w:p>
        </w:tc>
        <w:tc>
          <w:tcPr>
            <w:tcW w:w="2420" w:type="dxa"/>
            <w:vAlign w:val="bottom"/>
            <w:tcBorders>
              <w:top w:val="single" w:sz="8" w:color="0000EE"/>
              <w:bottom w:val="single" w:sz="8" w:color="C0C0C0"/>
            </w:tcBorders>
          </w:tcPr>
          <w:p>
            <w:pPr>
              <w:spacing w:after="0"/>
              <w:rPr>
                <w:sz w:val="24"/>
                <w:szCs w:val="24"/>
                <w:color w:val="auto"/>
              </w:rPr>
            </w:pPr>
          </w:p>
        </w:tc>
        <w:tc>
          <w:tcPr>
            <w:tcW w:w="1700" w:type="dxa"/>
            <w:vAlign w:val="bottom"/>
            <w:tcBorders>
              <w:top w:val="single" w:sz="8" w:color="0000EE"/>
              <w:bottom w:val="single" w:sz="8" w:color="C0C0C0"/>
            </w:tcBorders>
          </w:tcPr>
          <w:p>
            <w:pPr>
              <w:spacing w:after="0"/>
              <w:rPr>
                <w:sz w:val="24"/>
                <w:szCs w:val="24"/>
                <w:color w:val="auto"/>
              </w:rPr>
            </w:pPr>
          </w:p>
        </w:tc>
        <w:tc>
          <w:tcPr>
            <w:tcW w:w="4680" w:type="dxa"/>
            <w:vAlign w:val="bottom"/>
            <w:tcBorders>
              <w:bottom w:val="single" w:sz="8" w:color="C0C0C0"/>
            </w:tcBorders>
          </w:tcPr>
          <w:p>
            <w:pPr>
              <w:spacing w:after="0"/>
              <w:rPr>
                <w:sz w:val="24"/>
                <w:szCs w:val="24"/>
                <w:color w:val="auto"/>
              </w:rPr>
            </w:pPr>
          </w:p>
        </w:tc>
        <w:tc>
          <w:tcPr>
            <w:tcW w:w="940" w:type="dxa"/>
            <w:vAlign w:val="bottom"/>
            <w:tcBorders>
              <w:bottom w:val="single" w:sz="8" w:color="C0C0C0"/>
            </w:tcBorders>
          </w:tcPr>
          <w:p>
            <w:pPr>
              <w:spacing w:after="0"/>
              <w:rPr>
                <w:sz w:val="24"/>
                <w:szCs w:val="24"/>
                <w:color w:val="auto"/>
              </w:rPr>
            </w:pPr>
          </w:p>
        </w:tc>
        <w:tc>
          <w:tcPr>
            <w:tcW w:w="60" w:type="dxa"/>
            <w:vAlign w:val="bottom"/>
            <w:tcBorders>
              <w:bottom w:val="single" w:sz="8" w:color="C0C0C0"/>
            </w:tcBorders>
          </w:tcPr>
          <w:p>
            <w:pPr>
              <w:spacing w:after="0"/>
              <w:rPr>
                <w:sz w:val="24"/>
                <w:szCs w:val="24"/>
                <w:color w:val="auto"/>
              </w:rPr>
            </w:pPr>
          </w:p>
        </w:tc>
        <w:tc>
          <w:tcPr>
            <w:tcW w:w="120" w:type="dxa"/>
            <w:vAlign w:val="bottom"/>
            <w:tcBorders>
              <w:bottom w:val="single" w:sz="8" w:color="C0C0C0"/>
            </w:tcBorders>
          </w:tcPr>
          <w:p>
            <w:pPr>
              <w:spacing w:after="0"/>
              <w:rPr>
                <w:sz w:val="24"/>
                <w:szCs w:val="24"/>
                <w:color w:val="auto"/>
              </w:rPr>
            </w:pPr>
          </w:p>
        </w:tc>
        <w:tc>
          <w:tcPr>
            <w:tcW w:w="1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P</w:t>
      </w:r>
      <w:r>
        <w:rPr>
          <w:rFonts w:ascii="Arial" w:cs="Arial" w:eastAsia="Arial" w:hAnsi="Arial"/>
          <w:sz w:val="12"/>
          <w:szCs w:val="12"/>
          <w:color w:val="auto"/>
        </w:rPr>
        <w:t>ARTICIPATION</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May 2, 2019</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Lessee,</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Lessor,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ANK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N.A.,</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not in its individual capacity, except as expressly</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stated herein, but solely as Administrative Agent,</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The Lenders party hereto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ANC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xml:space="preserve"> L</w:t>
      </w:r>
      <w:r>
        <w:rPr>
          <w:rFonts w:ascii="Arial" w:cs="Arial" w:eastAsia="Arial" w:hAnsi="Arial"/>
          <w:sz w:val="12"/>
          <w:szCs w:val="12"/>
          <w:color w:val="auto"/>
        </w:rPr>
        <w:t>EASING</w:t>
      </w:r>
      <w:r>
        <w:rPr>
          <w:rFonts w:ascii="Arial" w:cs="Arial" w:eastAsia="Arial" w:hAnsi="Arial"/>
          <w:sz w:val="18"/>
          <w:szCs w:val="18"/>
          <w:color w:val="auto"/>
        </w:rPr>
        <w:t xml:space="preserve"> &amp; C</w:t>
      </w:r>
      <w:r>
        <w:rPr>
          <w:rFonts w:ascii="Arial" w:cs="Arial" w:eastAsia="Arial" w:hAnsi="Arial"/>
          <w:sz w:val="12"/>
          <w:szCs w:val="12"/>
          <w:color w:val="auto"/>
        </w:rPr>
        <w:t>APITAL</w:t>
      </w:r>
      <w:r>
        <w:rPr>
          <w:rFonts w:ascii="Arial" w:cs="Arial" w:eastAsia="Arial" w:hAnsi="Arial"/>
          <w:sz w:val="18"/>
          <w:szCs w:val="18"/>
          <w:color w:val="auto"/>
        </w:rPr>
        <w:t>,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Sole Lead Arranger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B</w:t>
      </w:r>
      <w:r>
        <w:rPr>
          <w:rFonts w:ascii="Arial" w:cs="Arial" w:eastAsia="Arial" w:hAnsi="Arial"/>
          <w:sz w:val="12"/>
          <w:szCs w:val="12"/>
          <w:color w:val="auto"/>
        </w:rPr>
        <w:t>ANK OF</w:t>
      </w:r>
      <w:r>
        <w:rPr>
          <w:rFonts w:ascii="Arial" w:cs="Arial" w:eastAsia="Arial" w:hAnsi="Arial"/>
          <w:sz w:val="18"/>
          <w:szCs w:val="18"/>
          <w:color w:val="auto"/>
        </w:rPr>
        <w:t xml:space="preserve"> T</w:t>
      </w:r>
      <w:r>
        <w:rPr>
          <w:rFonts w:ascii="Arial" w:cs="Arial" w:eastAsia="Arial" w:hAnsi="Arial"/>
          <w:sz w:val="12"/>
          <w:szCs w:val="12"/>
          <w:color w:val="auto"/>
        </w:rPr>
        <w:t>OKYO</w:t>
      </w:r>
      <w:r>
        <w:rPr>
          <w:rFonts w:ascii="Arial" w:cs="Arial" w:eastAsia="Arial" w:hAnsi="Arial"/>
          <w:sz w:val="18"/>
          <w:szCs w:val="18"/>
          <w:color w:val="auto"/>
        </w:rPr>
        <w:t>-M</w:t>
      </w:r>
      <w:r>
        <w:rPr>
          <w:rFonts w:ascii="Arial" w:cs="Arial" w:eastAsia="Arial" w:hAnsi="Arial"/>
          <w:sz w:val="12"/>
          <w:szCs w:val="12"/>
          <w:color w:val="auto"/>
        </w:rPr>
        <w:t>ITSUBISHI</w:t>
      </w:r>
      <w:r>
        <w:rPr>
          <w:rFonts w:ascii="Arial" w:cs="Arial" w:eastAsia="Arial" w:hAnsi="Arial"/>
          <w:sz w:val="18"/>
          <w:szCs w:val="18"/>
          <w:color w:val="auto"/>
        </w:rPr>
        <w:t xml:space="preserve"> UFJ, L</w:t>
      </w:r>
      <w:r>
        <w:rPr>
          <w:rFonts w:ascii="Arial" w:cs="Arial" w:eastAsia="Arial" w:hAnsi="Arial"/>
          <w:sz w:val="12"/>
          <w:szCs w:val="12"/>
          <w:color w:val="auto"/>
        </w:rPr>
        <w:t>TD</w:t>
      </w:r>
      <w:r>
        <w:rPr>
          <w:rFonts w:ascii="Arial" w:cs="Arial" w:eastAsia="Arial" w:hAnsi="Arial"/>
          <w:sz w:val="18"/>
          <w:szCs w:val="18"/>
          <w:color w:val="auto"/>
        </w:rPr>
        <w:t>.,</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Syndication Agent and Bookrunner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w:t>
      </w:r>
      <w:r>
        <w:rPr>
          <w:rFonts w:ascii="Arial" w:cs="Arial" w:eastAsia="Arial" w:hAnsi="Arial"/>
          <w:sz w:val="12"/>
          <w:szCs w:val="12"/>
          <w:color w:val="auto"/>
        </w:rPr>
        <w:t>ORGAN</w:t>
      </w:r>
      <w:r>
        <w:rPr>
          <w:rFonts w:ascii="Arial" w:cs="Arial" w:eastAsia="Arial" w:hAnsi="Arial"/>
          <w:sz w:val="18"/>
          <w:szCs w:val="18"/>
          <w:color w:val="auto"/>
        </w:rPr>
        <w:t xml:space="preserve"> C</w:t>
      </w:r>
      <w:r>
        <w:rPr>
          <w:rFonts w:ascii="Arial" w:cs="Arial" w:eastAsia="Arial" w:hAnsi="Arial"/>
          <w:sz w:val="12"/>
          <w:szCs w:val="12"/>
          <w:color w:val="auto"/>
        </w:rPr>
        <w:t>HASE</w:t>
      </w:r>
      <w:r>
        <w:rPr>
          <w:rFonts w:ascii="Arial" w:cs="Arial" w:eastAsia="Arial" w:hAnsi="Arial"/>
          <w:sz w:val="18"/>
          <w:szCs w:val="18"/>
          <w:color w:val="auto"/>
        </w:rPr>
        <w:t xml:space="preserve"> B</w:t>
      </w:r>
      <w:r>
        <w:rPr>
          <w:rFonts w:ascii="Arial" w:cs="Arial" w:eastAsia="Arial" w:hAnsi="Arial"/>
          <w:sz w:val="12"/>
          <w:szCs w:val="12"/>
          <w:color w:val="auto"/>
        </w:rPr>
        <w:t>ANK</w:t>
      </w:r>
      <w:r>
        <w:rPr>
          <w:rFonts w:ascii="Arial" w:cs="Arial" w:eastAsia="Arial" w:hAnsi="Arial"/>
          <w:sz w:val="18"/>
          <w:szCs w:val="18"/>
          <w:color w:val="auto"/>
        </w:rPr>
        <w:t>,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Bookrunner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U.S. B</w:t>
      </w:r>
      <w:r>
        <w:rPr>
          <w:rFonts w:ascii="Arial" w:cs="Arial" w:eastAsia="Arial" w:hAnsi="Arial"/>
          <w:sz w:val="12"/>
          <w:szCs w:val="12"/>
          <w:color w:val="auto"/>
        </w:rPr>
        <w:t>ANK</w:t>
      </w:r>
      <w:r>
        <w:rPr>
          <w:rFonts w:ascii="Arial" w:cs="Arial" w:eastAsia="Arial" w:hAnsi="Arial"/>
          <w:sz w:val="18"/>
          <w:szCs w:val="18"/>
          <w:color w:val="auto"/>
        </w:rPr>
        <w:t xml:space="preserve">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r>
        <w:rPr>
          <w:rFonts w:ascii="Arial" w:cs="Arial" w:eastAsia="Arial" w:hAnsi="Arial"/>
          <w:sz w:val="18"/>
          <w:szCs w:val="18"/>
          <w:color w:val="auto"/>
        </w:rPr>
        <w:t>,</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as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160020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7620" w:type="dxa"/>
            <w:vAlign w:val="bottom"/>
          </w:tcPr>
          <w:p>
            <w:pPr>
              <w:ind w:left="22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2400" w:type="dxa"/>
            <w:vAlign w:val="bottom"/>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w:t>
            </w:r>
          </w:p>
        </w:tc>
        <w:tc>
          <w:tcPr>
            <w:tcW w:w="7620" w:type="dxa"/>
            <w:vAlign w:val="bottom"/>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r>
              <w:rPr>
                <w:rFonts w:ascii="Arial" w:cs="Arial" w:eastAsia="Arial" w:hAnsi="Arial"/>
                <w:sz w:val="18"/>
                <w:szCs w:val="18"/>
                <w:color w:val="auto"/>
              </w:rPr>
              <w:t>; I</w:t>
            </w:r>
            <w:r>
              <w:rPr>
                <w:rFonts w:ascii="Arial" w:cs="Arial" w:eastAsia="Arial" w:hAnsi="Arial"/>
                <w:sz w:val="12"/>
                <w:szCs w:val="12"/>
                <w:color w:val="auto"/>
              </w:rPr>
              <w:t>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400" w:type="dxa"/>
            <w:vAlign w:val="bottom"/>
          </w:tcPr>
          <w:p>
            <w:pPr>
              <w:ind w:left="340"/>
              <w:spacing w:after="0"/>
              <w:rPr>
                <w:sz w:val="20"/>
                <w:szCs w:val="20"/>
                <w:color w:val="auto"/>
              </w:rPr>
            </w:pPr>
            <w:r>
              <w:rPr>
                <w:rFonts w:ascii="Arial" w:cs="Arial" w:eastAsia="Arial" w:hAnsi="Arial"/>
                <w:sz w:val="18"/>
                <w:szCs w:val="18"/>
                <w:color w:val="auto"/>
              </w:rPr>
              <w:t>Section 1.1.</w:t>
            </w:r>
          </w:p>
        </w:tc>
        <w:tc>
          <w:tcPr>
            <w:tcW w:w="7620" w:type="dxa"/>
            <w:vAlign w:val="bottom"/>
          </w:tcPr>
          <w:p>
            <w:pPr>
              <w:ind w:left="400"/>
              <w:spacing w:after="0"/>
              <w:rPr>
                <w:sz w:val="20"/>
                <w:szCs w:val="20"/>
                <w:color w:val="auto"/>
              </w:rPr>
            </w:pPr>
            <w:r>
              <w:rPr>
                <w:rFonts w:ascii="Arial" w:cs="Arial" w:eastAsia="Arial" w:hAnsi="Arial"/>
                <w:sz w:val="18"/>
                <w:szCs w:val="18"/>
                <w:color w:val="auto"/>
              </w:rPr>
              <w:t>Definitions; Interpretation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II</w:t>
            </w:r>
          </w:p>
        </w:tc>
        <w:tc>
          <w:tcPr>
            <w:tcW w:w="7620" w:type="dxa"/>
            <w:vAlign w:val="bottom"/>
          </w:tcPr>
          <w:p>
            <w:pPr>
              <w:ind w:left="22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RIGINAL</w:t>
            </w:r>
            <w:r>
              <w:rPr>
                <w:rFonts w:ascii="Arial" w:cs="Arial" w:eastAsia="Arial" w:hAnsi="Arial"/>
                <w:sz w:val="18"/>
                <w:szCs w:val="18"/>
                <w:color w:val="auto"/>
              </w:rPr>
              <w:t xml:space="preserv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A</w:t>
            </w:r>
            <w:r>
              <w:rPr>
                <w:rFonts w:ascii="Arial" w:cs="Arial" w:eastAsia="Arial" w:hAnsi="Arial"/>
                <w:sz w:val="12"/>
                <w:szCs w:val="12"/>
                <w:color w:val="auto"/>
              </w:rPr>
              <w:t>CQUISITION</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R</w:t>
            </w:r>
            <w:r>
              <w:rPr>
                <w:rFonts w:ascii="Arial" w:cs="Arial" w:eastAsia="Arial" w:hAnsi="Arial"/>
                <w:sz w:val="12"/>
                <w:szCs w:val="12"/>
                <w:color w:val="auto"/>
              </w:rPr>
              <w:t>ESTATEMENT</w:t>
            </w:r>
            <w:r>
              <w:rPr>
                <w:rFonts w:ascii="Arial" w:cs="Arial" w:eastAsia="Arial" w:hAnsi="Arial"/>
                <w:sz w:val="18"/>
                <w:szCs w:val="18"/>
                <w:color w:val="auto"/>
              </w:rPr>
              <w:t xml:space="preserve"> D</w:t>
            </w:r>
            <w:r>
              <w:rPr>
                <w:rFonts w:ascii="Arial" w:cs="Arial" w:eastAsia="Arial" w:hAnsi="Arial"/>
                <w:sz w:val="12"/>
                <w:szCs w:val="12"/>
                <w:color w:val="auto"/>
              </w:rPr>
              <w:t>ATE</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400" w:type="dxa"/>
            <w:vAlign w:val="bottom"/>
          </w:tcPr>
          <w:p>
            <w:pPr>
              <w:ind w:left="340"/>
              <w:spacing w:after="0"/>
              <w:rPr>
                <w:sz w:val="20"/>
                <w:szCs w:val="20"/>
                <w:color w:val="auto"/>
              </w:rPr>
            </w:pPr>
            <w:r>
              <w:rPr>
                <w:rFonts w:ascii="Arial" w:cs="Arial" w:eastAsia="Arial" w:hAnsi="Arial"/>
                <w:sz w:val="18"/>
                <w:szCs w:val="18"/>
                <w:color w:val="auto"/>
              </w:rPr>
              <w:t>Section 2.1.</w:t>
            </w:r>
          </w:p>
        </w:tc>
        <w:tc>
          <w:tcPr>
            <w:tcW w:w="7620" w:type="dxa"/>
            <w:vAlign w:val="bottom"/>
          </w:tcPr>
          <w:p>
            <w:pPr>
              <w:ind w:left="400"/>
              <w:spacing w:after="0"/>
              <w:rPr>
                <w:sz w:val="20"/>
                <w:szCs w:val="20"/>
                <w:color w:val="auto"/>
              </w:rPr>
            </w:pPr>
            <w:r>
              <w:rPr>
                <w:rFonts w:ascii="Arial" w:cs="Arial" w:eastAsia="Arial" w:hAnsi="Arial"/>
                <w:sz w:val="18"/>
                <w:szCs w:val="18"/>
                <w:color w:val="auto"/>
              </w:rPr>
              <w:t>Effectiveness of Original Participation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00" w:type="dxa"/>
            <w:vAlign w:val="bottom"/>
          </w:tcPr>
          <w:p>
            <w:pPr>
              <w:ind w:left="340"/>
              <w:spacing w:after="0"/>
              <w:rPr>
                <w:sz w:val="20"/>
                <w:szCs w:val="20"/>
                <w:color w:val="auto"/>
              </w:rPr>
            </w:pPr>
            <w:r>
              <w:rPr>
                <w:rFonts w:ascii="Arial" w:cs="Arial" w:eastAsia="Arial" w:hAnsi="Arial"/>
                <w:sz w:val="18"/>
                <w:szCs w:val="18"/>
                <w:color w:val="auto"/>
              </w:rPr>
              <w:t>Section 2.2.</w:t>
            </w:r>
          </w:p>
        </w:tc>
        <w:tc>
          <w:tcPr>
            <w:tcW w:w="7620" w:type="dxa"/>
            <w:vAlign w:val="bottom"/>
          </w:tcPr>
          <w:p>
            <w:pPr>
              <w:ind w:left="400"/>
              <w:spacing w:after="0"/>
              <w:rPr>
                <w:sz w:val="20"/>
                <w:szCs w:val="20"/>
                <w:color w:val="auto"/>
              </w:rPr>
            </w:pPr>
            <w:r>
              <w:rPr>
                <w:rFonts w:ascii="Arial" w:cs="Arial" w:eastAsia="Arial" w:hAnsi="Arial"/>
                <w:sz w:val="18"/>
                <w:szCs w:val="18"/>
                <w:color w:val="auto"/>
              </w:rPr>
              <w:t>Lease of Leased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00" w:type="dxa"/>
            <w:vAlign w:val="bottom"/>
          </w:tcPr>
          <w:p>
            <w:pPr>
              <w:ind w:left="340"/>
              <w:spacing w:after="0"/>
              <w:rPr>
                <w:sz w:val="20"/>
                <w:szCs w:val="20"/>
                <w:color w:val="auto"/>
              </w:rPr>
            </w:pPr>
            <w:r>
              <w:rPr>
                <w:rFonts w:ascii="Arial" w:cs="Arial" w:eastAsia="Arial" w:hAnsi="Arial"/>
                <w:sz w:val="18"/>
                <w:szCs w:val="18"/>
                <w:color w:val="auto"/>
              </w:rPr>
              <w:t>Section 2.3.</w:t>
            </w:r>
          </w:p>
        </w:tc>
        <w:tc>
          <w:tcPr>
            <w:tcW w:w="7620" w:type="dxa"/>
            <w:vAlign w:val="bottom"/>
          </w:tcPr>
          <w:p>
            <w:pPr>
              <w:ind w:left="400"/>
              <w:spacing w:after="0"/>
              <w:rPr>
                <w:sz w:val="20"/>
                <w:szCs w:val="20"/>
                <w:color w:val="auto"/>
              </w:rPr>
            </w:pPr>
            <w:r>
              <w:rPr>
                <w:rFonts w:ascii="Arial" w:cs="Arial" w:eastAsia="Arial" w:hAnsi="Arial"/>
                <w:sz w:val="18"/>
                <w:szCs w:val="18"/>
                <w:color w:val="auto"/>
              </w:rPr>
              <w:t>Participant Costs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400" w:type="dxa"/>
            <w:vAlign w:val="bottom"/>
          </w:tcPr>
          <w:p>
            <w:pPr>
              <w:ind w:left="340"/>
              <w:spacing w:after="0"/>
              <w:rPr>
                <w:sz w:val="20"/>
                <w:szCs w:val="20"/>
                <w:color w:val="auto"/>
              </w:rPr>
            </w:pPr>
            <w:r>
              <w:rPr>
                <w:rFonts w:ascii="Arial" w:cs="Arial" w:eastAsia="Arial" w:hAnsi="Arial"/>
                <w:sz w:val="18"/>
                <w:szCs w:val="18"/>
                <w:color w:val="auto"/>
              </w:rPr>
              <w:t>Section 2.4.</w:t>
            </w:r>
          </w:p>
        </w:tc>
        <w:tc>
          <w:tcPr>
            <w:tcW w:w="7620" w:type="dxa"/>
            <w:vAlign w:val="bottom"/>
          </w:tcPr>
          <w:p>
            <w:pPr>
              <w:ind w:left="400"/>
              <w:spacing w:after="0"/>
              <w:rPr>
                <w:sz w:val="20"/>
                <w:szCs w:val="20"/>
                <w:color w:val="auto"/>
              </w:rPr>
            </w:pPr>
            <w:r>
              <w:rPr>
                <w:rFonts w:ascii="Arial" w:cs="Arial" w:eastAsia="Arial" w:hAnsi="Arial"/>
                <w:sz w:val="18"/>
                <w:szCs w:val="18"/>
                <w:color w:val="auto"/>
              </w:rPr>
              <w:t>Effectiveness of Amended and Restated Participation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III</w:t>
            </w:r>
          </w:p>
        </w:tc>
        <w:tc>
          <w:tcPr>
            <w:tcW w:w="7620" w:type="dxa"/>
            <w:vAlign w:val="bottom"/>
          </w:tcPr>
          <w:p>
            <w:pPr>
              <w:ind w:left="22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UNDING OF</w:t>
            </w:r>
            <w:r>
              <w:rPr>
                <w:rFonts w:ascii="Arial" w:cs="Arial" w:eastAsia="Arial" w:hAnsi="Arial"/>
                <w:sz w:val="18"/>
                <w:szCs w:val="18"/>
                <w:color w:val="auto"/>
              </w:rPr>
              <w:t xml:space="preserve"> A</w:t>
            </w:r>
            <w:r>
              <w:rPr>
                <w:rFonts w:ascii="Arial" w:cs="Arial" w:eastAsia="Arial" w:hAnsi="Arial"/>
                <w:sz w:val="12"/>
                <w:szCs w:val="12"/>
                <w:color w:val="auto"/>
              </w:rPr>
              <w:t>DVANCES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400" w:type="dxa"/>
            <w:vAlign w:val="bottom"/>
          </w:tcPr>
          <w:p>
            <w:pPr>
              <w:ind w:left="340"/>
              <w:spacing w:after="0"/>
              <w:rPr>
                <w:sz w:val="20"/>
                <w:szCs w:val="20"/>
                <w:color w:val="auto"/>
              </w:rPr>
            </w:pPr>
            <w:r>
              <w:rPr>
                <w:rFonts w:ascii="Arial" w:cs="Arial" w:eastAsia="Arial" w:hAnsi="Arial"/>
                <w:sz w:val="18"/>
                <w:szCs w:val="18"/>
                <w:color w:val="auto"/>
              </w:rPr>
              <w:t>Section 3.1.</w:t>
            </w:r>
          </w:p>
        </w:tc>
        <w:tc>
          <w:tcPr>
            <w:tcW w:w="7620" w:type="dxa"/>
            <w:vAlign w:val="bottom"/>
          </w:tcPr>
          <w:p>
            <w:pPr>
              <w:ind w:left="400"/>
              <w:spacing w:after="0"/>
              <w:rPr>
                <w:sz w:val="20"/>
                <w:szCs w:val="20"/>
                <w:color w:val="auto"/>
              </w:rPr>
            </w:pPr>
            <w:r>
              <w:rPr>
                <w:rFonts w:ascii="Arial" w:cs="Arial" w:eastAsia="Arial" w:hAnsi="Arial"/>
                <w:sz w:val="18"/>
                <w:szCs w:val="18"/>
                <w:color w:val="auto"/>
              </w:rPr>
              <w:t>Fundings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00" w:type="dxa"/>
            <w:vAlign w:val="bottom"/>
          </w:tcPr>
          <w:p>
            <w:pPr>
              <w:ind w:left="340"/>
              <w:spacing w:after="0"/>
              <w:rPr>
                <w:sz w:val="20"/>
                <w:szCs w:val="20"/>
                <w:color w:val="auto"/>
              </w:rPr>
            </w:pPr>
            <w:r>
              <w:rPr>
                <w:rFonts w:ascii="Arial" w:cs="Arial" w:eastAsia="Arial" w:hAnsi="Arial"/>
                <w:sz w:val="18"/>
                <w:szCs w:val="18"/>
                <w:color w:val="auto"/>
              </w:rPr>
              <w:t>Section 3.2.</w:t>
            </w:r>
          </w:p>
        </w:tc>
        <w:tc>
          <w:tcPr>
            <w:tcW w:w="7620" w:type="dxa"/>
            <w:vAlign w:val="bottom"/>
          </w:tcPr>
          <w:p>
            <w:pPr>
              <w:ind w:left="400"/>
              <w:spacing w:after="0"/>
              <w:rPr>
                <w:sz w:val="20"/>
                <w:szCs w:val="20"/>
                <w:color w:val="auto"/>
              </w:rPr>
            </w:pPr>
            <w:r>
              <w:rPr>
                <w:rFonts w:ascii="Arial" w:cs="Arial" w:eastAsia="Arial" w:hAnsi="Arial"/>
                <w:sz w:val="18"/>
                <w:szCs w:val="18"/>
                <w:color w:val="auto"/>
              </w:rPr>
              <w:t>Payment of Participant Costs and Fees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00" w:type="dxa"/>
            <w:vAlign w:val="bottom"/>
          </w:tcPr>
          <w:p>
            <w:pPr>
              <w:ind w:left="340"/>
              <w:spacing w:after="0"/>
              <w:rPr>
                <w:sz w:val="20"/>
                <w:szCs w:val="20"/>
                <w:color w:val="auto"/>
              </w:rPr>
            </w:pPr>
            <w:r>
              <w:rPr>
                <w:rFonts w:ascii="Arial" w:cs="Arial" w:eastAsia="Arial" w:hAnsi="Arial"/>
                <w:sz w:val="18"/>
                <w:szCs w:val="18"/>
                <w:color w:val="auto"/>
              </w:rPr>
              <w:t>Section 3.3.</w:t>
            </w:r>
          </w:p>
        </w:tc>
        <w:tc>
          <w:tcPr>
            <w:tcW w:w="7620" w:type="dxa"/>
            <w:vAlign w:val="bottom"/>
          </w:tcPr>
          <w:p>
            <w:pPr>
              <w:ind w:left="400"/>
              <w:spacing w:after="0"/>
              <w:rPr>
                <w:sz w:val="20"/>
                <w:szCs w:val="20"/>
                <w:color w:val="auto"/>
              </w:rPr>
            </w:pPr>
            <w:r>
              <w:rPr>
                <w:rFonts w:ascii="Arial" w:cs="Arial" w:eastAsia="Arial" w:hAnsi="Arial"/>
                <w:sz w:val="18"/>
                <w:szCs w:val="18"/>
                <w:color w:val="auto"/>
              </w:rPr>
              <w:t>Advance Request</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400" w:type="dxa"/>
            <w:vAlign w:val="bottom"/>
          </w:tcPr>
          <w:p>
            <w:pPr>
              <w:ind w:left="340"/>
              <w:spacing w:after="0"/>
              <w:rPr>
                <w:sz w:val="20"/>
                <w:szCs w:val="20"/>
                <w:color w:val="auto"/>
              </w:rPr>
            </w:pPr>
            <w:r>
              <w:rPr>
                <w:rFonts w:ascii="Arial" w:cs="Arial" w:eastAsia="Arial" w:hAnsi="Arial"/>
                <w:sz w:val="18"/>
                <w:szCs w:val="18"/>
                <w:color w:val="auto"/>
              </w:rPr>
              <w:t>Section 3.4.</w:t>
            </w:r>
          </w:p>
        </w:tc>
        <w:tc>
          <w:tcPr>
            <w:tcW w:w="7620" w:type="dxa"/>
            <w:vAlign w:val="bottom"/>
          </w:tcPr>
          <w:p>
            <w:pPr>
              <w:ind w:left="400"/>
              <w:spacing w:after="0"/>
              <w:rPr>
                <w:sz w:val="20"/>
                <w:szCs w:val="20"/>
                <w:color w:val="auto"/>
              </w:rPr>
            </w:pPr>
            <w:r>
              <w:rPr>
                <w:rFonts w:ascii="Arial" w:cs="Arial" w:eastAsia="Arial" w:hAnsi="Arial"/>
                <w:sz w:val="18"/>
                <w:szCs w:val="18"/>
                <w:color w:val="auto"/>
              </w:rPr>
              <w:t>Assignment of Purchase Option</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IV</w:t>
            </w:r>
          </w:p>
        </w:tc>
        <w:tc>
          <w:tcPr>
            <w:tcW w:w="7620" w:type="dxa"/>
            <w:vAlign w:val="bottom"/>
          </w:tcPr>
          <w:p>
            <w:pPr>
              <w:ind w:left="220"/>
              <w:spacing w:after="0"/>
              <w:rPr>
                <w:sz w:val="20"/>
                <w:szCs w:val="20"/>
                <w:color w:val="auto"/>
              </w:rPr>
            </w:pPr>
            <w:r>
              <w:rPr>
                <w:rFonts w:ascii="Arial" w:cs="Arial" w:eastAsia="Arial" w:hAnsi="Arial"/>
                <w:sz w:val="18"/>
                <w:szCs w:val="18"/>
                <w:color w:val="auto"/>
              </w:rPr>
              <w:t>Y</w:t>
            </w:r>
            <w:r>
              <w:rPr>
                <w:rFonts w:ascii="Arial" w:cs="Arial" w:eastAsia="Arial" w:hAnsi="Arial"/>
                <w:sz w:val="12"/>
                <w:szCs w:val="12"/>
                <w:color w:val="auto"/>
              </w:rPr>
              <w:t>IELD</w:t>
            </w:r>
            <w:r>
              <w:rPr>
                <w:rFonts w:ascii="Arial" w:cs="Arial" w:eastAsia="Arial" w:hAnsi="Arial"/>
                <w:sz w:val="18"/>
                <w:szCs w:val="18"/>
                <w:color w:val="auto"/>
              </w:rPr>
              <w:t>; I</w:t>
            </w:r>
            <w:r>
              <w:rPr>
                <w:rFonts w:ascii="Arial" w:cs="Arial" w:eastAsia="Arial" w:hAnsi="Arial"/>
                <w:sz w:val="12"/>
                <w:szCs w:val="12"/>
                <w:color w:val="auto"/>
              </w:rPr>
              <w:t>NTEREST</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1400" w:type="dxa"/>
            <w:vAlign w:val="bottom"/>
          </w:tcPr>
          <w:p>
            <w:pPr>
              <w:ind w:left="340"/>
              <w:spacing w:after="0"/>
              <w:rPr>
                <w:sz w:val="20"/>
                <w:szCs w:val="20"/>
                <w:color w:val="auto"/>
              </w:rPr>
            </w:pPr>
            <w:r>
              <w:rPr>
                <w:rFonts w:ascii="Arial" w:cs="Arial" w:eastAsia="Arial" w:hAnsi="Arial"/>
                <w:sz w:val="18"/>
                <w:szCs w:val="18"/>
                <w:color w:val="auto"/>
              </w:rPr>
              <w:t>Section 4.1.</w:t>
            </w:r>
          </w:p>
        </w:tc>
        <w:tc>
          <w:tcPr>
            <w:tcW w:w="7620" w:type="dxa"/>
            <w:vAlign w:val="bottom"/>
          </w:tcPr>
          <w:p>
            <w:pPr>
              <w:ind w:left="400"/>
              <w:spacing w:after="0"/>
              <w:rPr>
                <w:sz w:val="20"/>
                <w:szCs w:val="20"/>
                <w:color w:val="auto"/>
              </w:rPr>
            </w:pPr>
            <w:r>
              <w:rPr>
                <w:rFonts w:ascii="Arial" w:cs="Arial" w:eastAsia="Arial" w:hAnsi="Arial"/>
                <w:sz w:val="18"/>
                <w:szCs w:val="18"/>
                <w:color w:val="auto"/>
              </w:rPr>
              <w:t>Yield</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00" w:type="dxa"/>
            <w:vAlign w:val="bottom"/>
          </w:tcPr>
          <w:p>
            <w:pPr>
              <w:ind w:left="340"/>
              <w:spacing w:after="0"/>
              <w:rPr>
                <w:sz w:val="20"/>
                <w:szCs w:val="20"/>
                <w:color w:val="auto"/>
              </w:rPr>
            </w:pPr>
            <w:r>
              <w:rPr>
                <w:rFonts w:ascii="Arial" w:cs="Arial" w:eastAsia="Arial" w:hAnsi="Arial"/>
                <w:sz w:val="18"/>
                <w:szCs w:val="18"/>
                <w:color w:val="auto"/>
              </w:rPr>
              <w:t>Section 4.2.</w:t>
            </w:r>
          </w:p>
        </w:tc>
        <w:tc>
          <w:tcPr>
            <w:tcW w:w="7620" w:type="dxa"/>
            <w:vAlign w:val="bottom"/>
          </w:tcPr>
          <w:p>
            <w:pPr>
              <w:ind w:left="400"/>
              <w:spacing w:after="0"/>
              <w:rPr>
                <w:sz w:val="20"/>
                <w:szCs w:val="20"/>
                <w:color w:val="auto"/>
              </w:rPr>
            </w:pPr>
            <w:r>
              <w:rPr>
                <w:rFonts w:ascii="Arial" w:cs="Arial" w:eastAsia="Arial" w:hAnsi="Arial"/>
                <w:sz w:val="18"/>
                <w:szCs w:val="18"/>
                <w:color w:val="auto"/>
              </w:rPr>
              <w:t>Interest on Loans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00" w:type="dxa"/>
            <w:vAlign w:val="bottom"/>
          </w:tcPr>
          <w:p>
            <w:pPr>
              <w:ind w:left="340"/>
              <w:spacing w:after="0"/>
              <w:rPr>
                <w:sz w:val="20"/>
                <w:szCs w:val="20"/>
                <w:color w:val="auto"/>
              </w:rPr>
            </w:pPr>
            <w:r>
              <w:rPr>
                <w:rFonts w:ascii="Arial" w:cs="Arial" w:eastAsia="Arial" w:hAnsi="Arial"/>
                <w:sz w:val="18"/>
                <w:szCs w:val="18"/>
                <w:color w:val="auto"/>
              </w:rPr>
              <w:t>Section 4.3.</w:t>
            </w:r>
          </w:p>
        </w:tc>
        <w:tc>
          <w:tcPr>
            <w:tcW w:w="7620" w:type="dxa"/>
            <w:vAlign w:val="bottom"/>
          </w:tcPr>
          <w:p>
            <w:pPr>
              <w:ind w:left="400"/>
              <w:spacing w:after="0"/>
              <w:rPr>
                <w:sz w:val="20"/>
                <w:szCs w:val="20"/>
                <w:color w:val="auto"/>
              </w:rPr>
            </w:pPr>
            <w:r>
              <w:rPr>
                <w:rFonts w:ascii="Arial" w:cs="Arial" w:eastAsia="Arial" w:hAnsi="Arial"/>
                <w:sz w:val="18"/>
                <w:szCs w:val="18"/>
                <w:color w:val="auto"/>
              </w:rPr>
              <w:t>Payments of Rent; and Payments and Prepayments of Funded Amounts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00" w:type="dxa"/>
            <w:vAlign w:val="bottom"/>
          </w:tcPr>
          <w:p>
            <w:pPr>
              <w:ind w:left="340"/>
              <w:spacing w:after="0"/>
              <w:rPr>
                <w:sz w:val="20"/>
                <w:szCs w:val="20"/>
                <w:color w:val="auto"/>
              </w:rPr>
            </w:pPr>
            <w:r>
              <w:rPr>
                <w:rFonts w:ascii="Arial" w:cs="Arial" w:eastAsia="Arial" w:hAnsi="Arial"/>
                <w:sz w:val="18"/>
                <w:szCs w:val="18"/>
                <w:color w:val="auto"/>
              </w:rPr>
              <w:t>Section 4.4.</w:t>
            </w:r>
          </w:p>
        </w:tc>
        <w:tc>
          <w:tcPr>
            <w:tcW w:w="7620" w:type="dxa"/>
            <w:vAlign w:val="bottom"/>
          </w:tcPr>
          <w:p>
            <w:pPr>
              <w:ind w:left="400"/>
              <w:spacing w:after="0"/>
              <w:rPr>
                <w:sz w:val="20"/>
                <w:szCs w:val="20"/>
                <w:color w:val="auto"/>
              </w:rPr>
            </w:pPr>
            <w:r>
              <w:rPr>
                <w:rFonts w:ascii="Arial" w:cs="Arial" w:eastAsia="Arial" w:hAnsi="Arial"/>
                <w:sz w:val="18"/>
                <w:szCs w:val="18"/>
                <w:color w:val="auto"/>
              </w:rPr>
              <w:t>Fees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00" w:type="dxa"/>
            <w:vAlign w:val="bottom"/>
          </w:tcPr>
          <w:p>
            <w:pPr>
              <w:ind w:left="340"/>
              <w:spacing w:after="0"/>
              <w:rPr>
                <w:sz w:val="20"/>
                <w:szCs w:val="20"/>
                <w:color w:val="auto"/>
              </w:rPr>
            </w:pPr>
            <w:r>
              <w:rPr>
                <w:rFonts w:ascii="Arial" w:cs="Arial" w:eastAsia="Arial" w:hAnsi="Arial"/>
                <w:sz w:val="18"/>
                <w:szCs w:val="18"/>
                <w:color w:val="auto"/>
              </w:rPr>
              <w:t>Section 4.5.</w:t>
            </w:r>
          </w:p>
        </w:tc>
        <w:tc>
          <w:tcPr>
            <w:tcW w:w="7620" w:type="dxa"/>
            <w:vAlign w:val="bottom"/>
          </w:tcPr>
          <w:p>
            <w:pPr>
              <w:ind w:left="400"/>
              <w:spacing w:after="0"/>
              <w:rPr>
                <w:sz w:val="20"/>
                <w:szCs w:val="20"/>
                <w:color w:val="auto"/>
              </w:rPr>
            </w:pPr>
            <w:r>
              <w:rPr>
                <w:rFonts w:ascii="Arial" w:cs="Arial" w:eastAsia="Arial" w:hAnsi="Arial"/>
                <w:sz w:val="18"/>
                <w:szCs w:val="18"/>
                <w:color w:val="auto"/>
              </w:rPr>
              <w:t>Obligations Several</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00" w:type="dxa"/>
            <w:vAlign w:val="bottom"/>
          </w:tcPr>
          <w:p>
            <w:pPr>
              <w:ind w:left="340"/>
              <w:spacing w:after="0"/>
              <w:rPr>
                <w:sz w:val="20"/>
                <w:szCs w:val="20"/>
                <w:color w:val="auto"/>
              </w:rPr>
            </w:pPr>
            <w:r>
              <w:rPr>
                <w:rFonts w:ascii="Arial" w:cs="Arial" w:eastAsia="Arial" w:hAnsi="Arial"/>
                <w:sz w:val="18"/>
                <w:szCs w:val="18"/>
                <w:color w:val="auto"/>
              </w:rPr>
              <w:t>Section 4.6.</w:t>
            </w:r>
          </w:p>
        </w:tc>
        <w:tc>
          <w:tcPr>
            <w:tcW w:w="7620" w:type="dxa"/>
            <w:vAlign w:val="bottom"/>
          </w:tcPr>
          <w:p>
            <w:pPr>
              <w:ind w:left="400"/>
              <w:spacing w:after="0"/>
              <w:rPr>
                <w:sz w:val="20"/>
                <w:szCs w:val="20"/>
                <w:color w:val="auto"/>
              </w:rPr>
            </w:pPr>
            <w:r>
              <w:rPr>
                <w:rFonts w:ascii="Arial" w:cs="Arial" w:eastAsia="Arial" w:hAnsi="Arial"/>
                <w:sz w:val="18"/>
                <w:szCs w:val="18"/>
                <w:color w:val="auto"/>
              </w:rPr>
              <w:t>Highest Lawful Rate</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400" w:type="dxa"/>
            <w:vAlign w:val="bottom"/>
          </w:tcPr>
          <w:p>
            <w:pPr>
              <w:ind w:left="340"/>
              <w:spacing w:after="0"/>
              <w:rPr>
                <w:sz w:val="20"/>
                <w:szCs w:val="20"/>
                <w:color w:val="auto"/>
              </w:rPr>
            </w:pPr>
            <w:r>
              <w:rPr>
                <w:rFonts w:ascii="Arial" w:cs="Arial" w:eastAsia="Arial" w:hAnsi="Arial"/>
                <w:sz w:val="18"/>
                <w:szCs w:val="18"/>
                <w:color w:val="auto"/>
              </w:rPr>
              <w:t>Section 4.7.</w:t>
            </w:r>
          </w:p>
        </w:tc>
        <w:tc>
          <w:tcPr>
            <w:tcW w:w="7620" w:type="dxa"/>
            <w:vAlign w:val="bottom"/>
          </w:tcPr>
          <w:p>
            <w:pPr>
              <w:ind w:left="400"/>
              <w:spacing w:after="0"/>
              <w:rPr>
                <w:sz w:val="20"/>
                <w:szCs w:val="20"/>
                <w:color w:val="auto"/>
              </w:rPr>
            </w:pPr>
            <w:r>
              <w:rPr>
                <w:rFonts w:ascii="Arial" w:cs="Arial" w:eastAsia="Arial" w:hAnsi="Arial"/>
                <w:sz w:val="18"/>
                <w:szCs w:val="18"/>
                <w:color w:val="auto"/>
              </w:rPr>
              <w:t>Renewal of Lease</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w:t>
            </w:r>
          </w:p>
        </w:tc>
        <w:tc>
          <w:tcPr>
            <w:tcW w:w="7620" w:type="dxa"/>
            <w:vAlign w:val="bottom"/>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ERTAIN</w:t>
            </w:r>
            <w:r>
              <w:rPr>
                <w:rFonts w:ascii="Arial" w:cs="Arial" w:eastAsia="Arial" w:hAnsi="Arial"/>
                <w:sz w:val="18"/>
                <w:szCs w:val="18"/>
                <w:color w:val="auto"/>
              </w:rPr>
              <w:t xml:space="preserve"> I</w:t>
            </w:r>
            <w:r>
              <w:rPr>
                <w:rFonts w:ascii="Arial" w:cs="Arial" w:eastAsia="Arial" w:hAnsi="Arial"/>
                <w:sz w:val="12"/>
                <w:szCs w:val="12"/>
                <w:color w:val="auto"/>
              </w:rPr>
              <w:t>NTENTIONS OF THE</w:t>
            </w:r>
            <w:r>
              <w:rPr>
                <w:rFonts w:ascii="Arial" w:cs="Arial" w:eastAsia="Arial" w:hAnsi="Arial"/>
                <w:sz w:val="18"/>
                <w:szCs w:val="18"/>
                <w:color w:val="auto"/>
              </w:rPr>
              <w:t xml:space="preserve"> P</w:t>
            </w:r>
            <w:r>
              <w:rPr>
                <w:rFonts w:ascii="Arial" w:cs="Arial" w:eastAsia="Arial" w:hAnsi="Arial"/>
                <w:sz w:val="12"/>
                <w:szCs w:val="12"/>
                <w:color w:val="auto"/>
              </w:rPr>
              <w:t>ARTIES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1400" w:type="dxa"/>
            <w:vAlign w:val="bottom"/>
          </w:tcPr>
          <w:p>
            <w:pPr>
              <w:ind w:left="340"/>
              <w:spacing w:after="0"/>
              <w:rPr>
                <w:sz w:val="20"/>
                <w:szCs w:val="20"/>
                <w:color w:val="auto"/>
              </w:rPr>
            </w:pPr>
            <w:r>
              <w:rPr>
                <w:rFonts w:ascii="Arial" w:cs="Arial" w:eastAsia="Arial" w:hAnsi="Arial"/>
                <w:sz w:val="18"/>
                <w:szCs w:val="18"/>
                <w:color w:val="auto"/>
              </w:rPr>
              <w:t>Section 5.1.</w:t>
            </w:r>
          </w:p>
        </w:tc>
        <w:tc>
          <w:tcPr>
            <w:tcW w:w="7620" w:type="dxa"/>
            <w:vAlign w:val="bottom"/>
          </w:tcPr>
          <w:p>
            <w:pPr>
              <w:ind w:left="400"/>
              <w:spacing w:after="0"/>
              <w:rPr>
                <w:sz w:val="20"/>
                <w:szCs w:val="20"/>
                <w:color w:val="auto"/>
              </w:rPr>
            </w:pPr>
            <w:r>
              <w:rPr>
                <w:rFonts w:ascii="Arial" w:cs="Arial" w:eastAsia="Arial" w:hAnsi="Arial"/>
                <w:sz w:val="18"/>
                <w:szCs w:val="18"/>
                <w:color w:val="auto"/>
              </w:rPr>
              <w:t>Nature of Transaction</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00" w:type="dxa"/>
            <w:vAlign w:val="bottom"/>
          </w:tcPr>
          <w:p>
            <w:pPr>
              <w:ind w:left="340"/>
              <w:spacing w:after="0"/>
              <w:rPr>
                <w:sz w:val="20"/>
                <w:szCs w:val="20"/>
                <w:color w:val="auto"/>
              </w:rPr>
            </w:pPr>
            <w:r>
              <w:rPr>
                <w:rFonts w:ascii="Arial" w:cs="Arial" w:eastAsia="Arial" w:hAnsi="Arial"/>
                <w:sz w:val="18"/>
                <w:szCs w:val="18"/>
                <w:color w:val="auto"/>
              </w:rPr>
              <w:t>Section 5.2.</w:t>
            </w:r>
          </w:p>
        </w:tc>
        <w:tc>
          <w:tcPr>
            <w:tcW w:w="7620" w:type="dxa"/>
            <w:vAlign w:val="bottom"/>
          </w:tcPr>
          <w:p>
            <w:pPr>
              <w:ind w:left="400"/>
              <w:spacing w:after="0"/>
              <w:rPr>
                <w:sz w:val="20"/>
                <w:szCs w:val="20"/>
                <w:color w:val="auto"/>
              </w:rPr>
            </w:pPr>
            <w:r>
              <w:rPr>
                <w:rFonts w:ascii="Arial" w:cs="Arial" w:eastAsia="Arial" w:hAnsi="Arial"/>
                <w:sz w:val="18"/>
                <w:szCs w:val="18"/>
                <w:color w:val="auto"/>
              </w:rPr>
              <w:t>Amounts Due Under Lease</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00" w:type="dxa"/>
            <w:vAlign w:val="bottom"/>
          </w:tcPr>
          <w:p>
            <w:pPr>
              <w:ind w:left="340"/>
              <w:spacing w:after="0"/>
              <w:rPr>
                <w:sz w:val="20"/>
                <w:szCs w:val="20"/>
                <w:color w:val="auto"/>
              </w:rPr>
            </w:pPr>
            <w:r>
              <w:rPr>
                <w:rFonts w:ascii="Arial" w:cs="Arial" w:eastAsia="Arial" w:hAnsi="Arial"/>
                <w:sz w:val="18"/>
                <w:szCs w:val="18"/>
                <w:color w:val="auto"/>
              </w:rPr>
              <w:t>Section 5.3.</w:t>
            </w:r>
          </w:p>
        </w:tc>
        <w:tc>
          <w:tcPr>
            <w:tcW w:w="7620" w:type="dxa"/>
            <w:vAlign w:val="bottom"/>
          </w:tcPr>
          <w:p>
            <w:pPr>
              <w:ind w:left="400"/>
              <w:spacing w:after="0"/>
              <w:rPr>
                <w:sz w:val="20"/>
                <w:szCs w:val="20"/>
                <w:color w:val="auto"/>
              </w:rPr>
            </w:pPr>
            <w:r>
              <w:rPr>
                <w:rFonts w:ascii="Arial" w:cs="Arial" w:eastAsia="Arial" w:hAnsi="Arial"/>
                <w:sz w:val="18"/>
                <w:szCs w:val="18"/>
                <w:color w:val="auto"/>
              </w:rPr>
              <w:t>Distribution</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400" w:type="dxa"/>
            <w:vAlign w:val="bottom"/>
          </w:tcPr>
          <w:p>
            <w:pPr>
              <w:ind w:left="340"/>
              <w:spacing w:after="0"/>
              <w:rPr>
                <w:sz w:val="20"/>
                <w:szCs w:val="20"/>
                <w:color w:val="auto"/>
              </w:rPr>
            </w:pPr>
            <w:r>
              <w:rPr>
                <w:rFonts w:ascii="Arial" w:cs="Arial" w:eastAsia="Arial" w:hAnsi="Arial"/>
                <w:sz w:val="18"/>
                <w:szCs w:val="18"/>
                <w:color w:val="auto"/>
              </w:rPr>
              <w:t>Section 5.4.</w:t>
            </w:r>
          </w:p>
        </w:tc>
        <w:tc>
          <w:tcPr>
            <w:tcW w:w="7620" w:type="dxa"/>
            <w:vAlign w:val="bottom"/>
          </w:tcPr>
          <w:p>
            <w:pPr>
              <w:ind w:left="400"/>
              <w:spacing w:after="0"/>
              <w:rPr>
                <w:sz w:val="20"/>
                <w:szCs w:val="20"/>
                <w:color w:val="auto"/>
              </w:rPr>
            </w:pPr>
            <w:r>
              <w:rPr>
                <w:rFonts w:ascii="Arial" w:cs="Arial" w:eastAsia="Arial" w:hAnsi="Arial"/>
                <w:sz w:val="18"/>
                <w:szCs w:val="18"/>
                <w:color w:val="auto"/>
              </w:rPr>
              <w:t>Adjustments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w:t>
            </w:r>
          </w:p>
        </w:tc>
        <w:tc>
          <w:tcPr>
            <w:tcW w:w="7620" w:type="dxa"/>
            <w:vAlign w:val="bottom"/>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w:t>
            </w:r>
            <w:r>
              <w:rPr>
                <w:rFonts w:ascii="Arial" w:cs="Arial" w:eastAsia="Arial" w:hAnsi="Arial"/>
                <w:sz w:val="18"/>
                <w:szCs w:val="18"/>
                <w:color w:val="auto"/>
              </w:rPr>
              <w:t xml:space="preserve"> P</w:t>
            </w:r>
            <w:r>
              <w:rPr>
                <w:rFonts w:ascii="Arial" w:cs="Arial" w:eastAsia="Arial" w:hAnsi="Arial"/>
                <w:sz w:val="12"/>
                <w:szCs w:val="12"/>
                <w:color w:val="auto"/>
              </w:rPr>
              <w:t>RECEDENT</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400" w:type="dxa"/>
            <w:vAlign w:val="bottom"/>
          </w:tcPr>
          <w:p>
            <w:pPr>
              <w:ind w:left="340"/>
              <w:spacing w:after="0"/>
              <w:rPr>
                <w:sz w:val="20"/>
                <w:szCs w:val="20"/>
                <w:color w:val="auto"/>
              </w:rPr>
            </w:pPr>
            <w:r>
              <w:rPr>
                <w:rFonts w:ascii="Arial" w:cs="Arial" w:eastAsia="Arial" w:hAnsi="Arial"/>
                <w:sz w:val="18"/>
                <w:szCs w:val="18"/>
                <w:color w:val="auto"/>
              </w:rPr>
              <w:t>Section 6.1.</w:t>
            </w:r>
          </w:p>
        </w:tc>
        <w:tc>
          <w:tcPr>
            <w:tcW w:w="7620" w:type="dxa"/>
            <w:vAlign w:val="bottom"/>
          </w:tcPr>
          <w:p>
            <w:pPr>
              <w:ind w:left="400"/>
              <w:spacing w:after="0"/>
              <w:rPr>
                <w:sz w:val="20"/>
                <w:szCs w:val="20"/>
                <w:color w:val="auto"/>
              </w:rPr>
            </w:pPr>
            <w:r>
              <w:rPr>
                <w:rFonts w:ascii="Arial" w:cs="Arial" w:eastAsia="Arial" w:hAnsi="Arial"/>
                <w:sz w:val="18"/>
                <w:szCs w:val="18"/>
                <w:color w:val="auto"/>
              </w:rPr>
              <w:t>Conditions Precedent to the Original Closing Date and the Advance</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400" w:type="dxa"/>
            <w:vAlign w:val="bottom"/>
          </w:tcPr>
          <w:p>
            <w:pPr>
              <w:ind w:left="340"/>
              <w:spacing w:after="0"/>
              <w:rPr>
                <w:sz w:val="20"/>
                <w:szCs w:val="20"/>
                <w:color w:val="auto"/>
              </w:rPr>
            </w:pPr>
            <w:r>
              <w:rPr>
                <w:rFonts w:ascii="Arial" w:cs="Arial" w:eastAsia="Arial" w:hAnsi="Arial"/>
                <w:sz w:val="18"/>
                <w:szCs w:val="18"/>
                <w:color w:val="auto"/>
              </w:rPr>
              <w:t>Section 6.2.</w:t>
            </w:r>
          </w:p>
        </w:tc>
        <w:tc>
          <w:tcPr>
            <w:tcW w:w="7620" w:type="dxa"/>
            <w:vAlign w:val="bottom"/>
          </w:tcPr>
          <w:p>
            <w:pPr>
              <w:ind w:left="400"/>
              <w:spacing w:after="0"/>
              <w:rPr>
                <w:sz w:val="20"/>
                <w:szCs w:val="20"/>
                <w:color w:val="auto"/>
              </w:rPr>
            </w:pPr>
            <w:r>
              <w:rPr>
                <w:rFonts w:ascii="Arial" w:cs="Arial" w:eastAsia="Arial" w:hAnsi="Arial"/>
                <w:sz w:val="18"/>
                <w:szCs w:val="18"/>
                <w:color w:val="auto"/>
              </w:rPr>
              <w:t>Conditions Precedent to the Restatement Date</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VII</w:t>
            </w:r>
          </w:p>
        </w:tc>
        <w:tc>
          <w:tcPr>
            <w:tcW w:w="7620" w:type="dxa"/>
            <w:vAlign w:val="bottom"/>
          </w:tcPr>
          <w:p>
            <w:pPr>
              <w:ind w:left="22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MITTED</w:t>
            </w:r>
            <w:r>
              <w:rPr>
                <w:rFonts w:ascii="Arial" w:cs="Arial" w:eastAsia="Arial" w:hAnsi="Arial"/>
                <w:sz w:val="18"/>
                <w:szCs w:val="18"/>
                <w:color w:val="auto"/>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1400" w:type="dxa"/>
            <w:vAlign w:val="bottom"/>
            <w:tcBorders>
              <w:bottom w:val="single" w:sz="8" w:color="C0C0C0"/>
            </w:tcBorders>
          </w:tcPr>
          <w:p>
            <w:pPr>
              <w:spacing w:after="0"/>
              <w:rPr>
                <w:sz w:val="24"/>
                <w:szCs w:val="24"/>
                <w:color w:val="auto"/>
              </w:rPr>
            </w:pPr>
          </w:p>
        </w:tc>
        <w:tc>
          <w:tcPr>
            <w:tcW w:w="762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396"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VIII</w:t>
            </w:r>
          </w:p>
        </w:tc>
        <w:tc>
          <w:tcPr>
            <w:tcW w:w="778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rPr>
              <w:t>Section 8.1.</w:t>
            </w:r>
          </w:p>
        </w:tc>
        <w:tc>
          <w:tcPr>
            <w:tcW w:w="7780" w:type="dxa"/>
            <w:vAlign w:val="bottom"/>
          </w:tcPr>
          <w:p>
            <w:pPr>
              <w:ind w:left="340"/>
              <w:spacing w:after="0"/>
              <w:rPr>
                <w:sz w:val="20"/>
                <w:szCs w:val="20"/>
                <w:color w:val="auto"/>
              </w:rPr>
            </w:pPr>
            <w:r>
              <w:rPr>
                <w:rFonts w:ascii="Arial" w:cs="Arial" w:eastAsia="Arial" w:hAnsi="Arial"/>
                <w:sz w:val="18"/>
                <w:szCs w:val="18"/>
                <w:color w:val="auto"/>
              </w:rPr>
              <w:t>Representations of the Participants</w:t>
            </w:r>
          </w:p>
        </w:tc>
        <w:tc>
          <w:tcPr>
            <w:tcW w:w="2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8.2.</w:t>
            </w:r>
          </w:p>
        </w:tc>
        <w:tc>
          <w:tcPr>
            <w:tcW w:w="7780" w:type="dxa"/>
            <w:vAlign w:val="bottom"/>
          </w:tcPr>
          <w:p>
            <w:pPr>
              <w:ind w:left="340"/>
              <w:spacing w:after="0"/>
              <w:rPr>
                <w:sz w:val="20"/>
                <w:szCs w:val="20"/>
                <w:color w:val="auto"/>
              </w:rPr>
            </w:pPr>
            <w:r>
              <w:rPr>
                <w:rFonts w:ascii="Arial" w:cs="Arial" w:eastAsia="Arial" w:hAnsi="Arial"/>
                <w:sz w:val="18"/>
                <w:szCs w:val="18"/>
                <w:color w:val="auto"/>
              </w:rPr>
              <w:t>Representations of Lessee</w:t>
            </w:r>
          </w:p>
        </w:tc>
        <w:tc>
          <w:tcPr>
            <w:tcW w:w="2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8.3.</w:t>
            </w:r>
          </w:p>
        </w:tc>
        <w:tc>
          <w:tcPr>
            <w:tcW w:w="7780" w:type="dxa"/>
            <w:vAlign w:val="bottom"/>
          </w:tcPr>
          <w:p>
            <w:pPr>
              <w:ind w:left="340"/>
              <w:spacing w:after="0"/>
              <w:rPr>
                <w:sz w:val="20"/>
                <w:szCs w:val="20"/>
                <w:color w:val="auto"/>
              </w:rPr>
            </w:pPr>
            <w:r>
              <w:rPr>
                <w:rFonts w:ascii="Arial" w:cs="Arial" w:eastAsia="Arial" w:hAnsi="Arial"/>
                <w:sz w:val="18"/>
                <w:szCs w:val="18"/>
                <w:color w:val="auto"/>
              </w:rPr>
              <w:t>Representations and Warranties of Administrative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IX</w:t>
            </w:r>
          </w:p>
        </w:tc>
        <w:tc>
          <w:tcPr>
            <w:tcW w:w="778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 OF</w:t>
            </w:r>
            <w:r>
              <w:rPr>
                <w:rFonts w:ascii="Arial" w:cs="Arial" w:eastAsia="Arial" w:hAnsi="Arial"/>
                <w:sz w:val="18"/>
                <w:szCs w:val="18"/>
                <w:color w:val="auto"/>
              </w:rPr>
              <w:t xml:space="preserve"> L</w:t>
            </w:r>
            <w:r>
              <w:rPr>
                <w:rFonts w:ascii="Arial" w:cs="Arial" w:eastAsia="Arial" w:hAnsi="Arial"/>
                <w:sz w:val="12"/>
                <w:szCs w:val="12"/>
                <w:color w:val="auto"/>
              </w:rPr>
              <w:t>ESSEE</w:t>
            </w:r>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rPr>
              <w:t>Section 9.1.</w:t>
            </w:r>
          </w:p>
        </w:tc>
        <w:tc>
          <w:tcPr>
            <w:tcW w:w="7780" w:type="dxa"/>
            <w:vAlign w:val="bottom"/>
          </w:tcPr>
          <w:p>
            <w:pPr>
              <w:ind w:left="340"/>
              <w:spacing w:after="0"/>
              <w:rPr>
                <w:sz w:val="20"/>
                <w:szCs w:val="20"/>
                <w:color w:val="auto"/>
              </w:rPr>
            </w:pPr>
            <w:r>
              <w:rPr>
                <w:rFonts w:ascii="Arial" w:cs="Arial" w:eastAsia="Arial" w:hAnsi="Arial"/>
                <w:sz w:val="18"/>
                <w:szCs w:val="18"/>
                <w:color w:val="auto"/>
              </w:rPr>
              <w:t>Affirmative Covenants of Lessee</w:t>
            </w:r>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9.2.</w:t>
            </w:r>
          </w:p>
        </w:tc>
        <w:tc>
          <w:tcPr>
            <w:tcW w:w="7780" w:type="dxa"/>
            <w:vAlign w:val="bottom"/>
          </w:tcPr>
          <w:p>
            <w:pPr>
              <w:ind w:left="340"/>
              <w:spacing w:after="0"/>
              <w:rPr>
                <w:sz w:val="20"/>
                <w:szCs w:val="20"/>
                <w:color w:val="auto"/>
              </w:rPr>
            </w:pPr>
            <w:r>
              <w:rPr>
                <w:rFonts w:ascii="Arial" w:cs="Arial" w:eastAsia="Arial" w:hAnsi="Arial"/>
                <w:sz w:val="18"/>
                <w:szCs w:val="18"/>
                <w:color w:val="auto"/>
              </w:rPr>
              <w:t>Negative Covenants of Lessee</w:t>
            </w:r>
          </w:p>
        </w:tc>
        <w:tc>
          <w:tcPr>
            <w:tcW w:w="2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w:t>
            </w:r>
          </w:p>
        </w:tc>
        <w:tc>
          <w:tcPr>
            <w:tcW w:w="7780" w:type="dxa"/>
            <w:vAlign w:val="bottom"/>
          </w:tcPr>
          <w:p>
            <w:pPr>
              <w:ind w:left="16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THER</w:t>
            </w:r>
            <w:r>
              <w:rPr>
                <w:rFonts w:ascii="Arial" w:cs="Arial" w:eastAsia="Arial" w:hAnsi="Arial"/>
                <w:sz w:val="18"/>
                <w:szCs w:val="18"/>
                <w:color w:val="auto"/>
              </w:rPr>
              <w:t xml:space="preserve"> C</w:t>
            </w:r>
            <w:r>
              <w:rPr>
                <w:rFonts w:ascii="Arial" w:cs="Arial" w:eastAsia="Arial" w:hAnsi="Arial"/>
                <w:sz w:val="12"/>
                <w:szCs w:val="12"/>
                <w:color w:val="auto"/>
              </w:rPr>
              <w:t>OVENANTS AND</w:t>
            </w:r>
            <w:r>
              <w:rPr>
                <w:rFonts w:ascii="Arial" w:cs="Arial" w:eastAsia="Arial" w:hAnsi="Arial"/>
                <w:sz w:val="18"/>
                <w:szCs w:val="18"/>
                <w:color w:val="auto"/>
              </w:rPr>
              <w:t xml:space="preserve"> A</w:t>
            </w:r>
            <w:r>
              <w:rPr>
                <w:rFonts w:ascii="Arial" w:cs="Arial" w:eastAsia="Arial" w:hAnsi="Arial"/>
                <w:sz w:val="12"/>
                <w:szCs w:val="12"/>
                <w:color w:val="auto"/>
              </w:rPr>
              <w:t>GREEMENTS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460" w:type="dxa"/>
            <w:vAlign w:val="bottom"/>
          </w:tcPr>
          <w:p>
            <w:pPr>
              <w:ind w:left="340"/>
              <w:spacing w:after="0"/>
              <w:rPr>
                <w:sz w:val="20"/>
                <w:szCs w:val="20"/>
                <w:color w:val="auto"/>
              </w:rPr>
            </w:pPr>
            <w:r>
              <w:rPr>
                <w:rFonts w:ascii="Arial" w:cs="Arial" w:eastAsia="Arial" w:hAnsi="Arial"/>
                <w:sz w:val="18"/>
                <w:szCs w:val="18"/>
                <w:color w:val="auto"/>
              </w:rPr>
              <w:t>Section 10.1.</w:t>
            </w:r>
          </w:p>
        </w:tc>
        <w:tc>
          <w:tcPr>
            <w:tcW w:w="7780" w:type="dxa"/>
            <w:vAlign w:val="bottom"/>
          </w:tcPr>
          <w:p>
            <w:pPr>
              <w:ind w:left="340"/>
              <w:spacing w:after="0"/>
              <w:rPr>
                <w:sz w:val="20"/>
                <w:szCs w:val="20"/>
                <w:color w:val="auto"/>
              </w:rPr>
            </w:pPr>
            <w:r>
              <w:rPr>
                <w:rFonts w:ascii="Arial" w:cs="Arial" w:eastAsia="Arial" w:hAnsi="Arial"/>
                <w:sz w:val="18"/>
                <w:szCs w:val="18"/>
                <w:color w:val="auto"/>
              </w:rPr>
              <w:t>Covenants of the Administrative Agent and the Participants</w:t>
            </w: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w:t>
            </w:r>
          </w:p>
        </w:tc>
        <w:tc>
          <w:tcPr>
            <w:tcW w:w="7780" w:type="dxa"/>
            <w:vAlign w:val="bottom"/>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ESSEE</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R</w:t>
            </w:r>
            <w:r>
              <w:rPr>
                <w:rFonts w:ascii="Arial" w:cs="Arial" w:eastAsia="Arial" w:hAnsi="Arial"/>
                <w:sz w:val="12"/>
                <w:szCs w:val="12"/>
                <w:color w:val="auto"/>
              </w:rPr>
              <w:t>IGHT OF</w:t>
            </w:r>
            <w:r>
              <w:rPr>
                <w:rFonts w:ascii="Arial" w:cs="Arial" w:eastAsia="Arial" w:hAnsi="Arial"/>
                <w:sz w:val="18"/>
                <w:szCs w:val="18"/>
                <w:color w:val="auto"/>
              </w:rPr>
              <w:t xml:space="preserve"> Q</w:t>
            </w:r>
            <w:r>
              <w:rPr>
                <w:rFonts w:ascii="Arial" w:cs="Arial" w:eastAsia="Arial" w:hAnsi="Arial"/>
                <w:sz w:val="12"/>
                <w:szCs w:val="12"/>
                <w:color w:val="auto"/>
              </w:rPr>
              <w:t>UIET</w:t>
            </w:r>
            <w:r>
              <w:rPr>
                <w:rFonts w:ascii="Arial" w:cs="Arial" w:eastAsia="Arial" w:hAnsi="Arial"/>
                <w:sz w:val="18"/>
                <w:szCs w:val="18"/>
                <w:color w:val="auto"/>
              </w:rPr>
              <w:t xml:space="preserve"> E</w:t>
            </w:r>
            <w:r>
              <w:rPr>
                <w:rFonts w:ascii="Arial" w:cs="Arial" w:eastAsia="Arial" w:hAnsi="Arial"/>
                <w:sz w:val="12"/>
                <w:szCs w:val="12"/>
                <w:color w:val="auto"/>
              </w:rPr>
              <w:t>NJOYMENT</w:t>
            </w:r>
          </w:p>
        </w:tc>
        <w:tc>
          <w:tcPr>
            <w:tcW w:w="2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XII</w:t>
            </w:r>
          </w:p>
        </w:tc>
        <w:tc>
          <w:tcPr>
            <w:tcW w:w="7780" w:type="dxa"/>
            <w:vAlign w:val="bottom"/>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RANSFERS OF</w:t>
            </w:r>
            <w:r>
              <w:rPr>
                <w:rFonts w:ascii="Arial" w:cs="Arial" w:eastAsia="Arial" w:hAnsi="Arial"/>
                <w:sz w:val="18"/>
                <w:szCs w:val="18"/>
                <w:color w:val="auto"/>
              </w:rPr>
              <w:t xml:space="preserve"> P</w:t>
            </w:r>
            <w:r>
              <w:rPr>
                <w:rFonts w:ascii="Arial" w:cs="Arial" w:eastAsia="Arial" w:hAnsi="Arial"/>
                <w:sz w:val="12"/>
                <w:szCs w:val="12"/>
                <w:color w:val="auto"/>
              </w:rPr>
              <w:t>ARTICIPANTS</w:t>
            </w:r>
            <w:r>
              <w:rPr>
                <w:rFonts w:ascii="Arial" w:cs="Arial" w:eastAsia="Arial" w:hAnsi="Arial"/>
                <w:sz w:val="18"/>
                <w:szCs w:val="18"/>
                <w:color w:val="auto"/>
              </w:rPr>
              <w:t>’ I</w:t>
            </w:r>
            <w:r>
              <w:rPr>
                <w:rFonts w:ascii="Arial" w:cs="Arial" w:eastAsia="Arial" w:hAnsi="Arial"/>
                <w:sz w:val="12"/>
                <w:szCs w:val="12"/>
                <w:color w:val="auto"/>
              </w:rPr>
              <w:t>NTERESTS</w:t>
            </w:r>
          </w:p>
        </w:tc>
        <w:tc>
          <w:tcPr>
            <w:tcW w:w="2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rPr>
              <w:t>Section 12.1.</w:t>
            </w:r>
          </w:p>
        </w:tc>
        <w:tc>
          <w:tcPr>
            <w:tcW w:w="7780" w:type="dxa"/>
            <w:vAlign w:val="bottom"/>
          </w:tcPr>
          <w:p>
            <w:pPr>
              <w:ind w:left="340"/>
              <w:spacing w:after="0"/>
              <w:rPr>
                <w:sz w:val="20"/>
                <w:szCs w:val="20"/>
                <w:color w:val="auto"/>
              </w:rPr>
            </w:pPr>
            <w:r>
              <w:rPr>
                <w:rFonts w:ascii="Arial" w:cs="Arial" w:eastAsia="Arial" w:hAnsi="Arial"/>
                <w:sz w:val="18"/>
                <w:szCs w:val="18"/>
                <w:color w:val="auto"/>
              </w:rPr>
              <w:t>Assignments</w:t>
            </w:r>
          </w:p>
        </w:tc>
        <w:tc>
          <w:tcPr>
            <w:tcW w:w="2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12.2.</w:t>
            </w:r>
          </w:p>
        </w:tc>
        <w:tc>
          <w:tcPr>
            <w:tcW w:w="7780" w:type="dxa"/>
            <w:vAlign w:val="bottom"/>
          </w:tcPr>
          <w:p>
            <w:pPr>
              <w:ind w:left="340"/>
              <w:spacing w:after="0"/>
              <w:rPr>
                <w:sz w:val="20"/>
                <w:szCs w:val="20"/>
                <w:color w:val="auto"/>
              </w:rPr>
            </w:pPr>
            <w:r>
              <w:rPr>
                <w:rFonts w:ascii="Arial" w:cs="Arial" w:eastAsia="Arial" w:hAnsi="Arial"/>
                <w:sz w:val="18"/>
                <w:szCs w:val="18"/>
                <w:color w:val="auto"/>
              </w:rPr>
              <w:t>Participations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12.3.</w:t>
            </w:r>
          </w:p>
        </w:tc>
        <w:tc>
          <w:tcPr>
            <w:tcW w:w="7780" w:type="dxa"/>
            <w:vAlign w:val="bottom"/>
          </w:tcPr>
          <w:p>
            <w:pPr>
              <w:ind w:left="340"/>
              <w:spacing w:after="0"/>
              <w:rPr>
                <w:sz w:val="20"/>
                <w:szCs w:val="20"/>
                <w:color w:val="auto"/>
              </w:rPr>
            </w:pPr>
            <w:r>
              <w:rPr>
                <w:rFonts w:ascii="Arial" w:cs="Arial" w:eastAsia="Arial" w:hAnsi="Arial"/>
                <w:sz w:val="18"/>
                <w:szCs w:val="18"/>
                <w:color w:val="auto"/>
              </w:rPr>
              <w:t>Withholding Taxes; Disclosure of Information; Pledge Under Regulation A</w:t>
            </w:r>
          </w:p>
        </w:tc>
        <w:tc>
          <w:tcPr>
            <w:tcW w:w="2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XIII</w:t>
            </w:r>
          </w:p>
        </w:tc>
        <w:tc>
          <w:tcPr>
            <w:tcW w:w="778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NDEMNIFICATION</w:t>
            </w:r>
          </w:p>
        </w:tc>
        <w:tc>
          <w:tcPr>
            <w:tcW w:w="2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rPr>
              <w:t>Section 13.1.</w:t>
            </w:r>
          </w:p>
        </w:tc>
        <w:tc>
          <w:tcPr>
            <w:tcW w:w="7780" w:type="dxa"/>
            <w:vAlign w:val="bottom"/>
          </w:tcPr>
          <w:p>
            <w:pPr>
              <w:ind w:left="340"/>
              <w:spacing w:after="0"/>
              <w:rPr>
                <w:sz w:val="20"/>
                <w:szCs w:val="20"/>
                <w:color w:val="auto"/>
              </w:rPr>
            </w:pPr>
            <w:r>
              <w:rPr>
                <w:rFonts w:ascii="Arial" w:cs="Arial" w:eastAsia="Arial" w:hAnsi="Arial"/>
                <w:sz w:val="18"/>
                <w:szCs w:val="18"/>
                <w:color w:val="auto"/>
              </w:rPr>
              <w:t>Indemnification</w:t>
            </w:r>
          </w:p>
        </w:tc>
        <w:tc>
          <w:tcPr>
            <w:tcW w:w="2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13.2.</w:t>
            </w:r>
          </w:p>
        </w:tc>
        <w:tc>
          <w:tcPr>
            <w:tcW w:w="7780" w:type="dxa"/>
            <w:vAlign w:val="bottom"/>
          </w:tcPr>
          <w:p>
            <w:pPr>
              <w:ind w:left="340"/>
              <w:spacing w:after="0"/>
              <w:rPr>
                <w:sz w:val="20"/>
                <w:szCs w:val="20"/>
                <w:color w:val="auto"/>
              </w:rPr>
            </w:pPr>
            <w:r>
              <w:rPr>
                <w:rFonts w:ascii="Arial" w:cs="Arial" w:eastAsia="Arial" w:hAnsi="Arial"/>
                <w:sz w:val="18"/>
                <w:szCs w:val="18"/>
                <w:color w:val="auto"/>
              </w:rPr>
              <w:t>Nonconformance</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13.3.</w:t>
            </w:r>
          </w:p>
        </w:tc>
        <w:tc>
          <w:tcPr>
            <w:tcW w:w="7780" w:type="dxa"/>
            <w:vAlign w:val="bottom"/>
          </w:tcPr>
          <w:p>
            <w:pPr>
              <w:ind w:left="340"/>
              <w:spacing w:after="0"/>
              <w:rPr>
                <w:sz w:val="20"/>
                <w:szCs w:val="20"/>
                <w:color w:val="auto"/>
              </w:rPr>
            </w:pPr>
            <w:r>
              <w:rPr>
                <w:rFonts w:ascii="Arial" w:cs="Arial" w:eastAsia="Arial" w:hAnsi="Arial"/>
                <w:sz w:val="18"/>
                <w:szCs w:val="18"/>
                <w:color w:val="auto"/>
              </w:rPr>
              <w:t>Proceedings in Respect of Claims</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13.4.</w:t>
            </w:r>
          </w:p>
        </w:tc>
        <w:tc>
          <w:tcPr>
            <w:tcW w:w="7780" w:type="dxa"/>
            <w:vAlign w:val="bottom"/>
          </w:tcPr>
          <w:p>
            <w:pPr>
              <w:ind w:left="340"/>
              <w:spacing w:after="0"/>
              <w:rPr>
                <w:sz w:val="20"/>
                <w:szCs w:val="20"/>
                <w:color w:val="auto"/>
              </w:rPr>
            </w:pPr>
            <w:r>
              <w:rPr>
                <w:rFonts w:ascii="Arial" w:cs="Arial" w:eastAsia="Arial" w:hAnsi="Arial"/>
                <w:sz w:val="18"/>
                <w:szCs w:val="18"/>
                <w:color w:val="auto"/>
              </w:rPr>
              <w:t>General Tax Indemnity</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13.5.</w:t>
            </w:r>
          </w:p>
        </w:tc>
        <w:tc>
          <w:tcPr>
            <w:tcW w:w="7780" w:type="dxa"/>
            <w:vAlign w:val="bottom"/>
          </w:tcPr>
          <w:p>
            <w:pPr>
              <w:ind w:left="340"/>
              <w:spacing w:after="0"/>
              <w:rPr>
                <w:sz w:val="20"/>
                <w:szCs w:val="20"/>
                <w:color w:val="auto"/>
              </w:rPr>
            </w:pPr>
            <w:r>
              <w:rPr>
                <w:rFonts w:ascii="Arial" w:cs="Arial" w:eastAsia="Arial" w:hAnsi="Arial"/>
                <w:sz w:val="18"/>
                <w:szCs w:val="18"/>
                <w:color w:val="auto"/>
              </w:rPr>
              <w:t>After Tax Basis</w:t>
            </w:r>
          </w:p>
        </w:tc>
        <w:tc>
          <w:tcPr>
            <w:tcW w:w="2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13.6.</w:t>
            </w:r>
          </w:p>
        </w:tc>
        <w:tc>
          <w:tcPr>
            <w:tcW w:w="7780" w:type="dxa"/>
            <w:vAlign w:val="bottom"/>
          </w:tcPr>
          <w:p>
            <w:pPr>
              <w:ind w:left="340"/>
              <w:spacing w:after="0"/>
              <w:rPr>
                <w:sz w:val="20"/>
                <w:szCs w:val="20"/>
                <w:color w:val="auto"/>
              </w:rPr>
            </w:pPr>
            <w:r>
              <w:rPr>
                <w:rFonts w:ascii="Arial" w:cs="Arial" w:eastAsia="Arial" w:hAnsi="Arial"/>
                <w:sz w:val="18"/>
                <w:szCs w:val="18"/>
                <w:color w:val="auto"/>
              </w:rPr>
              <w:t>Intentionally Omitted</w:t>
            </w:r>
          </w:p>
        </w:tc>
        <w:tc>
          <w:tcPr>
            <w:tcW w:w="2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13.7.</w:t>
            </w:r>
          </w:p>
        </w:tc>
        <w:tc>
          <w:tcPr>
            <w:tcW w:w="7780" w:type="dxa"/>
            <w:vAlign w:val="bottom"/>
          </w:tcPr>
          <w:p>
            <w:pPr>
              <w:ind w:left="340"/>
              <w:spacing w:after="0"/>
              <w:rPr>
                <w:sz w:val="20"/>
                <w:szCs w:val="20"/>
                <w:color w:val="auto"/>
              </w:rPr>
            </w:pPr>
            <w:r>
              <w:rPr>
                <w:rFonts w:ascii="Arial" w:cs="Arial" w:eastAsia="Arial" w:hAnsi="Arial"/>
                <w:sz w:val="18"/>
                <w:szCs w:val="18"/>
                <w:color w:val="auto"/>
              </w:rPr>
              <w:t>Environmental Indemnity</w:t>
            </w:r>
          </w:p>
        </w:tc>
        <w:tc>
          <w:tcPr>
            <w:tcW w:w="2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XIV</w:t>
            </w:r>
          </w:p>
        </w:tc>
        <w:tc>
          <w:tcPr>
            <w:tcW w:w="778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ONTINGENT</w:t>
            </w:r>
            <w:r>
              <w:rPr>
                <w:rFonts w:ascii="Arial" w:cs="Arial" w:eastAsia="Arial" w:hAnsi="Arial"/>
                <w:sz w:val="18"/>
                <w:szCs w:val="18"/>
                <w:color w:val="auto"/>
              </w:rPr>
              <w:t xml:space="preserve"> L</w:t>
            </w:r>
            <w:r>
              <w:rPr>
                <w:rFonts w:ascii="Arial" w:cs="Arial" w:eastAsia="Arial" w:hAnsi="Arial"/>
                <w:sz w:val="12"/>
                <w:szCs w:val="12"/>
                <w:color w:val="auto"/>
              </w:rPr>
              <w:t>IBOR AND</w:t>
            </w:r>
            <w:r>
              <w:rPr>
                <w:rFonts w:ascii="Arial" w:cs="Arial" w:eastAsia="Arial" w:hAnsi="Arial"/>
                <w:sz w:val="18"/>
                <w:szCs w:val="18"/>
                <w:color w:val="auto"/>
              </w:rPr>
              <w:t xml:space="preserve"> O</w:t>
            </w:r>
            <w:r>
              <w:rPr>
                <w:rFonts w:ascii="Arial" w:cs="Arial" w:eastAsia="Arial" w:hAnsi="Arial"/>
                <w:sz w:val="12"/>
                <w:szCs w:val="12"/>
                <w:color w:val="auto"/>
              </w:rPr>
              <w:t>THER</w:t>
            </w:r>
            <w:r>
              <w:rPr>
                <w:rFonts w:ascii="Arial" w:cs="Arial" w:eastAsia="Arial" w:hAnsi="Arial"/>
                <w:sz w:val="18"/>
                <w:szCs w:val="18"/>
                <w:color w:val="auto"/>
              </w:rPr>
              <w:t xml:space="preserve"> C</w:t>
            </w:r>
            <w:r>
              <w:rPr>
                <w:rFonts w:ascii="Arial" w:cs="Arial" w:eastAsia="Arial" w:hAnsi="Arial"/>
                <w:sz w:val="12"/>
                <w:szCs w:val="12"/>
                <w:color w:val="auto"/>
              </w:rPr>
              <w:t>OSTS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rPr>
              <w:t>Section 14.1.</w:t>
            </w:r>
          </w:p>
        </w:tc>
        <w:tc>
          <w:tcPr>
            <w:tcW w:w="7780" w:type="dxa"/>
            <w:vAlign w:val="bottom"/>
          </w:tcPr>
          <w:p>
            <w:pPr>
              <w:ind w:left="340"/>
              <w:spacing w:after="0"/>
              <w:rPr>
                <w:sz w:val="20"/>
                <w:szCs w:val="20"/>
                <w:color w:val="auto"/>
              </w:rPr>
            </w:pPr>
            <w:r>
              <w:rPr>
                <w:rFonts w:ascii="Arial" w:cs="Arial" w:eastAsia="Arial" w:hAnsi="Arial"/>
                <w:sz w:val="18"/>
                <w:szCs w:val="18"/>
                <w:color w:val="auto"/>
              </w:rPr>
              <w:t>LIBO Rate Lending Unlawful</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14.2.</w:t>
            </w:r>
          </w:p>
        </w:tc>
        <w:tc>
          <w:tcPr>
            <w:tcW w:w="7780" w:type="dxa"/>
            <w:vAlign w:val="bottom"/>
          </w:tcPr>
          <w:p>
            <w:pPr>
              <w:ind w:left="340"/>
              <w:spacing w:after="0"/>
              <w:rPr>
                <w:sz w:val="20"/>
                <w:szCs w:val="20"/>
                <w:color w:val="auto"/>
              </w:rPr>
            </w:pPr>
            <w:r>
              <w:rPr>
                <w:rFonts w:ascii="Arial" w:cs="Arial" w:eastAsia="Arial" w:hAnsi="Arial"/>
                <w:sz w:val="18"/>
                <w:szCs w:val="18"/>
                <w:color w:val="auto"/>
              </w:rPr>
              <w:t>Deposits Unavailable</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14.3.</w:t>
            </w:r>
          </w:p>
        </w:tc>
        <w:tc>
          <w:tcPr>
            <w:tcW w:w="7780" w:type="dxa"/>
            <w:vAlign w:val="bottom"/>
          </w:tcPr>
          <w:p>
            <w:pPr>
              <w:ind w:left="340"/>
              <w:spacing w:after="0"/>
              <w:rPr>
                <w:sz w:val="20"/>
                <w:szCs w:val="20"/>
                <w:color w:val="auto"/>
              </w:rPr>
            </w:pPr>
            <w:r>
              <w:rPr>
                <w:rFonts w:ascii="Arial" w:cs="Arial" w:eastAsia="Arial" w:hAnsi="Arial"/>
                <w:sz w:val="18"/>
                <w:szCs w:val="18"/>
                <w:color w:val="auto"/>
              </w:rPr>
              <w:t>Increased Costs, etc</w:t>
            </w:r>
          </w:p>
        </w:tc>
        <w:tc>
          <w:tcPr>
            <w:tcW w:w="2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14.4.</w:t>
            </w:r>
          </w:p>
        </w:tc>
        <w:tc>
          <w:tcPr>
            <w:tcW w:w="7780" w:type="dxa"/>
            <w:vAlign w:val="bottom"/>
          </w:tcPr>
          <w:p>
            <w:pPr>
              <w:ind w:left="340"/>
              <w:spacing w:after="0"/>
              <w:rPr>
                <w:sz w:val="20"/>
                <w:szCs w:val="20"/>
                <w:color w:val="auto"/>
              </w:rPr>
            </w:pPr>
            <w:r>
              <w:rPr>
                <w:rFonts w:ascii="Arial" w:cs="Arial" w:eastAsia="Arial" w:hAnsi="Arial"/>
                <w:sz w:val="18"/>
                <w:szCs w:val="18"/>
                <w:color w:val="auto"/>
              </w:rPr>
              <w:t>Funding Losses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14.5.</w:t>
            </w:r>
          </w:p>
        </w:tc>
        <w:tc>
          <w:tcPr>
            <w:tcW w:w="7780" w:type="dxa"/>
            <w:vAlign w:val="bottom"/>
          </w:tcPr>
          <w:p>
            <w:pPr>
              <w:ind w:left="340"/>
              <w:spacing w:after="0"/>
              <w:rPr>
                <w:sz w:val="20"/>
                <w:szCs w:val="20"/>
                <w:color w:val="auto"/>
              </w:rPr>
            </w:pPr>
            <w:r>
              <w:rPr>
                <w:rFonts w:ascii="Arial" w:cs="Arial" w:eastAsia="Arial" w:hAnsi="Arial"/>
                <w:sz w:val="18"/>
                <w:szCs w:val="18"/>
                <w:color w:val="auto"/>
              </w:rPr>
              <w:t>Increased Capital Costs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14.6.</w:t>
            </w:r>
          </w:p>
        </w:tc>
        <w:tc>
          <w:tcPr>
            <w:tcW w:w="7780" w:type="dxa"/>
            <w:vAlign w:val="bottom"/>
          </w:tcPr>
          <w:p>
            <w:pPr>
              <w:ind w:left="340"/>
              <w:spacing w:after="0"/>
              <w:rPr>
                <w:sz w:val="20"/>
                <w:szCs w:val="20"/>
                <w:color w:val="auto"/>
              </w:rPr>
            </w:pPr>
            <w:r>
              <w:rPr>
                <w:rFonts w:ascii="Arial" w:cs="Arial" w:eastAsia="Arial" w:hAnsi="Arial"/>
                <w:sz w:val="18"/>
                <w:szCs w:val="18"/>
                <w:color w:val="auto"/>
              </w:rPr>
              <w:t>After Tax Basis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14.7.</w:t>
            </w:r>
          </w:p>
        </w:tc>
        <w:tc>
          <w:tcPr>
            <w:tcW w:w="7780" w:type="dxa"/>
            <w:vAlign w:val="bottom"/>
          </w:tcPr>
          <w:p>
            <w:pPr>
              <w:ind w:left="340"/>
              <w:spacing w:after="0"/>
              <w:rPr>
                <w:sz w:val="20"/>
                <w:szCs w:val="20"/>
                <w:color w:val="auto"/>
              </w:rPr>
            </w:pPr>
            <w:r>
              <w:rPr>
                <w:rFonts w:ascii="Arial" w:cs="Arial" w:eastAsia="Arial" w:hAnsi="Arial"/>
                <w:sz w:val="18"/>
                <w:szCs w:val="18"/>
                <w:color w:val="auto"/>
              </w:rPr>
              <w:t>Applicability of Certain Sections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14.8.</w:t>
            </w:r>
          </w:p>
        </w:tc>
        <w:tc>
          <w:tcPr>
            <w:tcW w:w="7780" w:type="dxa"/>
            <w:vAlign w:val="bottom"/>
          </w:tcPr>
          <w:p>
            <w:pPr>
              <w:ind w:left="340"/>
              <w:spacing w:after="0"/>
              <w:rPr>
                <w:sz w:val="20"/>
                <w:szCs w:val="20"/>
                <w:color w:val="auto"/>
              </w:rPr>
            </w:pPr>
            <w:r>
              <w:rPr>
                <w:rFonts w:ascii="Arial" w:cs="Arial" w:eastAsia="Arial" w:hAnsi="Arial"/>
                <w:sz w:val="18"/>
                <w:szCs w:val="18"/>
                <w:color w:val="auto"/>
              </w:rPr>
              <w:t>Funding Office</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14.9.</w:t>
            </w:r>
          </w:p>
        </w:tc>
        <w:tc>
          <w:tcPr>
            <w:tcW w:w="7780" w:type="dxa"/>
            <w:vAlign w:val="bottom"/>
          </w:tcPr>
          <w:p>
            <w:pPr>
              <w:ind w:left="340"/>
              <w:spacing w:after="0"/>
              <w:rPr>
                <w:sz w:val="20"/>
                <w:szCs w:val="20"/>
                <w:color w:val="auto"/>
              </w:rPr>
            </w:pPr>
            <w:r>
              <w:rPr>
                <w:rFonts w:ascii="Arial" w:cs="Arial" w:eastAsia="Arial" w:hAnsi="Arial"/>
                <w:sz w:val="18"/>
                <w:szCs w:val="18"/>
                <w:color w:val="auto"/>
              </w:rPr>
              <w:t>Replacement of Participants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w:t>
            </w:r>
          </w:p>
        </w:tc>
        <w:tc>
          <w:tcPr>
            <w:tcW w:w="7780" w:type="dxa"/>
            <w:vAlign w:val="bottom"/>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tc>
        <w:tc>
          <w:tcPr>
            <w:tcW w:w="2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05"/>
        </w:trPr>
        <w:tc>
          <w:tcPr>
            <w:tcW w:w="1460" w:type="dxa"/>
            <w:vAlign w:val="bottom"/>
          </w:tcPr>
          <w:p>
            <w:pPr>
              <w:spacing w:after="0"/>
              <w:rPr>
                <w:sz w:val="24"/>
                <w:szCs w:val="24"/>
                <w:color w:val="auto"/>
              </w:rPr>
            </w:pPr>
          </w:p>
        </w:tc>
        <w:tc>
          <w:tcPr>
            <w:tcW w:w="7780" w:type="dxa"/>
            <w:vAlign w:val="bottom"/>
          </w:tcPr>
          <w:p>
            <w:pPr>
              <w:ind w:left="4200"/>
              <w:spacing w:after="0"/>
              <w:rPr>
                <w:sz w:val="20"/>
                <w:szCs w:val="20"/>
                <w:color w:val="auto"/>
              </w:rPr>
            </w:pPr>
            <w:r>
              <w:rPr>
                <w:rFonts w:ascii="Arial" w:cs="Arial" w:eastAsia="Arial" w:hAnsi="Arial"/>
                <w:sz w:val="18"/>
                <w:szCs w:val="18"/>
                <w:color w:val="auto"/>
              </w:rPr>
              <w:t>ii</w:t>
            </w:r>
          </w:p>
        </w:tc>
        <w:tc>
          <w:tcPr>
            <w:tcW w:w="2180" w:type="dxa"/>
            <w:vAlign w:val="bottom"/>
          </w:tcPr>
          <w:p>
            <w:pPr>
              <w:spacing w:after="0"/>
              <w:rPr>
                <w:sz w:val="24"/>
                <w:szCs w:val="24"/>
                <w:color w:val="auto"/>
              </w:rPr>
            </w:pPr>
          </w:p>
        </w:tc>
      </w:tr>
      <w:tr>
        <w:trPr>
          <w:trHeight w:val="250"/>
        </w:trPr>
        <w:tc>
          <w:tcPr>
            <w:tcW w:w="1460" w:type="dxa"/>
            <w:vAlign w:val="bottom"/>
            <w:tcBorders>
              <w:bottom w:val="single" w:sz="8" w:color="C0C0C0"/>
            </w:tcBorders>
          </w:tcPr>
          <w:p>
            <w:pPr>
              <w:spacing w:after="0"/>
              <w:rPr>
                <w:sz w:val="21"/>
                <w:szCs w:val="21"/>
                <w:color w:val="auto"/>
              </w:rPr>
            </w:pPr>
          </w:p>
        </w:tc>
        <w:tc>
          <w:tcPr>
            <w:tcW w:w="7780" w:type="dxa"/>
            <w:vAlign w:val="bottom"/>
            <w:tcBorders>
              <w:bottom w:val="single" w:sz="8" w:color="C0C0C0"/>
            </w:tcBorders>
          </w:tcPr>
          <w:p>
            <w:pPr>
              <w:spacing w:after="0"/>
              <w:rPr>
                <w:sz w:val="21"/>
                <w:szCs w:val="21"/>
                <w:color w:val="auto"/>
              </w:rPr>
            </w:pPr>
          </w:p>
        </w:tc>
        <w:tc>
          <w:tcPr>
            <w:tcW w:w="21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9"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15.1.</w:t>
            </w:r>
          </w:p>
        </w:tc>
        <w:tc>
          <w:tcPr>
            <w:tcW w:w="6840" w:type="dxa"/>
            <w:vAlign w:val="bottom"/>
          </w:tcPr>
          <w:p>
            <w:pPr>
              <w:ind w:left="480"/>
              <w:spacing w:after="0"/>
              <w:rPr>
                <w:sz w:val="20"/>
                <w:szCs w:val="20"/>
                <w:color w:val="auto"/>
              </w:rPr>
            </w:pPr>
            <w:r>
              <w:rPr>
                <w:rFonts w:ascii="Arial" w:cs="Arial" w:eastAsia="Arial" w:hAnsi="Arial"/>
                <w:sz w:val="18"/>
                <w:szCs w:val="18"/>
                <w:color w:val="auto"/>
              </w:rPr>
              <w:t>Survival of Agreements</w:t>
            </w:r>
          </w:p>
        </w:tc>
        <w:tc>
          <w:tcPr>
            <w:tcW w:w="2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15.2.</w:t>
            </w:r>
          </w:p>
        </w:tc>
        <w:tc>
          <w:tcPr>
            <w:tcW w:w="6840" w:type="dxa"/>
            <w:vAlign w:val="bottom"/>
          </w:tcPr>
          <w:p>
            <w:pPr>
              <w:ind w:left="480"/>
              <w:spacing w:after="0"/>
              <w:rPr>
                <w:sz w:val="20"/>
                <w:szCs w:val="20"/>
                <w:color w:val="auto"/>
              </w:rPr>
            </w:pPr>
            <w:r>
              <w:rPr>
                <w:rFonts w:ascii="Arial" w:cs="Arial" w:eastAsia="Arial" w:hAnsi="Arial"/>
                <w:sz w:val="18"/>
                <w:szCs w:val="18"/>
                <w:color w:val="auto"/>
              </w:rPr>
              <w:t>No Broker, Etc.</w:t>
            </w:r>
          </w:p>
        </w:tc>
        <w:tc>
          <w:tcPr>
            <w:tcW w:w="2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15.3.</w:t>
            </w:r>
          </w:p>
        </w:tc>
        <w:tc>
          <w:tcPr>
            <w:tcW w:w="6840" w:type="dxa"/>
            <w:vAlign w:val="bottom"/>
          </w:tcPr>
          <w:p>
            <w:pPr>
              <w:ind w:left="480"/>
              <w:spacing w:after="0"/>
              <w:rPr>
                <w:sz w:val="20"/>
                <w:szCs w:val="20"/>
                <w:color w:val="auto"/>
              </w:rPr>
            </w:pPr>
            <w:r>
              <w:rPr>
                <w:rFonts w:ascii="Arial" w:cs="Arial" w:eastAsia="Arial" w:hAnsi="Arial"/>
                <w:sz w:val="18"/>
                <w:szCs w:val="18"/>
                <w:color w:val="auto"/>
              </w:rPr>
              <w:t>Notices</w:t>
            </w:r>
          </w:p>
        </w:tc>
        <w:tc>
          <w:tcPr>
            <w:tcW w:w="2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15.4.</w:t>
            </w:r>
          </w:p>
        </w:tc>
        <w:tc>
          <w:tcPr>
            <w:tcW w:w="6840" w:type="dxa"/>
            <w:vAlign w:val="bottom"/>
          </w:tcPr>
          <w:p>
            <w:pPr>
              <w:ind w:left="480"/>
              <w:spacing w:after="0"/>
              <w:rPr>
                <w:sz w:val="20"/>
                <w:szCs w:val="20"/>
                <w:color w:val="auto"/>
              </w:rPr>
            </w:pPr>
            <w:r>
              <w:rPr>
                <w:rFonts w:ascii="Arial" w:cs="Arial" w:eastAsia="Arial" w:hAnsi="Arial"/>
                <w:sz w:val="18"/>
                <w:szCs w:val="18"/>
                <w:color w:val="auto"/>
              </w:rPr>
              <w:t>Counterparts</w:t>
            </w:r>
          </w:p>
        </w:tc>
        <w:tc>
          <w:tcPr>
            <w:tcW w:w="2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15.5.</w:t>
            </w:r>
          </w:p>
        </w:tc>
        <w:tc>
          <w:tcPr>
            <w:tcW w:w="6840" w:type="dxa"/>
            <w:vAlign w:val="bottom"/>
          </w:tcPr>
          <w:p>
            <w:pPr>
              <w:ind w:left="480"/>
              <w:spacing w:after="0"/>
              <w:rPr>
                <w:sz w:val="20"/>
                <w:szCs w:val="20"/>
                <w:color w:val="auto"/>
              </w:rPr>
            </w:pPr>
            <w:r>
              <w:rPr>
                <w:rFonts w:ascii="Arial" w:cs="Arial" w:eastAsia="Arial" w:hAnsi="Arial"/>
                <w:sz w:val="18"/>
                <w:szCs w:val="18"/>
                <w:color w:val="auto"/>
              </w:rPr>
              <w:t>Amendments</w:t>
            </w:r>
          </w:p>
        </w:tc>
        <w:tc>
          <w:tcPr>
            <w:tcW w:w="2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15.6.</w:t>
            </w:r>
          </w:p>
        </w:tc>
        <w:tc>
          <w:tcPr>
            <w:tcW w:w="6840" w:type="dxa"/>
            <w:vAlign w:val="bottom"/>
          </w:tcPr>
          <w:p>
            <w:pPr>
              <w:ind w:left="480"/>
              <w:spacing w:after="0"/>
              <w:rPr>
                <w:sz w:val="20"/>
                <w:szCs w:val="20"/>
                <w:color w:val="auto"/>
              </w:rPr>
            </w:pPr>
            <w:r>
              <w:rPr>
                <w:rFonts w:ascii="Arial" w:cs="Arial" w:eastAsia="Arial" w:hAnsi="Arial"/>
                <w:sz w:val="18"/>
                <w:szCs w:val="18"/>
                <w:color w:val="auto"/>
              </w:rPr>
              <w:t>Obligations</w:t>
            </w:r>
          </w:p>
        </w:tc>
        <w:tc>
          <w:tcPr>
            <w:tcW w:w="2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15.7.</w:t>
            </w:r>
          </w:p>
        </w:tc>
        <w:tc>
          <w:tcPr>
            <w:tcW w:w="6840" w:type="dxa"/>
            <w:vAlign w:val="bottom"/>
          </w:tcPr>
          <w:p>
            <w:pPr>
              <w:ind w:left="480"/>
              <w:spacing w:after="0"/>
              <w:rPr>
                <w:sz w:val="20"/>
                <w:szCs w:val="20"/>
                <w:color w:val="auto"/>
              </w:rPr>
            </w:pPr>
            <w:r>
              <w:rPr>
                <w:rFonts w:ascii="Arial" w:cs="Arial" w:eastAsia="Arial" w:hAnsi="Arial"/>
                <w:sz w:val="18"/>
                <w:szCs w:val="18"/>
                <w:color w:val="auto"/>
              </w:rPr>
              <w:t>Headings, Etc</w:t>
            </w:r>
          </w:p>
        </w:tc>
        <w:tc>
          <w:tcPr>
            <w:tcW w:w="2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15.8.</w:t>
            </w:r>
          </w:p>
        </w:tc>
        <w:tc>
          <w:tcPr>
            <w:tcW w:w="6840" w:type="dxa"/>
            <w:vAlign w:val="bottom"/>
          </w:tcPr>
          <w:p>
            <w:pPr>
              <w:ind w:left="480"/>
              <w:spacing w:after="0"/>
              <w:rPr>
                <w:sz w:val="20"/>
                <w:szCs w:val="20"/>
                <w:color w:val="auto"/>
              </w:rPr>
            </w:pPr>
            <w:r>
              <w:rPr>
                <w:rFonts w:ascii="Arial" w:cs="Arial" w:eastAsia="Arial" w:hAnsi="Arial"/>
                <w:sz w:val="18"/>
                <w:szCs w:val="18"/>
                <w:color w:val="auto"/>
              </w:rPr>
              <w:t>Parties in Interest</w:t>
            </w:r>
          </w:p>
        </w:tc>
        <w:tc>
          <w:tcPr>
            <w:tcW w:w="2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15.9.</w:t>
            </w:r>
          </w:p>
        </w:tc>
        <w:tc>
          <w:tcPr>
            <w:tcW w:w="6840" w:type="dxa"/>
            <w:vAlign w:val="bottom"/>
          </w:tcPr>
          <w:p>
            <w:pPr>
              <w:ind w:left="480"/>
              <w:spacing w:after="0"/>
              <w:rPr>
                <w:sz w:val="20"/>
                <w:szCs w:val="20"/>
                <w:color w:val="auto"/>
              </w:rPr>
            </w:pPr>
            <w:r>
              <w:rPr>
                <w:rFonts w:ascii="Arial" w:cs="Arial" w:eastAsia="Arial" w:hAnsi="Arial"/>
                <w:sz w:val="18"/>
                <w:szCs w:val="18"/>
                <w:color w:val="auto"/>
              </w:rPr>
              <w:t>Governing Law</w:t>
            </w:r>
          </w:p>
        </w:tc>
        <w:tc>
          <w:tcPr>
            <w:tcW w:w="2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15.10.</w:t>
            </w:r>
          </w:p>
        </w:tc>
        <w:tc>
          <w:tcPr>
            <w:tcW w:w="6840" w:type="dxa"/>
            <w:vAlign w:val="bottom"/>
          </w:tcPr>
          <w:p>
            <w:pPr>
              <w:ind w:left="480"/>
              <w:spacing w:after="0"/>
              <w:rPr>
                <w:sz w:val="20"/>
                <w:szCs w:val="20"/>
                <w:color w:val="auto"/>
              </w:rPr>
            </w:pPr>
            <w:r>
              <w:rPr>
                <w:rFonts w:ascii="Arial" w:cs="Arial" w:eastAsia="Arial" w:hAnsi="Arial"/>
                <w:sz w:val="18"/>
                <w:szCs w:val="18"/>
                <w:color w:val="auto"/>
              </w:rPr>
              <w:t>Severability</w:t>
            </w:r>
          </w:p>
        </w:tc>
        <w:tc>
          <w:tcPr>
            <w:tcW w:w="2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15.11.</w:t>
            </w:r>
          </w:p>
        </w:tc>
        <w:tc>
          <w:tcPr>
            <w:tcW w:w="6840" w:type="dxa"/>
            <w:vAlign w:val="bottom"/>
          </w:tcPr>
          <w:p>
            <w:pPr>
              <w:ind w:left="480"/>
              <w:spacing w:after="0"/>
              <w:rPr>
                <w:sz w:val="20"/>
                <w:szCs w:val="20"/>
                <w:color w:val="auto"/>
              </w:rPr>
            </w:pPr>
            <w:r>
              <w:rPr>
                <w:rFonts w:ascii="Arial" w:cs="Arial" w:eastAsia="Arial" w:hAnsi="Arial"/>
                <w:sz w:val="18"/>
                <w:szCs w:val="18"/>
                <w:color w:val="auto"/>
              </w:rPr>
              <w:t>Further Assurances</w:t>
            </w:r>
          </w:p>
        </w:tc>
        <w:tc>
          <w:tcPr>
            <w:tcW w:w="2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15.12.</w:t>
            </w:r>
          </w:p>
        </w:tc>
        <w:tc>
          <w:tcPr>
            <w:tcW w:w="6840" w:type="dxa"/>
            <w:vAlign w:val="bottom"/>
          </w:tcPr>
          <w:p>
            <w:pPr>
              <w:ind w:left="480"/>
              <w:spacing w:after="0"/>
              <w:rPr>
                <w:sz w:val="20"/>
                <w:szCs w:val="20"/>
                <w:color w:val="auto"/>
              </w:rPr>
            </w:pPr>
            <w:r>
              <w:rPr>
                <w:rFonts w:ascii="Arial" w:cs="Arial" w:eastAsia="Arial" w:hAnsi="Arial"/>
                <w:sz w:val="18"/>
                <w:szCs w:val="18"/>
                <w:color w:val="auto"/>
              </w:rPr>
              <w:t>Submission to Jurisdiction</w:t>
            </w:r>
          </w:p>
        </w:tc>
        <w:tc>
          <w:tcPr>
            <w:tcW w:w="2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15.13.</w:t>
            </w:r>
          </w:p>
        </w:tc>
        <w:tc>
          <w:tcPr>
            <w:tcW w:w="6840" w:type="dxa"/>
            <w:vAlign w:val="bottom"/>
          </w:tcPr>
          <w:p>
            <w:pPr>
              <w:ind w:left="480"/>
              <w:spacing w:after="0"/>
              <w:rPr>
                <w:sz w:val="20"/>
                <w:szCs w:val="20"/>
                <w:color w:val="auto"/>
              </w:rPr>
            </w:pPr>
            <w:r>
              <w:rPr>
                <w:rFonts w:ascii="Arial" w:cs="Arial" w:eastAsia="Arial" w:hAnsi="Arial"/>
                <w:sz w:val="18"/>
                <w:szCs w:val="18"/>
                <w:color w:val="auto"/>
              </w:rPr>
              <w:t>Waiver of Jury Trial</w:t>
            </w:r>
          </w:p>
        </w:tc>
        <w:tc>
          <w:tcPr>
            <w:tcW w:w="2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15.14.</w:t>
            </w:r>
          </w:p>
        </w:tc>
        <w:tc>
          <w:tcPr>
            <w:tcW w:w="6840" w:type="dxa"/>
            <w:vAlign w:val="bottom"/>
          </w:tcPr>
          <w:p>
            <w:pPr>
              <w:ind w:left="480"/>
              <w:spacing w:after="0"/>
              <w:rPr>
                <w:sz w:val="20"/>
                <w:szCs w:val="20"/>
                <w:color w:val="auto"/>
              </w:rPr>
            </w:pPr>
            <w:r>
              <w:rPr>
                <w:rFonts w:ascii="Arial" w:cs="Arial" w:eastAsia="Arial" w:hAnsi="Arial"/>
                <w:sz w:val="18"/>
                <w:szCs w:val="18"/>
                <w:color w:val="auto"/>
              </w:rPr>
              <w:t>Confidentiality</w:t>
            </w:r>
          </w:p>
        </w:tc>
        <w:tc>
          <w:tcPr>
            <w:tcW w:w="2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15.15.</w:t>
            </w:r>
          </w:p>
        </w:tc>
        <w:tc>
          <w:tcPr>
            <w:tcW w:w="6840" w:type="dxa"/>
            <w:vAlign w:val="bottom"/>
          </w:tcPr>
          <w:p>
            <w:pPr>
              <w:ind w:left="480"/>
              <w:spacing w:after="0"/>
              <w:rPr>
                <w:sz w:val="20"/>
                <w:szCs w:val="20"/>
                <w:color w:val="auto"/>
              </w:rPr>
            </w:pPr>
            <w:r>
              <w:rPr>
                <w:rFonts w:ascii="Arial" w:cs="Arial" w:eastAsia="Arial" w:hAnsi="Arial"/>
                <w:sz w:val="18"/>
                <w:szCs w:val="18"/>
                <w:color w:val="auto"/>
              </w:rPr>
              <w:t>Limited Liability of Lessor</w:t>
            </w:r>
          </w:p>
        </w:tc>
        <w:tc>
          <w:tcPr>
            <w:tcW w:w="2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15.16.</w:t>
            </w:r>
          </w:p>
        </w:tc>
        <w:tc>
          <w:tcPr>
            <w:tcW w:w="6840" w:type="dxa"/>
            <w:vAlign w:val="bottom"/>
          </w:tcPr>
          <w:p>
            <w:pPr>
              <w:ind w:left="480"/>
              <w:spacing w:after="0"/>
              <w:rPr>
                <w:sz w:val="20"/>
                <w:szCs w:val="20"/>
                <w:color w:val="auto"/>
              </w:rPr>
            </w:pPr>
            <w:r>
              <w:rPr>
                <w:rFonts w:ascii="Arial" w:cs="Arial" w:eastAsia="Arial" w:hAnsi="Arial"/>
                <w:sz w:val="18"/>
                <w:szCs w:val="18"/>
                <w:color w:val="auto"/>
              </w:rPr>
              <w:t>Limited Liability of Administrative Agent</w:t>
            </w:r>
          </w:p>
        </w:tc>
        <w:tc>
          <w:tcPr>
            <w:tcW w:w="2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15.17.</w:t>
            </w:r>
          </w:p>
        </w:tc>
        <w:tc>
          <w:tcPr>
            <w:tcW w:w="6840" w:type="dxa"/>
            <w:vAlign w:val="bottom"/>
          </w:tcPr>
          <w:p>
            <w:pPr>
              <w:ind w:left="480"/>
              <w:spacing w:after="0"/>
              <w:rPr>
                <w:sz w:val="20"/>
                <w:szCs w:val="20"/>
                <w:color w:val="auto"/>
              </w:rPr>
            </w:pPr>
            <w:r>
              <w:rPr>
                <w:rFonts w:ascii="Arial" w:cs="Arial" w:eastAsia="Arial" w:hAnsi="Arial"/>
                <w:sz w:val="18"/>
                <w:szCs w:val="18"/>
                <w:color w:val="auto"/>
              </w:rPr>
              <w:t>Payment of Transaction Expenses and Other Costs</w:t>
            </w:r>
          </w:p>
        </w:tc>
        <w:tc>
          <w:tcPr>
            <w:tcW w:w="2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15.18.</w:t>
            </w:r>
          </w:p>
        </w:tc>
        <w:tc>
          <w:tcPr>
            <w:tcW w:w="6840" w:type="dxa"/>
            <w:vAlign w:val="bottom"/>
          </w:tcPr>
          <w:p>
            <w:pPr>
              <w:ind w:left="480"/>
              <w:spacing w:after="0"/>
              <w:rPr>
                <w:sz w:val="20"/>
                <w:szCs w:val="20"/>
                <w:color w:val="auto"/>
              </w:rPr>
            </w:pPr>
            <w:r>
              <w:rPr>
                <w:rFonts w:ascii="Arial" w:cs="Arial" w:eastAsia="Arial" w:hAnsi="Arial"/>
                <w:sz w:val="18"/>
                <w:szCs w:val="18"/>
                <w:color w:val="auto"/>
              </w:rPr>
              <w:t>Reproduction of Documents</w:t>
            </w:r>
          </w:p>
        </w:tc>
        <w:tc>
          <w:tcPr>
            <w:tcW w:w="2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15.19.</w:t>
            </w:r>
          </w:p>
        </w:tc>
        <w:tc>
          <w:tcPr>
            <w:tcW w:w="6840" w:type="dxa"/>
            <w:vAlign w:val="bottom"/>
          </w:tcPr>
          <w:p>
            <w:pPr>
              <w:ind w:left="480"/>
              <w:spacing w:after="0"/>
              <w:rPr>
                <w:sz w:val="20"/>
                <w:szCs w:val="20"/>
                <w:color w:val="auto"/>
              </w:rPr>
            </w:pPr>
            <w:r>
              <w:rPr>
                <w:rFonts w:ascii="Arial" w:cs="Arial" w:eastAsia="Arial" w:hAnsi="Arial"/>
                <w:sz w:val="18"/>
                <w:szCs w:val="18"/>
                <w:color w:val="auto"/>
              </w:rPr>
              <w:t>Role of Arranger</w:t>
            </w:r>
          </w:p>
        </w:tc>
        <w:tc>
          <w:tcPr>
            <w:tcW w:w="2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15.20.</w:t>
            </w:r>
          </w:p>
        </w:tc>
        <w:tc>
          <w:tcPr>
            <w:tcW w:w="6840" w:type="dxa"/>
            <w:vAlign w:val="bottom"/>
          </w:tcPr>
          <w:p>
            <w:pPr>
              <w:ind w:left="480"/>
              <w:spacing w:after="0"/>
              <w:rPr>
                <w:sz w:val="20"/>
                <w:szCs w:val="20"/>
                <w:color w:val="auto"/>
              </w:rPr>
            </w:pPr>
            <w:r>
              <w:rPr>
                <w:rFonts w:ascii="Arial" w:cs="Arial" w:eastAsia="Arial" w:hAnsi="Arial"/>
                <w:sz w:val="18"/>
                <w:szCs w:val="18"/>
                <w:color w:val="auto"/>
              </w:rPr>
              <w:t>Retention of Consultants</w:t>
            </w:r>
          </w:p>
        </w:tc>
        <w:tc>
          <w:tcPr>
            <w:tcW w:w="2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15.21.</w:t>
            </w:r>
          </w:p>
        </w:tc>
        <w:tc>
          <w:tcPr>
            <w:tcW w:w="6840" w:type="dxa"/>
            <w:vAlign w:val="bottom"/>
          </w:tcPr>
          <w:p>
            <w:pPr>
              <w:ind w:left="480"/>
              <w:spacing w:after="0"/>
              <w:rPr>
                <w:sz w:val="20"/>
                <w:szCs w:val="20"/>
                <w:color w:val="auto"/>
              </w:rPr>
            </w:pPr>
            <w:r>
              <w:rPr>
                <w:rFonts w:ascii="Arial" w:cs="Arial" w:eastAsia="Arial" w:hAnsi="Arial"/>
                <w:sz w:val="18"/>
                <w:szCs w:val="18"/>
                <w:color w:val="auto"/>
              </w:rPr>
              <w:t>Liability Limited</w:t>
            </w:r>
          </w:p>
        </w:tc>
        <w:tc>
          <w:tcPr>
            <w:tcW w:w="2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15.22.</w:t>
            </w:r>
          </w:p>
        </w:tc>
        <w:tc>
          <w:tcPr>
            <w:tcW w:w="6840" w:type="dxa"/>
            <w:vAlign w:val="bottom"/>
          </w:tcPr>
          <w:p>
            <w:pPr>
              <w:ind w:left="480"/>
              <w:spacing w:after="0"/>
              <w:rPr>
                <w:sz w:val="20"/>
                <w:szCs w:val="20"/>
                <w:color w:val="auto"/>
              </w:rPr>
            </w:pPr>
            <w:r>
              <w:rPr>
                <w:rFonts w:ascii="Arial" w:cs="Arial" w:eastAsia="Arial" w:hAnsi="Arial"/>
                <w:sz w:val="18"/>
                <w:szCs w:val="18"/>
                <w:color w:val="auto"/>
              </w:rPr>
              <w:t>Deliveries to Participants</w:t>
            </w:r>
          </w:p>
        </w:tc>
        <w:tc>
          <w:tcPr>
            <w:tcW w:w="2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15.23.</w:t>
            </w:r>
          </w:p>
        </w:tc>
        <w:tc>
          <w:tcPr>
            <w:tcW w:w="6840" w:type="dxa"/>
            <w:vAlign w:val="bottom"/>
          </w:tcPr>
          <w:p>
            <w:pPr>
              <w:ind w:left="480"/>
              <w:spacing w:after="0"/>
              <w:rPr>
                <w:sz w:val="20"/>
                <w:szCs w:val="20"/>
                <w:color w:val="auto"/>
              </w:rPr>
            </w:pPr>
            <w:r>
              <w:rPr>
                <w:rFonts w:ascii="Arial" w:cs="Arial" w:eastAsia="Arial" w:hAnsi="Arial"/>
                <w:sz w:val="18"/>
                <w:szCs w:val="18"/>
                <w:color w:val="auto"/>
              </w:rPr>
              <w:t>USA patriot Act Notice</w:t>
            </w:r>
          </w:p>
        </w:tc>
        <w:tc>
          <w:tcPr>
            <w:tcW w:w="2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15.24.</w:t>
            </w:r>
          </w:p>
        </w:tc>
        <w:tc>
          <w:tcPr>
            <w:tcW w:w="6840" w:type="dxa"/>
            <w:vAlign w:val="bottom"/>
          </w:tcPr>
          <w:p>
            <w:pPr>
              <w:ind w:left="480"/>
              <w:spacing w:after="0"/>
              <w:rPr>
                <w:sz w:val="20"/>
                <w:szCs w:val="20"/>
                <w:color w:val="auto"/>
              </w:rPr>
            </w:pPr>
            <w:r>
              <w:rPr>
                <w:rFonts w:ascii="Arial" w:cs="Arial" w:eastAsia="Arial" w:hAnsi="Arial"/>
                <w:sz w:val="18"/>
                <w:szCs w:val="18"/>
                <w:color w:val="auto"/>
              </w:rPr>
              <w:t>No Advisory or Fiduciary Responsibility</w:t>
            </w:r>
          </w:p>
        </w:tc>
        <w:tc>
          <w:tcPr>
            <w:tcW w:w="2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15.25.</w:t>
            </w:r>
          </w:p>
        </w:tc>
        <w:tc>
          <w:tcPr>
            <w:tcW w:w="6840" w:type="dxa"/>
            <w:vAlign w:val="bottom"/>
          </w:tcPr>
          <w:p>
            <w:pPr>
              <w:ind w:left="480"/>
              <w:spacing w:after="0"/>
              <w:rPr>
                <w:sz w:val="20"/>
                <w:szCs w:val="20"/>
                <w:color w:val="auto"/>
              </w:rPr>
            </w:pPr>
            <w:r>
              <w:rPr>
                <w:rFonts w:ascii="Arial" w:cs="Arial" w:eastAsia="Arial" w:hAnsi="Arial"/>
                <w:sz w:val="18"/>
                <w:szCs w:val="18"/>
                <w:color w:val="auto"/>
              </w:rPr>
              <w:t>Certain Confidentiality Obligations of Lessee</w:t>
            </w:r>
          </w:p>
        </w:tc>
        <w:tc>
          <w:tcPr>
            <w:tcW w:w="2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660" w:type="dxa"/>
            <w:vAlign w:val="bottom"/>
          </w:tcPr>
          <w:p>
            <w:pPr>
              <w:ind w:left="340"/>
              <w:spacing w:after="0"/>
              <w:rPr>
                <w:sz w:val="20"/>
                <w:szCs w:val="20"/>
                <w:color w:val="auto"/>
              </w:rPr>
            </w:pPr>
            <w:r>
              <w:rPr>
                <w:rFonts w:ascii="Arial" w:cs="Arial" w:eastAsia="Arial" w:hAnsi="Arial"/>
                <w:sz w:val="18"/>
                <w:szCs w:val="18"/>
                <w:color w:val="auto"/>
              </w:rPr>
              <w:t>Section 15.26.</w:t>
            </w:r>
          </w:p>
        </w:tc>
        <w:tc>
          <w:tcPr>
            <w:tcW w:w="6840" w:type="dxa"/>
            <w:vAlign w:val="bottom"/>
          </w:tcPr>
          <w:p>
            <w:pPr>
              <w:ind w:left="480"/>
              <w:spacing w:after="0"/>
              <w:rPr>
                <w:sz w:val="20"/>
                <w:szCs w:val="20"/>
                <w:color w:val="auto"/>
              </w:rPr>
            </w:pPr>
            <w:r>
              <w:rPr>
                <w:rFonts w:ascii="Arial" w:cs="Arial" w:eastAsia="Arial" w:hAnsi="Arial"/>
                <w:sz w:val="18"/>
                <w:szCs w:val="18"/>
                <w:color w:val="auto"/>
              </w:rPr>
              <w:t>Effect of Restatement</w:t>
            </w:r>
          </w:p>
        </w:tc>
        <w:tc>
          <w:tcPr>
            <w:tcW w:w="2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XVI</w:t>
            </w:r>
          </w:p>
        </w:tc>
        <w:tc>
          <w:tcPr>
            <w:tcW w:w="6840" w:type="dxa"/>
            <w:vAlign w:val="bottom"/>
          </w:tcPr>
          <w:p>
            <w:pPr>
              <w:ind w:left="30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2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8"/>
        </w:trPr>
        <w:tc>
          <w:tcPr>
            <w:tcW w:w="1660" w:type="dxa"/>
            <w:vAlign w:val="bottom"/>
          </w:tcPr>
          <w:p>
            <w:pPr>
              <w:ind w:left="340"/>
              <w:spacing w:after="0"/>
              <w:rPr>
                <w:sz w:val="20"/>
                <w:szCs w:val="20"/>
                <w:color w:val="auto"/>
              </w:rPr>
            </w:pPr>
            <w:r>
              <w:rPr>
                <w:rFonts w:ascii="Arial" w:cs="Arial" w:eastAsia="Arial" w:hAnsi="Arial"/>
                <w:sz w:val="18"/>
                <w:szCs w:val="18"/>
                <w:color w:val="auto"/>
              </w:rPr>
              <w:t>Section 16.1.</w:t>
            </w:r>
          </w:p>
        </w:tc>
        <w:tc>
          <w:tcPr>
            <w:tcW w:w="6840" w:type="dxa"/>
            <w:vAlign w:val="bottom"/>
          </w:tcPr>
          <w:p>
            <w:pPr>
              <w:ind w:left="480"/>
              <w:spacing w:after="0"/>
              <w:rPr>
                <w:sz w:val="20"/>
                <w:szCs w:val="20"/>
                <w:color w:val="auto"/>
              </w:rPr>
            </w:pPr>
            <w:r>
              <w:rPr>
                <w:rFonts w:ascii="Arial" w:cs="Arial" w:eastAsia="Arial" w:hAnsi="Arial"/>
                <w:sz w:val="18"/>
                <w:szCs w:val="18"/>
                <w:color w:val="auto"/>
              </w:rPr>
              <w:t>Appointment</w:t>
            </w:r>
          </w:p>
        </w:tc>
        <w:tc>
          <w:tcPr>
            <w:tcW w:w="2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16.2.</w:t>
            </w:r>
          </w:p>
        </w:tc>
        <w:tc>
          <w:tcPr>
            <w:tcW w:w="6840" w:type="dxa"/>
            <w:vAlign w:val="bottom"/>
          </w:tcPr>
          <w:p>
            <w:pPr>
              <w:ind w:left="480"/>
              <w:spacing w:after="0"/>
              <w:rPr>
                <w:sz w:val="20"/>
                <w:szCs w:val="20"/>
                <w:color w:val="auto"/>
              </w:rPr>
            </w:pPr>
            <w:r>
              <w:rPr>
                <w:rFonts w:ascii="Arial" w:cs="Arial" w:eastAsia="Arial" w:hAnsi="Arial"/>
                <w:sz w:val="18"/>
                <w:szCs w:val="18"/>
                <w:color w:val="auto"/>
              </w:rPr>
              <w:t>Delegation of Duties</w:t>
            </w:r>
          </w:p>
        </w:tc>
        <w:tc>
          <w:tcPr>
            <w:tcW w:w="2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16.3.</w:t>
            </w:r>
          </w:p>
        </w:tc>
        <w:tc>
          <w:tcPr>
            <w:tcW w:w="6840" w:type="dxa"/>
            <w:vAlign w:val="bottom"/>
          </w:tcPr>
          <w:p>
            <w:pPr>
              <w:ind w:left="480"/>
              <w:spacing w:after="0"/>
              <w:rPr>
                <w:sz w:val="20"/>
                <w:szCs w:val="20"/>
                <w:color w:val="auto"/>
              </w:rPr>
            </w:pPr>
            <w:r>
              <w:rPr>
                <w:rFonts w:ascii="Arial" w:cs="Arial" w:eastAsia="Arial" w:hAnsi="Arial"/>
                <w:sz w:val="18"/>
                <w:szCs w:val="18"/>
                <w:color w:val="auto"/>
              </w:rPr>
              <w:t>Exculpatory Provisions</w:t>
            </w:r>
          </w:p>
        </w:tc>
        <w:tc>
          <w:tcPr>
            <w:tcW w:w="2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16.4.</w:t>
            </w:r>
          </w:p>
        </w:tc>
        <w:tc>
          <w:tcPr>
            <w:tcW w:w="6840" w:type="dxa"/>
            <w:vAlign w:val="bottom"/>
          </w:tcPr>
          <w:p>
            <w:pPr>
              <w:ind w:left="480"/>
              <w:spacing w:after="0"/>
              <w:rPr>
                <w:sz w:val="20"/>
                <w:szCs w:val="20"/>
                <w:color w:val="auto"/>
              </w:rPr>
            </w:pPr>
            <w:r>
              <w:rPr>
                <w:rFonts w:ascii="Arial" w:cs="Arial" w:eastAsia="Arial" w:hAnsi="Arial"/>
                <w:sz w:val="18"/>
                <w:szCs w:val="18"/>
                <w:color w:val="auto"/>
              </w:rPr>
              <w:t>Reliance by Administrative Agent</w:t>
            </w:r>
          </w:p>
        </w:tc>
        <w:tc>
          <w:tcPr>
            <w:tcW w:w="2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16.5.</w:t>
            </w:r>
          </w:p>
        </w:tc>
        <w:tc>
          <w:tcPr>
            <w:tcW w:w="6840" w:type="dxa"/>
            <w:vAlign w:val="bottom"/>
          </w:tcPr>
          <w:p>
            <w:pPr>
              <w:ind w:left="480"/>
              <w:spacing w:after="0"/>
              <w:rPr>
                <w:sz w:val="20"/>
                <w:szCs w:val="20"/>
                <w:color w:val="auto"/>
              </w:rPr>
            </w:pPr>
            <w:r>
              <w:rPr>
                <w:rFonts w:ascii="Arial" w:cs="Arial" w:eastAsia="Arial" w:hAnsi="Arial"/>
                <w:sz w:val="18"/>
                <w:szCs w:val="18"/>
                <w:color w:val="auto"/>
              </w:rPr>
              <w:t>Notice of Default</w:t>
            </w:r>
          </w:p>
        </w:tc>
        <w:tc>
          <w:tcPr>
            <w:tcW w:w="2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16.7.</w:t>
            </w:r>
          </w:p>
        </w:tc>
        <w:tc>
          <w:tcPr>
            <w:tcW w:w="6840" w:type="dxa"/>
            <w:vAlign w:val="bottom"/>
          </w:tcPr>
          <w:p>
            <w:pPr>
              <w:ind w:left="480"/>
              <w:spacing w:after="0"/>
              <w:rPr>
                <w:sz w:val="20"/>
                <w:szCs w:val="20"/>
                <w:color w:val="auto"/>
              </w:rPr>
            </w:pPr>
            <w:r>
              <w:rPr>
                <w:rFonts w:ascii="Arial" w:cs="Arial" w:eastAsia="Arial" w:hAnsi="Arial"/>
                <w:sz w:val="18"/>
                <w:szCs w:val="18"/>
                <w:color w:val="auto"/>
              </w:rPr>
              <w:t>Administrative Agent in Its Individual Capacity</w:t>
            </w:r>
          </w:p>
        </w:tc>
        <w:tc>
          <w:tcPr>
            <w:tcW w:w="2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16.8.</w:t>
            </w:r>
          </w:p>
        </w:tc>
        <w:tc>
          <w:tcPr>
            <w:tcW w:w="6840" w:type="dxa"/>
            <w:vAlign w:val="bottom"/>
          </w:tcPr>
          <w:p>
            <w:pPr>
              <w:ind w:left="480"/>
              <w:spacing w:after="0"/>
              <w:rPr>
                <w:sz w:val="20"/>
                <w:szCs w:val="20"/>
                <w:color w:val="auto"/>
              </w:rPr>
            </w:pPr>
            <w:r>
              <w:rPr>
                <w:rFonts w:ascii="Arial" w:cs="Arial" w:eastAsia="Arial" w:hAnsi="Arial"/>
                <w:sz w:val="18"/>
                <w:szCs w:val="18"/>
                <w:color w:val="auto"/>
              </w:rPr>
              <w:t>Successor Administrative Agent</w:t>
            </w:r>
          </w:p>
        </w:tc>
        <w:tc>
          <w:tcPr>
            <w:tcW w:w="2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60" w:type="dxa"/>
            <w:vAlign w:val="bottom"/>
          </w:tcPr>
          <w:p>
            <w:pPr>
              <w:ind w:left="340"/>
              <w:spacing w:after="0"/>
              <w:rPr>
                <w:sz w:val="20"/>
                <w:szCs w:val="20"/>
                <w:color w:val="auto"/>
              </w:rPr>
            </w:pPr>
            <w:r>
              <w:rPr>
                <w:rFonts w:ascii="Arial" w:cs="Arial" w:eastAsia="Arial" w:hAnsi="Arial"/>
                <w:sz w:val="18"/>
                <w:szCs w:val="18"/>
                <w:color w:val="auto"/>
              </w:rPr>
              <w:t>Section 16.9.</w:t>
            </w:r>
          </w:p>
        </w:tc>
        <w:tc>
          <w:tcPr>
            <w:tcW w:w="6840" w:type="dxa"/>
            <w:vAlign w:val="bottom"/>
          </w:tcPr>
          <w:p>
            <w:pPr>
              <w:ind w:left="480"/>
              <w:spacing w:after="0"/>
              <w:rPr>
                <w:sz w:val="20"/>
                <w:szCs w:val="20"/>
                <w:color w:val="auto"/>
              </w:rPr>
            </w:pPr>
            <w:r>
              <w:rPr>
                <w:rFonts w:ascii="Arial" w:cs="Arial" w:eastAsia="Arial" w:hAnsi="Arial"/>
                <w:sz w:val="18"/>
                <w:szCs w:val="18"/>
                <w:color w:val="auto"/>
              </w:rPr>
              <w:t>Non-Reliance on Administrative Agent</w:t>
            </w:r>
          </w:p>
        </w:tc>
        <w:tc>
          <w:tcPr>
            <w:tcW w:w="2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660" w:type="dxa"/>
            <w:vAlign w:val="bottom"/>
          </w:tcPr>
          <w:p>
            <w:pPr>
              <w:ind w:left="340"/>
              <w:spacing w:after="0"/>
              <w:rPr>
                <w:sz w:val="20"/>
                <w:szCs w:val="20"/>
                <w:color w:val="auto"/>
              </w:rPr>
            </w:pPr>
            <w:r>
              <w:rPr>
                <w:rFonts w:ascii="Arial" w:cs="Arial" w:eastAsia="Arial" w:hAnsi="Arial"/>
                <w:sz w:val="18"/>
                <w:szCs w:val="18"/>
                <w:color w:val="auto"/>
              </w:rPr>
              <w:t>Section 16.10.</w:t>
            </w:r>
          </w:p>
        </w:tc>
        <w:tc>
          <w:tcPr>
            <w:tcW w:w="6840" w:type="dxa"/>
            <w:vAlign w:val="bottom"/>
          </w:tcPr>
          <w:p>
            <w:pPr>
              <w:ind w:left="480"/>
              <w:spacing w:after="0"/>
              <w:rPr>
                <w:sz w:val="20"/>
                <w:szCs w:val="20"/>
                <w:color w:val="auto"/>
              </w:rPr>
            </w:pPr>
            <w:r>
              <w:rPr>
                <w:rFonts w:ascii="Arial" w:cs="Arial" w:eastAsia="Arial" w:hAnsi="Arial"/>
                <w:sz w:val="18"/>
                <w:szCs w:val="18"/>
                <w:color w:val="auto"/>
              </w:rPr>
              <w:t>Release of Collateral</w:t>
            </w:r>
          </w:p>
        </w:tc>
        <w:tc>
          <w:tcPr>
            <w:tcW w:w="292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420" w:type="dxa"/>
            <w:vAlign w:val="bottom"/>
            <w:gridSpan w:val="4"/>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PPENDICES</w:t>
            </w:r>
          </w:p>
        </w:tc>
        <w:tc>
          <w:tcPr>
            <w:tcW w:w="620" w:type="dxa"/>
            <w:vAlign w:val="bottom"/>
          </w:tcPr>
          <w:p>
            <w:pPr>
              <w:spacing w:after="0"/>
              <w:rPr>
                <w:sz w:val="17"/>
                <w:szCs w:val="17"/>
                <w:color w:val="auto"/>
              </w:rPr>
            </w:pPr>
          </w:p>
        </w:tc>
        <w:tc>
          <w:tcPr>
            <w:tcW w:w="9380" w:type="dxa"/>
            <w:vAlign w:val="bottom"/>
          </w:tcPr>
          <w:p>
            <w:pPr>
              <w:spacing w:after="0"/>
              <w:rPr>
                <w:sz w:val="17"/>
                <w:szCs w:val="17"/>
                <w:color w:val="auto"/>
              </w:rPr>
            </w:pPr>
          </w:p>
        </w:tc>
      </w:tr>
      <w:tr>
        <w:trPr>
          <w:trHeight w:val="453"/>
        </w:trPr>
        <w:tc>
          <w:tcPr>
            <w:tcW w:w="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PPENDIX</w:t>
            </w:r>
            <w:r>
              <w:rPr>
                <w:rFonts w:ascii="Arial" w:cs="Arial" w:eastAsia="Arial" w:hAnsi="Arial"/>
                <w:sz w:val="18"/>
                <w:szCs w:val="18"/>
                <w:color w:val="auto"/>
              </w:rPr>
              <w:t xml:space="preserve"> 1</w:t>
            </w:r>
          </w:p>
        </w:tc>
        <w:tc>
          <w:tcPr>
            <w:tcW w:w="60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Definitions and Interpretation</w:t>
            </w:r>
          </w:p>
        </w:tc>
      </w:tr>
      <w:tr>
        <w:trPr>
          <w:trHeight w:val="392"/>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w:t>
            </w:r>
            <w:r>
              <w:rPr>
                <w:rFonts w:ascii="Arial" w:cs="Arial" w:eastAsia="Arial" w:hAnsi="Arial"/>
                <w:sz w:val="12"/>
                <w:szCs w:val="12"/>
                <w:b w:val="1"/>
                <w:bCs w:val="1"/>
                <w:color w:val="auto"/>
                <w:w w:val="97"/>
              </w:rPr>
              <w:t>CHEDULES</w:t>
            </w:r>
          </w:p>
        </w:tc>
        <w:tc>
          <w:tcPr>
            <w:tcW w:w="6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438"/>
        </w:trPr>
        <w:tc>
          <w:tcPr>
            <w:tcW w:w="142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Lessor Commitment as of Original Closing Date</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II</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Lenders’ Commitments as of Original Closing Date</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III</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Notice Information, Payment Offices and Applicable Lending Offices</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IV</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Subsidiary Guarantors as of Restatement Date</w:t>
            </w:r>
          </w:p>
        </w:tc>
      </w:tr>
      <w:tr>
        <w:trPr>
          <w:trHeight w:val="230"/>
        </w:trPr>
        <w:tc>
          <w:tcPr>
            <w:tcW w:w="142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6.1(xi)</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Governmental Actions; Filings and Recordings as of Original Closing Date</w:t>
            </w:r>
          </w:p>
        </w:tc>
      </w:tr>
      <w:tr>
        <w:trPr>
          <w:trHeight w:val="392"/>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XHIBITS</w:t>
            </w:r>
          </w:p>
        </w:tc>
        <w:tc>
          <w:tcPr>
            <w:tcW w:w="78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438"/>
        </w:trPr>
        <w:tc>
          <w:tcPr>
            <w:tcW w:w="142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[Reserved]</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B-2</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Form of Lessee’s Restatement Date Certificate</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C-2</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Form of Parent Guarantor’s Restatement Date Certificate</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D</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Form of Amended and Restated Guaranty</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E</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Form of Assignment Agreement</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F-1</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Form of Officer’s Certificate of Lessee</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F-2</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Form of Officer’s Certificate of Parent Guarantor</w:t>
            </w:r>
          </w:p>
        </w:tc>
      </w:tr>
      <w:tr>
        <w:trPr>
          <w:trHeight w:val="230"/>
        </w:trPr>
        <w:tc>
          <w:tcPr>
            <w:tcW w:w="142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F-3</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Form of Officer’s Certificate of Subsidiary Guarantor</w:t>
            </w:r>
          </w:p>
        </w:tc>
      </w:tr>
      <w:tr>
        <w:trPr>
          <w:trHeight w:val="405"/>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80" w:type="dxa"/>
            <w:vAlign w:val="bottom"/>
          </w:tcPr>
          <w:p>
            <w:pPr>
              <w:ind w:left="3600"/>
              <w:spacing w:after="0"/>
              <w:rPr>
                <w:sz w:val="20"/>
                <w:szCs w:val="20"/>
                <w:color w:val="auto"/>
              </w:rPr>
            </w:pPr>
            <w:r>
              <w:rPr>
                <w:rFonts w:ascii="Arial" w:cs="Arial" w:eastAsia="Arial" w:hAnsi="Arial"/>
                <w:sz w:val="18"/>
                <w:szCs w:val="18"/>
                <w:color w:val="auto"/>
              </w:rPr>
              <w:t>iv</w:t>
            </w:r>
          </w:p>
        </w:tc>
      </w:tr>
      <w:tr>
        <w:trPr>
          <w:trHeight w:val="250"/>
        </w:trPr>
        <w:tc>
          <w:tcPr>
            <w:tcW w:w="6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60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93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39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ARTICIPATION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HIS</w:t>
      </w:r>
      <w:r>
        <w:rPr>
          <w:rFonts w:ascii="Arial" w:cs="Arial" w:eastAsia="Arial" w:hAnsi="Arial"/>
          <w:sz w:val="17"/>
          <w:szCs w:val="17"/>
          <w:color w:val="auto"/>
        </w:rPr>
        <w:t xml:space="preserve"> A</w:t>
      </w:r>
      <w:r>
        <w:rPr>
          <w:rFonts w:ascii="Arial" w:cs="Arial" w:eastAsia="Arial" w:hAnsi="Arial"/>
          <w:sz w:val="11"/>
          <w:szCs w:val="11"/>
          <w:color w:val="auto"/>
        </w:rPr>
        <w:t>MENDED AND</w:t>
      </w:r>
      <w:r>
        <w:rPr>
          <w:rFonts w:ascii="Arial" w:cs="Arial" w:eastAsia="Arial" w:hAnsi="Arial"/>
          <w:sz w:val="17"/>
          <w:szCs w:val="17"/>
          <w:color w:val="auto"/>
        </w:rPr>
        <w:t xml:space="preserve"> R</w:t>
      </w:r>
      <w:r>
        <w:rPr>
          <w:rFonts w:ascii="Arial" w:cs="Arial" w:eastAsia="Arial" w:hAnsi="Arial"/>
          <w:sz w:val="11"/>
          <w:szCs w:val="11"/>
          <w:color w:val="auto"/>
        </w:rPr>
        <w:t>ESTATED</w:t>
      </w:r>
      <w:r>
        <w:rPr>
          <w:rFonts w:ascii="Arial" w:cs="Arial" w:eastAsia="Arial" w:hAnsi="Arial"/>
          <w:sz w:val="17"/>
          <w:szCs w:val="17"/>
          <w:color w:val="auto"/>
        </w:rPr>
        <w:t xml:space="preserve"> P</w:t>
      </w:r>
      <w:r>
        <w:rPr>
          <w:rFonts w:ascii="Arial" w:cs="Arial" w:eastAsia="Arial" w:hAnsi="Arial"/>
          <w:sz w:val="11"/>
          <w:szCs w:val="11"/>
          <w:color w:val="auto"/>
        </w:rPr>
        <w:t>ARTICIPATION</w:t>
      </w:r>
      <w:r>
        <w:rPr>
          <w:rFonts w:ascii="Arial" w:cs="Arial" w:eastAsia="Arial" w:hAnsi="Arial"/>
          <w:sz w:val="17"/>
          <w:szCs w:val="17"/>
          <w:color w:val="auto"/>
        </w:rPr>
        <w:t xml:space="preserve"> A</w:t>
      </w:r>
      <w:r>
        <w:rPr>
          <w:rFonts w:ascii="Arial" w:cs="Arial" w:eastAsia="Arial" w:hAnsi="Arial"/>
          <w:sz w:val="11"/>
          <w:szCs w:val="11"/>
          <w:color w:val="auto"/>
        </w:rPr>
        <w:t>GREEMENT</w:t>
      </w:r>
      <w:r>
        <w:rPr>
          <w:rFonts w:ascii="Arial" w:cs="Arial" w:eastAsia="Arial" w:hAnsi="Arial"/>
          <w:sz w:val="17"/>
          <w:szCs w:val="17"/>
          <w:color w:val="auto"/>
        </w:rPr>
        <w:t xml:space="preserve"> (as amended, restated, supplemented, or otherwise modified from time to time, this “</w:t>
      </w:r>
      <w:r>
        <w:rPr>
          <w:rFonts w:ascii="Arial" w:cs="Arial" w:eastAsia="Arial" w:hAnsi="Arial"/>
          <w:sz w:val="17"/>
          <w:szCs w:val="17"/>
          <w:i w:val="1"/>
          <w:iCs w:val="1"/>
          <w:color w:val="auto"/>
        </w:rPr>
        <w:t>Participation Agreement</w:t>
      </w:r>
      <w:r>
        <w:rPr>
          <w:rFonts w:ascii="Arial" w:cs="Arial" w:eastAsia="Arial" w:hAnsi="Arial"/>
          <w:sz w:val="17"/>
          <w:szCs w:val="17"/>
          <w:color w:val="auto"/>
        </w:rPr>
        <w:t>”), dated as of May 2, 2019, is entered into by and among O</w:t>
      </w:r>
      <w:r>
        <w:rPr>
          <w:rFonts w:ascii="Arial" w:cs="Arial" w:eastAsia="Arial" w:hAnsi="Arial"/>
          <w:sz w:val="11"/>
          <w:szCs w:val="11"/>
          <w:color w:val="auto"/>
        </w:rPr>
        <w:t>LD</w:t>
      </w:r>
      <w:r>
        <w:rPr>
          <w:rFonts w:ascii="Arial" w:cs="Arial" w:eastAsia="Arial" w:hAnsi="Arial"/>
          <w:sz w:val="17"/>
          <w:szCs w:val="17"/>
          <w:color w:val="auto"/>
        </w:rPr>
        <w:t xml:space="preserve"> S</w:t>
      </w:r>
      <w:r>
        <w:rPr>
          <w:rFonts w:ascii="Arial" w:cs="Arial" w:eastAsia="Arial" w:hAnsi="Arial"/>
          <w:sz w:val="11"/>
          <w:szCs w:val="11"/>
          <w:color w:val="auto"/>
        </w:rPr>
        <w:t>AW</w:t>
      </w:r>
      <w:r>
        <w:rPr>
          <w:rFonts w:ascii="Arial" w:cs="Arial" w:eastAsia="Arial" w:hAnsi="Arial"/>
          <w:sz w:val="17"/>
          <w:szCs w:val="17"/>
          <w:color w:val="auto"/>
        </w:rPr>
        <w:t xml:space="preserve"> M</w:t>
      </w:r>
      <w:r>
        <w:rPr>
          <w:rFonts w:ascii="Arial" w:cs="Arial" w:eastAsia="Arial" w:hAnsi="Arial"/>
          <w:sz w:val="11"/>
          <w:szCs w:val="11"/>
          <w:color w:val="auto"/>
        </w:rPr>
        <w:t>ILL</w:t>
      </w:r>
      <w:r>
        <w:rPr>
          <w:rFonts w:ascii="Arial" w:cs="Arial" w:eastAsia="Arial" w:hAnsi="Arial"/>
          <w:sz w:val="17"/>
          <w:szCs w:val="17"/>
          <w:color w:val="auto"/>
        </w:rPr>
        <w:t xml:space="preserve"> H</w:t>
      </w:r>
      <w:r>
        <w:rPr>
          <w:rFonts w:ascii="Arial" w:cs="Arial" w:eastAsia="Arial" w:hAnsi="Arial"/>
          <w:sz w:val="11"/>
          <w:szCs w:val="11"/>
          <w:color w:val="auto"/>
        </w:rPr>
        <w:t>OLDINGS</w:t>
      </w:r>
      <w:r>
        <w:rPr>
          <w:rFonts w:ascii="Arial" w:cs="Arial" w:eastAsia="Arial" w:hAnsi="Arial"/>
          <w:sz w:val="17"/>
          <w:szCs w:val="17"/>
          <w:color w:val="auto"/>
        </w:rPr>
        <w:t xml:space="preserve"> LLC, a New York limited liability company, as Lessee (together with its successors and permitted assigns, in its capacity as Lessee, the “</w:t>
      </w:r>
      <w:r>
        <w:rPr>
          <w:rFonts w:ascii="Arial" w:cs="Arial" w:eastAsia="Arial" w:hAnsi="Arial"/>
          <w:sz w:val="17"/>
          <w:szCs w:val="17"/>
          <w:i w:val="1"/>
          <w:iCs w:val="1"/>
          <w:color w:val="auto"/>
        </w:rPr>
        <w:t>Lessee</w:t>
      </w:r>
      <w:r>
        <w:rPr>
          <w:rFonts w:ascii="Arial" w:cs="Arial" w:eastAsia="Arial" w:hAnsi="Arial"/>
          <w:sz w:val="17"/>
          <w:szCs w:val="17"/>
          <w:color w:val="auto"/>
        </w:rPr>
        <w:t>”); BA L</w:t>
      </w:r>
      <w:r>
        <w:rPr>
          <w:rFonts w:ascii="Arial" w:cs="Arial" w:eastAsia="Arial" w:hAnsi="Arial"/>
          <w:sz w:val="11"/>
          <w:szCs w:val="11"/>
          <w:color w:val="auto"/>
        </w:rPr>
        <w:t>EASING</w:t>
      </w:r>
      <w:r>
        <w:rPr>
          <w:rFonts w:ascii="Arial" w:cs="Arial" w:eastAsia="Arial" w:hAnsi="Arial"/>
          <w:sz w:val="17"/>
          <w:szCs w:val="17"/>
          <w:color w:val="auto"/>
        </w:rPr>
        <w:t xml:space="preserve"> BSC, LLC, a Delaware limited liability company, as Lessor (together with its successors and permitted assigns, in its capacity as Lessor, the “</w:t>
      </w:r>
      <w:r>
        <w:rPr>
          <w:rFonts w:ascii="Arial" w:cs="Arial" w:eastAsia="Arial" w:hAnsi="Arial"/>
          <w:sz w:val="17"/>
          <w:szCs w:val="17"/>
          <w:i w:val="1"/>
          <w:iCs w:val="1"/>
          <w:color w:val="auto"/>
        </w:rPr>
        <w:t>Lessor</w:t>
      </w:r>
      <w:r>
        <w:rPr>
          <w:rFonts w:ascii="Arial" w:cs="Arial" w:eastAsia="Arial" w:hAnsi="Arial"/>
          <w:sz w:val="17"/>
          <w:szCs w:val="17"/>
          <w:color w:val="auto"/>
        </w:rPr>
        <w:t>”); B</w:t>
      </w:r>
      <w:r>
        <w:rPr>
          <w:rFonts w:ascii="Arial" w:cs="Arial" w:eastAsia="Arial" w:hAnsi="Arial"/>
          <w:sz w:val="11"/>
          <w:szCs w:val="11"/>
          <w:color w:val="auto"/>
        </w:rPr>
        <w:t>ANK OF</w:t>
      </w:r>
      <w:r>
        <w:rPr>
          <w:rFonts w:ascii="Arial" w:cs="Arial" w:eastAsia="Arial" w:hAnsi="Arial"/>
          <w:sz w:val="17"/>
          <w:szCs w:val="17"/>
          <w:color w:val="auto"/>
        </w:rPr>
        <w:t xml:space="preserve"> A</w:t>
      </w:r>
      <w:r>
        <w:rPr>
          <w:rFonts w:ascii="Arial" w:cs="Arial" w:eastAsia="Arial" w:hAnsi="Arial"/>
          <w:sz w:val="11"/>
          <w:szCs w:val="11"/>
          <w:color w:val="auto"/>
        </w:rPr>
        <w:t>MERICA</w:t>
      </w:r>
      <w:r>
        <w:rPr>
          <w:rFonts w:ascii="Arial" w:cs="Arial" w:eastAsia="Arial" w:hAnsi="Arial"/>
          <w:sz w:val="17"/>
          <w:szCs w:val="17"/>
          <w:color w:val="auto"/>
        </w:rPr>
        <w:t>, N.A., not in its individual capacity, except as expressly stated herein, but solely as Administrative Agent (together with its successors and permitted assigns, in its capacity as Administrative Agent,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and the financial institutions party hereto from time to time as Lenders (together with their permitted successors and assigns, each as a Lender under the Loan Agreement, a “</w:t>
      </w:r>
      <w:r>
        <w:rPr>
          <w:rFonts w:ascii="Arial" w:cs="Arial" w:eastAsia="Arial" w:hAnsi="Arial"/>
          <w:sz w:val="17"/>
          <w:szCs w:val="17"/>
          <w:i w:val="1"/>
          <w:iCs w:val="1"/>
          <w:color w:val="auto"/>
        </w:rPr>
        <w:t>Lender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collectively, the “</w:t>
      </w:r>
      <w:r>
        <w:rPr>
          <w:rFonts w:ascii="Arial" w:cs="Arial" w:eastAsia="Arial" w:hAnsi="Arial"/>
          <w:sz w:val="17"/>
          <w:szCs w:val="17"/>
          <w:i w:val="1"/>
          <w:iCs w:val="1"/>
          <w:color w:val="auto"/>
        </w:rPr>
        <w:t>Lenders</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ITNESSETH</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 On March 3, 2017 (the “</w:t>
      </w:r>
      <w:r>
        <w:rPr>
          <w:rFonts w:ascii="Arial" w:cs="Arial" w:eastAsia="Arial" w:hAnsi="Arial"/>
          <w:sz w:val="16"/>
          <w:szCs w:val="16"/>
          <w:i w:val="1"/>
          <w:iCs w:val="1"/>
          <w:color w:val="auto"/>
        </w:rPr>
        <w:t>Original Closing Date</w:t>
      </w:r>
      <w:r>
        <w:rPr>
          <w:rFonts w:ascii="Arial" w:cs="Arial" w:eastAsia="Arial" w:hAnsi="Arial"/>
          <w:sz w:val="16"/>
          <w:szCs w:val="16"/>
          <w:color w:val="auto"/>
        </w:rPr>
        <w:t>”), Lessee, Lessor, Administrative Agent and Lenders entered into the Participation Agreement, dated as of the Original Closing Date (as amended, supplemented or otherwise modified prior to the Restatement Date, the “</w:t>
      </w:r>
      <w:r>
        <w:rPr>
          <w:rFonts w:ascii="Arial" w:cs="Arial" w:eastAsia="Arial" w:hAnsi="Arial"/>
          <w:sz w:val="16"/>
          <w:szCs w:val="16"/>
          <w:i w:val="1"/>
          <w:iCs w:val="1"/>
          <w:color w:val="auto"/>
        </w:rPr>
        <w:t>Original Participation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and the other Operative Documents (as defined in the Original Participation Agreement) to finance the purchase of the Site and the Facility.</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 On the Original Closing Date, among other things, (i) Lessor acquired the Site and the Facility from the Sellers and (ii) Lessee and Lessor entered into the Lease pursuant to which Lessor leases to Lessee, and Lessee leases from Lessor, the Leased Property pursuant to the Lease.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Administrative Agent, using amounts funded by Participants, provided the Advance on the Original Closing Date to pay Participant Costs (including the Purchase Price and payment of, and reimbursement to the Parent Guarantor of, the Deposit).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 To secure the repayment of the Funded Amounts and the other amounts due and payable by Lessee under the Operative Documents, the Administrative Agent, on behalf of the Participants, has the benefit of a Lien on the Leased Property and the other Collateral.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 The Lessee has requested that the Original Participation Agreement be amended and restated as set forth herein, which amendment and restatement shall become effective on the Restatement Date.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 It is the intent of the parties hereto that this Participation Agreement (i) shall amend, restate and supersede in its entirety the Original Participation Agreement and (ii) shall re-evidence the “Obligations” (under, and as defined in, the Original Participation Agreement) outstanding on the Restatement Date as contemplated hereby (and it shall not constitute a novation of the obligations and liabilities of the parties under the Original Participation Agreement or any other Operative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2" w:name="page13"/>
    <w:bookmarkEnd w:id="12"/>
    <w:p>
      <w:pPr>
        <w:jc w:val="both"/>
        <w:ind w:right="20" w:firstLine="648"/>
        <w:spacing w:after="0" w:line="264"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w:t>
      </w:r>
      <w:r>
        <w:rPr>
          <w:rFonts w:ascii="Arial" w:cs="Arial" w:eastAsia="Arial" w:hAnsi="Arial"/>
          <w:sz w:val="18"/>
          <w:szCs w:val="18"/>
          <w:color w:val="auto"/>
        </w:rPr>
        <w:t>, T</w:t>
      </w:r>
      <w:r>
        <w:rPr>
          <w:rFonts w:ascii="Arial" w:cs="Arial" w:eastAsia="Arial" w:hAnsi="Arial"/>
          <w:sz w:val="12"/>
          <w:szCs w:val="12"/>
          <w:color w:val="auto"/>
        </w:rPr>
        <w:t>HEREFORE</w:t>
      </w:r>
      <w:r>
        <w:rPr>
          <w:rFonts w:ascii="Arial" w:cs="Arial" w:eastAsia="Arial" w:hAnsi="Arial"/>
          <w:sz w:val="18"/>
          <w:szCs w:val="18"/>
          <w:color w:val="auto"/>
        </w:rPr>
        <w:t>, in consideration of the mutual agreements contained in this Participation Agreement and other good and valuable consideration, the receipt and sufficiency of which are hereby acknowledged, the parties hereto agree that the Original Participation Agreement is hereby amended and restated in its entirety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w:t>
      </w:r>
      <w:r>
        <w:rPr>
          <w:rFonts w:ascii="Arial" w:cs="Arial" w:eastAsia="Arial" w:hAnsi="Arial"/>
          <w:sz w:val="22"/>
          <w:szCs w:val="22"/>
          <w:b w:val="1"/>
          <w:bCs w:val="1"/>
          <w:color w:val="auto"/>
        </w:rPr>
        <w:t>; I</w:t>
      </w:r>
      <w:r>
        <w:rPr>
          <w:rFonts w:ascii="Arial" w:cs="Arial" w:eastAsia="Arial" w:hAnsi="Arial"/>
          <w:sz w:val="14"/>
          <w:szCs w:val="14"/>
          <w:b w:val="1"/>
          <w:bCs w:val="1"/>
          <w:color w:val="auto"/>
        </w:rPr>
        <w:t>NTERPRETATION</w:t>
      </w:r>
    </w:p>
    <w:p>
      <w:pPr>
        <w:spacing w:after="0" w:line="19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1.1. Definitions; Interpretation</w:t>
      </w:r>
      <w:r>
        <w:rPr>
          <w:rFonts w:ascii="Arial" w:cs="Arial" w:eastAsia="Arial" w:hAnsi="Arial"/>
          <w:sz w:val="18"/>
          <w:szCs w:val="18"/>
          <w:color w:val="auto"/>
        </w:rPr>
        <w:t>. Unless the context shall otherwise require, capitalized terms used and not defined herein shall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meanings assigned thereto in Appendix 1 hereto for all purposes hereof; and the rules of interpretation set forth in Appendix 1 hereto shall apply to this Participation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RIGINAL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22"/>
          <w:szCs w:val="22"/>
          <w:b w:val="1"/>
          <w:bCs w:val="1"/>
          <w:color w:val="auto"/>
        </w:rPr>
        <w:t>; A</w:t>
      </w:r>
      <w:r>
        <w:rPr>
          <w:rFonts w:ascii="Arial" w:cs="Arial" w:eastAsia="Arial" w:hAnsi="Arial"/>
          <w:sz w:val="14"/>
          <w:szCs w:val="14"/>
          <w:b w:val="1"/>
          <w:bCs w:val="1"/>
          <w:color w:val="auto"/>
        </w:rPr>
        <w:t>CQUISITION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22"/>
          <w:szCs w:val="22"/>
          <w:b w:val="1"/>
          <w:bCs w:val="1"/>
          <w:color w:val="auto"/>
        </w:rPr>
        <w:t>; R</w:t>
      </w:r>
      <w:r>
        <w:rPr>
          <w:rFonts w:ascii="Arial" w:cs="Arial" w:eastAsia="Arial" w:hAnsi="Arial"/>
          <w:sz w:val="14"/>
          <w:szCs w:val="14"/>
          <w:b w:val="1"/>
          <w:bCs w:val="1"/>
          <w:color w:val="auto"/>
        </w:rPr>
        <w:t>ESTATEMENT</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Section 2.1. Effectiveness of Original Participation Agreement</w:t>
      </w:r>
      <w:r>
        <w:rPr>
          <w:rFonts w:ascii="Arial" w:cs="Arial" w:eastAsia="Arial" w:hAnsi="Arial"/>
          <w:sz w:val="16"/>
          <w:szCs w:val="16"/>
          <w:color w:val="auto"/>
        </w:rPr>
        <w:t>. The Original Participation Agreement became effective as of the Original Closing Date.</w:t>
      </w:r>
    </w:p>
    <w:p>
      <w:pPr>
        <w:spacing w:after="0" w:line="2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2.2. Lease of Leased Property</w:t>
      </w:r>
      <w:r>
        <w:rPr>
          <w:rFonts w:ascii="Arial" w:cs="Arial" w:eastAsia="Arial" w:hAnsi="Arial"/>
          <w:sz w:val="18"/>
          <w:szCs w:val="18"/>
          <w:color w:val="auto"/>
        </w:rPr>
        <w:t>. Pursuant to the terms of the Original Participation Agreement, on the Original Closing Date, (i) Lessee assigned</w:t>
      </w:r>
      <w:r>
        <w:rPr>
          <w:rFonts w:ascii="Arial" w:cs="Arial" w:eastAsia="Arial" w:hAnsi="Arial"/>
          <w:sz w:val="18"/>
          <w:szCs w:val="18"/>
          <w:i w:val="1"/>
          <w:iCs w:val="1"/>
          <w:color w:val="auto"/>
        </w:rPr>
        <w:t xml:space="preserve"> </w:t>
      </w:r>
      <w:r>
        <w:rPr>
          <w:rFonts w:ascii="Arial" w:cs="Arial" w:eastAsia="Arial" w:hAnsi="Arial"/>
          <w:sz w:val="18"/>
          <w:szCs w:val="18"/>
          <w:color w:val="auto"/>
        </w:rPr>
        <w:t>its right under the Purchase Agreement to Lessor and Lessor acquired the Site and the Facility from the Sellers, together with the Appurtenant Rights existing at such time and (ii) Lessor and Lessee entered into the Lease pursuant to which Lessor leases to Lessee, and Lessee leases from Lessor, the Leased Property for the Term.</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Section 2.3. Participant Costs</w:t>
      </w:r>
      <w:r>
        <w:rPr>
          <w:rFonts w:ascii="Arial" w:cs="Arial" w:eastAsia="Arial" w:hAnsi="Arial"/>
          <w:sz w:val="18"/>
          <w:szCs w:val="18"/>
          <w:color w:val="auto"/>
        </w:rPr>
        <w:t>. On the Original Closing Date, the Lessor made the Advance, the proceeds of which were used for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Costs.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2.4. Effectiveness of Amended and Restated Participation Agreement</w:t>
      </w:r>
      <w:r>
        <w:rPr>
          <w:rFonts w:ascii="Arial" w:cs="Arial" w:eastAsia="Arial" w:hAnsi="Arial"/>
          <w:sz w:val="18"/>
          <w:szCs w:val="18"/>
          <w:color w:val="auto"/>
        </w:rPr>
        <w:t>. This Participation Agreement shall be effective as of the earliest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Restatement Date</w:t>
      </w:r>
      <w:r>
        <w:rPr>
          <w:rFonts w:ascii="Arial" w:cs="Arial" w:eastAsia="Arial" w:hAnsi="Arial"/>
          <w:sz w:val="18"/>
          <w:szCs w:val="18"/>
          <w:color w:val="auto"/>
        </w:rPr>
        <w:t>”) on which all of the conditions precedent thereto set forth in Section 6.2 have been satisfied or waived by the applicable parties as set forth therein.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UNDING OF</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DVANCES</w:t>
      </w:r>
    </w:p>
    <w:p>
      <w:pPr>
        <w:spacing w:after="0" w:line="19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Section 3.1. Fundings</w:t>
      </w:r>
      <w:r>
        <w:rPr>
          <w:rFonts w:ascii="Arial" w:cs="Arial" w:eastAsia="Arial" w:hAnsi="Arial"/>
          <w:sz w:val="16"/>
          <w:szCs w:val="16"/>
          <w:color w:val="auto"/>
        </w:rPr>
        <w:t>. (a)</w:t>
      </w:r>
      <w:r>
        <w:rPr>
          <w:rFonts w:ascii="Arial" w:cs="Arial" w:eastAsia="Arial" w:hAnsi="Arial"/>
          <w:sz w:val="16"/>
          <w:szCs w:val="16"/>
          <w:i w:val="1"/>
          <w:iCs w:val="1"/>
          <w:color w:val="auto"/>
        </w:rPr>
        <w:t xml:space="preserve"> Amount of Fundings. </w:t>
      </w:r>
      <w:r>
        <w:rPr>
          <w:rFonts w:ascii="Arial" w:cs="Arial" w:eastAsia="Arial" w:hAnsi="Arial"/>
          <w:sz w:val="16"/>
          <w:szCs w:val="16"/>
          <w:color w:val="auto"/>
        </w:rPr>
        <w:t>Pursuant to the Original Participation Agreement and in reliance on the representations and warranties</w:t>
      </w:r>
      <w:r>
        <w:rPr>
          <w:rFonts w:ascii="Arial" w:cs="Arial" w:eastAsia="Arial" w:hAnsi="Arial"/>
          <w:sz w:val="16"/>
          <w:szCs w:val="16"/>
          <w:i w:val="1"/>
          <w:iCs w:val="1"/>
          <w:color w:val="auto"/>
        </w:rPr>
        <w:t xml:space="preserve"> </w:t>
      </w:r>
      <w:r>
        <w:rPr>
          <w:rFonts w:ascii="Arial" w:cs="Arial" w:eastAsia="Arial" w:hAnsi="Arial"/>
          <w:sz w:val="16"/>
          <w:szCs w:val="16"/>
          <w:color w:val="auto"/>
        </w:rPr>
        <w:t>of each of the parties thereto contained therein or made pursuant thereto, on the Original Closing Date the Lessor made the Advance requested pursuant to the Advance Request and each Participant funded its portion of the Advance, as and to the extent provided in the Original Participation Agreement, in each case by making available to the Administrative Agent by wire transfer of immediately available funds in accordance with the instructions set forth in the Advance Request, an amount equal to (i) with respect to any Lender, the product of such Lender’s Commitment Percentage and the aggregate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amount of the requested Advance and (ii) with respect to the Lessor, the product of Lessor’s Commitment Percentage and the aggregate amount of the requested Advance. The Funding by each Participant on the Original Closing Date was in an amount equal to such Participant’s Commitment and (y) the Advance made by the Participants on the Original Closing Date was in an amount equal to the Aggregate Commitment Amount. No amounts paid or prepaid with respect to Lessor Amount or the Loans may be readvanced.</w:t>
      </w:r>
    </w:p>
    <w:p>
      <w:pPr>
        <w:spacing w:after="0" w:line="187" w:lineRule="exact"/>
        <w:rPr>
          <w:sz w:val="20"/>
          <w:szCs w:val="20"/>
          <w:color w:val="auto"/>
        </w:rPr>
      </w:pPr>
    </w:p>
    <w:p>
      <w:pPr>
        <w:jc w:val="both"/>
        <w:ind w:firstLine="656"/>
        <w:spacing w:after="0" w:line="259" w:lineRule="auto"/>
        <w:tabs>
          <w:tab w:leader="none" w:pos="903"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Notes and Lessor Amount</w:t>
      </w:r>
      <w:r>
        <w:rPr>
          <w:rFonts w:ascii="Arial" w:cs="Arial" w:eastAsia="Arial" w:hAnsi="Arial"/>
          <w:sz w:val="18"/>
          <w:szCs w:val="18"/>
          <w:color w:val="auto"/>
        </w:rPr>
        <w:t>. Each Lender’s Loans are evidenced by a single Note issued to such Lender and repayable in accordance with,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accruing pursuant to, the terms of the Loan Agreement. The Lessor Amount shall accrue Yield at the Yield Rate. Each Lender is authorized and entitled to make notations on its Note in accordance with the Loan Documents, each of which notations shall constitute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accuracy of the information so noted, absent manifest error.</w:t>
      </w:r>
    </w:p>
    <w:p>
      <w:pPr>
        <w:spacing w:after="0" w:line="186" w:lineRule="exact"/>
        <w:rPr>
          <w:rFonts w:ascii="Arial" w:cs="Arial" w:eastAsia="Arial" w:hAnsi="Arial"/>
          <w:sz w:val="18"/>
          <w:szCs w:val="18"/>
          <w:color w:val="auto"/>
        </w:rPr>
      </w:pPr>
    </w:p>
    <w:p>
      <w:pPr>
        <w:jc w:val="both"/>
        <w:ind w:firstLine="656"/>
        <w:spacing w:after="0" w:line="279" w:lineRule="auto"/>
        <w:tabs>
          <w:tab w:leader="none" w:pos="893"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Funding</w:t>
      </w:r>
      <w:r>
        <w:rPr>
          <w:rFonts w:ascii="Arial" w:cs="Arial" w:eastAsia="Arial" w:hAnsi="Arial"/>
          <w:sz w:val="17"/>
          <w:szCs w:val="17"/>
          <w:color w:val="auto"/>
        </w:rPr>
        <w:t>. The Advance made by Lessor on the Original Closing Date pursuant to the Operative Documents was made by the Participants making</w:t>
      </w:r>
      <w:r>
        <w:rPr>
          <w:rFonts w:ascii="Arial" w:cs="Arial" w:eastAsia="Arial" w:hAnsi="Arial"/>
          <w:sz w:val="17"/>
          <w:szCs w:val="17"/>
          <w:i w:val="1"/>
          <w:iCs w:val="1"/>
          <w:color w:val="auto"/>
        </w:rPr>
        <w:t xml:space="preserve"> </w:t>
      </w:r>
      <w:r>
        <w:rPr>
          <w:rFonts w:ascii="Arial" w:cs="Arial" w:eastAsia="Arial" w:hAnsi="Arial"/>
          <w:sz w:val="17"/>
          <w:szCs w:val="17"/>
          <w:color w:val="auto"/>
        </w:rPr>
        <w:t>the Funding directly to the Administrative Agent. The Funding by the Participants on the Original Closing Date to the Administrative Agent with respect to the Advance, and the Advance by the Administrative Agent on the Original Closing Date to any Person entitled to payments constituting Participant Costs, was deemed to constitute the required Advance by the Participants pursuant to the Original Participation Agreement.</w:t>
      </w:r>
    </w:p>
    <w:p>
      <w:pPr>
        <w:spacing w:after="0" w:line="171" w:lineRule="exact"/>
        <w:rPr>
          <w:rFonts w:ascii="Arial" w:cs="Arial" w:eastAsia="Arial" w:hAnsi="Arial"/>
          <w:sz w:val="17"/>
          <w:szCs w:val="17"/>
          <w:color w:val="auto"/>
        </w:rPr>
      </w:pPr>
    </w:p>
    <w:p>
      <w:pPr>
        <w:ind w:right="20" w:firstLine="656"/>
        <w:spacing w:after="0" w:line="342" w:lineRule="auto"/>
        <w:tabs>
          <w:tab w:leader="none" w:pos="944"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Advance; Limitations and Limits</w:t>
      </w:r>
      <w:r>
        <w:rPr>
          <w:rFonts w:ascii="Arial" w:cs="Arial" w:eastAsia="Arial" w:hAnsi="Arial"/>
          <w:sz w:val="16"/>
          <w:szCs w:val="16"/>
          <w:color w:val="auto"/>
        </w:rPr>
        <w:t>. Pursuant to Section 3.2 of the Original Participation Agreement, the Advance was used solely to pay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Costs. The Advance was made on the Original Closing Date, and there shall be no additional advances pursuant to this Participation Agreement.</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Section 3.2. Payment of Participant Costs and Fees. </w:t>
      </w:r>
      <w:r>
        <w:rPr>
          <w:rFonts w:ascii="Arial" w:cs="Arial" w:eastAsia="Arial" w:hAnsi="Arial"/>
          <w:sz w:val="18"/>
          <w:szCs w:val="18"/>
          <w:color w:val="auto"/>
        </w:rPr>
        <w:t>On the Original Closing Date, the Participants made the Advance in the amount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Request to pay the Purchase Price less the Deposit to the Sellers (or their designee) and pay the Deposit to the Parent Guarantor (to reimburse the Parent Guarantor for same).</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3.3. Advance Request</w:t>
      </w:r>
      <w:r>
        <w:rPr>
          <w:rFonts w:ascii="Arial" w:cs="Arial" w:eastAsia="Arial" w:hAnsi="Arial"/>
          <w:sz w:val="18"/>
          <w:szCs w:val="18"/>
          <w:color w:val="auto"/>
        </w:rPr>
        <w:t>. Lessee delivered the Advance Request to Administrative Agent prior to the Original Closing Date pursuant to Section 3.3</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Original Participation Agreement, which contained, among other things, a statement of the amount of the requested Advance setting forth the amount of the Advance to be used to Fund (A) the Purchase Price less the Deposit, to Sellers and (B) the Deposit, to the Parent Guarantor (to reimburse the Parent Guarantor for same).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documents and instruments required to be delivered on the Original Closing Date and in connection with the Advance pursuant to the Original Participation Agreement were delivered at the offices of Chapman and Cutler LLP, 595 Market Street, Suite 2600, San Francisco, California 94105-2839, Attention: Vincent W. Pelleriti, Esq. or at such other location as the Administrative Agent and Lessee agreed. All documents and instruments required to be delivered subsequent to the Original Closing Date pursuant to this Participation Agreement shall be delivered to the Administrative Agent, or at such other location as the Administrative Agent,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Required Participants, Lessor and Lessee may agree.</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Section 3.4. Assignment of Purchase Agreement</w:t>
      </w:r>
      <w:r>
        <w:rPr>
          <w:rFonts w:ascii="Arial" w:cs="Arial" w:eastAsia="Arial" w:hAnsi="Arial"/>
          <w:sz w:val="18"/>
          <w:szCs w:val="18"/>
          <w:color w:val="auto"/>
        </w:rPr>
        <w:t>. On the Original Closing Date, Lessee entered into the Assignment of Purchase Agreement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which was in form and substance reasonably satisfactory to Lessor.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w:t>
      </w:r>
      <w:r>
        <w:rPr>
          <w:rFonts w:ascii="Arial" w:cs="Arial" w:eastAsia="Arial" w:hAnsi="Arial"/>
          <w:sz w:val="14"/>
          <w:szCs w:val="14"/>
          <w:b w:val="1"/>
          <w:bCs w:val="1"/>
          <w:color w:val="auto"/>
        </w:rPr>
        <w:t>IELD</w:t>
      </w:r>
      <w:r>
        <w:rPr>
          <w:rFonts w:ascii="Arial" w:cs="Arial" w:eastAsia="Arial" w:hAnsi="Arial"/>
          <w:sz w:val="22"/>
          <w:szCs w:val="22"/>
          <w:b w:val="1"/>
          <w:bCs w:val="1"/>
          <w:color w:val="auto"/>
        </w:rPr>
        <w:t>; I</w:t>
      </w:r>
      <w:r>
        <w:rPr>
          <w:rFonts w:ascii="Arial" w:cs="Arial" w:eastAsia="Arial" w:hAnsi="Arial"/>
          <w:sz w:val="14"/>
          <w:szCs w:val="14"/>
          <w:b w:val="1"/>
          <w:bCs w:val="1"/>
          <w:color w:val="auto"/>
        </w:rPr>
        <w:t>NTEREST</w:t>
      </w:r>
    </w:p>
    <w:p>
      <w:pPr>
        <w:spacing w:after="0" w:line="19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Section 4.1. Yield</w:t>
      </w:r>
      <w:r>
        <w:rPr>
          <w:rFonts w:ascii="Arial" w:cs="Arial" w:eastAsia="Arial" w:hAnsi="Arial"/>
          <w:sz w:val="18"/>
          <w:szCs w:val="18"/>
          <w:color w:val="auto"/>
        </w:rPr>
        <w:t>. The amount of the Lessor Amount outstanding from time to time shall accrue Yield at the Yield Rate, calculated on the basis of a</w:t>
      </w:r>
      <w:r>
        <w:rPr>
          <w:rFonts w:ascii="Arial" w:cs="Arial" w:eastAsia="Arial" w:hAnsi="Arial"/>
          <w:sz w:val="18"/>
          <w:szCs w:val="18"/>
          <w:i w:val="1"/>
          <w:iCs w:val="1"/>
          <w:color w:val="auto"/>
        </w:rPr>
        <w:t xml:space="preserve"> </w:t>
      </w:r>
      <w:r>
        <w:rPr>
          <w:rFonts w:ascii="Arial" w:cs="Arial" w:eastAsia="Arial" w:hAnsi="Arial"/>
          <w:sz w:val="18"/>
          <w:szCs w:val="18"/>
          <w:color w:val="auto"/>
        </w:rPr>
        <w:t>360-day year using the actual number of days elapsed and, when the Yield Rate is based on an Alternate Base Rate, a 365 (or, if applicable, 366) day year basis, and, at all other times, a 360-day year basis. If all or any portion of the Lessor Amount outstanding, any Yield payable thereon or any other amount payable hereunder shall not be paid when due (whether at stated maturity, acceleration thereof or otherwise), such overdue amount shall bear interest at a rate per annum which is equal to the Overdue Rate.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Section 4.2. Interest on Loans</w:t>
      </w:r>
      <w:r>
        <w:rPr>
          <w:rFonts w:ascii="Arial" w:cs="Arial" w:eastAsia="Arial" w:hAnsi="Arial"/>
          <w:sz w:val="17"/>
          <w:szCs w:val="17"/>
          <w:color w:val="auto"/>
        </w:rPr>
        <w:t>. Each Loan shall accrue Interest computed and payable in accordance with the terms of the Loan Agreement.</w:t>
      </w:r>
    </w:p>
    <w:p>
      <w:pPr>
        <w:spacing w:after="0" w:line="23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Section 4.3. Payments of Rent; and Payments and Prepayments of Funded Amounts</w:t>
      </w:r>
      <w:r>
        <w:rPr>
          <w:rFonts w:ascii="Arial" w:cs="Arial" w:eastAsia="Arial" w:hAnsi="Arial"/>
          <w:sz w:val="16"/>
          <w:szCs w:val="16"/>
          <w:color w:val="auto"/>
        </w:rPr>
        <w:t>. (a) Notwithstanding any provisions in the Lease to the contrary, the</w:t>
      </w:r>
      <w:r>
        <w:rPr>
          <w:rFonts w:ascii="Arial" w:cs="Arial" w:eastAsia="Arial" w:hAnsi="Arial"/>
          <w:sz w:val="16"/>
          <w:szCs w:val="16"/>
          <w:i w:val="1"/>
          <w:iCs w:val="1"/>
          <w:color w:val="auto"/>
        </w:rPr>
        <w:t xml:space="preserve"> </w:t>
      </w:r>
      <w:r>
        <w:rPr>
          <w:rFonts w:ascii="Arial" w:cs="Arial" w:eastAsia="Arial" w:hAnsi="Arial"/>
          <w:sz w:val="16"/>
          <w:szCs w:val="16"/>
          <w:color w:val="auto"/>
        </w:rPr>
        <w:t>Lessor hereby directs the Lessee to pay to the Administrative Agent the Rent from time to time payable under the Lease (other than Supplemental Rent that is payable to Persons other than Lessor, which the Lessor hereby directs the Lessee to make directly to the applicable Person entitled thereto).</w:t>
      </w:r>
    </w:p>
    <w:p>
      <w:pPr>
        <w:spacing w:after="0" w:line="147" w:lineRule="exact"/>
        <w:rPr>
          <w:sz w:val="20"/>
          <w:szCs w:val="20"/>
          <w:color w:val="auto"/>
        </w:rPr>
      </w:pPr>
    </w:p>
    <w:p>
      <w:pPr>
        <w:jc w:val="both"/>
        <w:ind w:firstLine="656"/>
        <w:spacing w:after="0" w:line="276" w:lineRule="auto"/>
        <w:tabs>
          <w:tab w:leader="none" w:pos="912"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the event that the Lessee pays or causes to be paid the Lease Balance and all other amounts owing by Lessee to the Administrative Agent, if any, and/or the Participants under the Operative Documents (including, but without duplication, accrued and unpaid Rent) to the Lessor in connection with the Lessee’s purchase of the Leased Property in accordance with Section 15.1, 16.2(e) or 18.1 of the Lease or Article XIX of the Lease, the Lessor will prepay the entire outstanding principal amount of the Loans and the Lessor Amount. Each Participant hereby acknowledges that its Loans or Lessor Amount, as the case may be, may be so prepaid without any prepayment premium or charge (other than Break Costs, if any).</w:t>
      </w:r>
    </w:p>
    <w:p>
      <w:pPr>
        <w:spacing w:after="0" w:line="173"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i w:val="1"/>
          <w:iCs w:val="1"/>
          <w:color w:val="auto"/>
        </w:rPr>
        <w:t>Section 4.4. Fees</w:t>
      </w:r>
      <w:r>
        <w:rPr>
          <w:rFonts w:ascii="Arial" w:cs="Arial" w:eastAsia="Arial" w:hAnsi="Arial"/>
          <w:sz w:val="16"/>
          <w:szCs w:val="16"/>
          <w:color w:val="auto"/>
        </w:rPr>
        <w:t>. Pursuant to the Original Participation Agreement, Lessee agreed to pay the following fees (collectively, the “</w:t>
      </w:r>
      <w:r>
        <w:rPr>
          <w:rFonts w:ascii="Arial" w:cs="Arial" w:eastAsia="Arial" w:hAnsi="Arial"/>
          <w:sz w:val="16"/>
          <w:szCs w:val="16"/>
          <w:i w:val="1"/>
          <w:iCs w:val="1"/>
          <w:color w:val="auto"/>
        </w:rPr>
        <w:t>Fees</w:t>
      </w:r>
      <w:r>
        <w:rPr>
          <w:rFonts w:ascii="Arial" w:cs="Arial" w:eastAsia="Arial" w:hAnsi="Arial"/>
          <w:sz w:val="16"/>
          <w:szCs w:val="16"/>
          <w:color w:val="auto"/>
        </w:rPr>
        <w:t>”): (x)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for the account of the Participants, the Upfront Fees payable to the Participants on the Original Closing Date, (y) to Arranger, for its own account, the Arranger Fee payable to the Arranger on the Original Closing Date pursuant to, and in the amount set forth in, the Arranger Fee Letter, and</w:t>
      </w:r>
    </w:p>
    <w:p>
      <w:pPr>
        <w:jc w:val="both"/>
        <w:ind w:firstLine="8"/>
        <w:spacing w:after="0" w:line="254" w:lineRule="auto"/>
        <w:tabs>
          <w:tab w:leader="none" w:pos="246"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the Administrative Agent: the periodic agency fees payable to the Administrative Agent pursuant to, and in the amounts and at the times set forth in, the Administrative Agent Fee Letter. The Fees referred to in clause (x), clause (y) and, to the extent payable prior to the Restatement Date, clause (z) above were previously paid by the Lessee. The Lessee agrees to continue to pay the Fees referred to in clause (z) above pursuant to, and in the amounts and at the times set forth in,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Administrative Agent Fee Letter.</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Section 4.5. Obligations Several</w:t>
      </w:r>
      <w:r>
        <w:rPr>
          <w:rFonts w:ascii="Arial" w:cs="Arial" w:eastAsia="Arial" w:hAnsi="Arial"/>
          <w:sz w:val="17"/>
          <w:szCs w:val="17"/>
          <w:color w:val="auto"/>
        </w:rPr>
        <w:t>. The obligations of the Participants hereunder or elsewhere in the Operative Documents shall be several and not joint;</w:t>
      </w:r>
      <w:r>
        <w:rPr>
          <w:rFonts w:ascii="Arial" w:cs="Arial" w:eastAsia="Arial" w:hAnsi="Arial"/>
          <w:sz w:val="17"/>
          <w:szCs w:val="17"/>
          <w:i w:val="1"/>
          <w:iCs w:val="1"/>
          <w:color w:val="auto"/>
        </w:rPr>
        <w:t xml:space="preserve"> </w:t>
      </w:r>
      <w:r>
        <w:rPr>
          <w:rFonts w:ascii="Arial" w:cs="Arial" w:eastAsia="Arial" w:hAnsi="Arial"/>
          <w:sz w:val="17"/>
          <w:szCs w:val="17"/>
          <w:color w:val="auto"/>
        </w:rPr>
        <w:t>and no Participant shall be liable or responsible for the acts or defaults of any other party hereunder or under any other Operative Document.</w:t>
      </w:r>
    </w:p>
    <w:p>
      <w:pPr>
        <w:spacing w:after="0" w:line="14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i w:val="1"/>
          <w:iCs w:val="1"/>
          <w:color w:val="auto"/>
        </w:rPr>
        <w:t>Section 4.6. Highest Lawful Rate</w:t>
      </w:r>
      <w:r>
        <w:rPr>
          <w:rFonts w:ascii="Arial" w:cs="Arial" w:eastAsia="Arial" w:hAnsi="Arial"/>
          <w:sz w:val="16"/>
          <w:szCs w:val="16"/>
          <w:color w:val="auto"/>
        </w:rPr>
        <w:t>. It is the intention of the parties hereto to conform strictly to applicable usury laws, and, anything herein or in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Operative Document to the contrary notwithstanding, the obligations of (x) Lessee to Lessor under this Participation Agreement, the Lease and the other Operative Documents, (y) Lessor to the Lenders under the Loan Agreement and the Notes and (z) either Lessee or Lessor or any other party under any other Operative Document shall, in each case, be subject to the limitation that payments of Interest or of other amounts constituting interest under Applicable Laws shall not be required to the extent that receipt thereof would be in excess of the Highest Lawful Rate or otherwise contrary to provisions of Applicable Laws applicable to the recipient limiting rates of interest which may be charged or collected by the recipient. Accordingly, if the transactions or the amount paid or otherwise agreed to be paid for the use, forbearance or detention of money under this Participation Agreement, the Lease, the Loan Agreement, the Notes, the Lessor Amount or any other Operative Document would exceed the Highest Lawful Rate or otherwise be usurious under Applicable Laws (including without limitation the federal and state laws of the United States of America or of any other jurisdiction whose laws may be mandatorily applicable) with respect to the recipient of any such amount, then, in that event, notwithstanding anything to the contrary in this Participation Agreement, the Lease, the Loan Agreement, the Notes or any other Operative Document, it is agreed as follows as to the recipient of any such amount:</w:t>
      </w:r>
    </w:p>
    <w:p>
      <w:pPr>
        <w:spacing w:after="0" w:line="173" w:lineRule="exact"/>
        <w:rPr>
          <w:sz w:val="20"/>
          <w:szCs w:val="20"/>
          <w:color w:val="auto"/>
        </w:rPr>
      </w:pPr>
    </w:p>
    <w:p>
      <w:pPr>
        <w:ind w:left="660" w:firstLine="645"/>
        <w:spacing w:after="0" w:line="308" w:lineRule="auto"/>
        <w:tabs>
          <w:tab w:leader="none" w:pos="155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provisions of this Section 4.6 shall govern and control over any other provision in this Participation Agreement, the Lease, the Loan Agreement, the Notes, the Lessor Amount and any other Operative Document, and each provision set forth therein is hereby so limited;</w:t>
      </w:r>
    </w:p>
    <w:p>
      <w:pPr>
        <w:spacing w:after="0" w:line="146" w:lineRule="exact"/>
        <w:rPr>
          <w:rFonts w:ascii="Arial" w:cs="Arial" w:eastAsia="Arial" w:hAnsi="Arial"/>
          <w:sz w:val="17"/>
          <w:szCs w:val="17"/>
          <w:color w:val="auto"/>
        </w:rPr>
      </w:pPr>
    </w:p>
    <w:p>
      <w:pPr>
        <w:jc w:val="both"/>
        <w:ind w:left="660" w:firstLine="645"/>
        <w:spacing w:after="0" w:line="271" w:lineRule="auto"/>
        <w:tabs>
          <w:tab w:leader="none" w:pos="156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aggregate of all consideration which constitutes interest under Applicable Laws that is contracted for, charged or received under this Participation Agreement, the Lease, the Loan Agreement, the Notes or any other Operative Document shall under no circumstances exceed the maximum amount of interest allowed by Applicable Laws (such maximum lawful interest rate, if any, with respect to such recipient herein shall be called the “</w:t>
      </w:r>
      <w:r>
        <w:rPr>
          <w:rFonts w:ascii="Arial" w:cs="Arial" w:eastAsia="Arial" w:hAnsi="Arial"/>
          <w:sz w:val="17"/>
          <w:szCs w:val="17"/>
          <w:i w:val="1"/>
          <w:iCs w:val="1"/>
          <w:color w:val="auto"/>
        </w:rPr>
        <w:t>Highest Lawful Rate</w:t>
      </w:r>
      <w:r>
        <w:rPr>
          <w:rFonts w:ascii="Arial" w:cs="Arial" w:eastAsia="Arial" w:hAnsi="Arial"/>
          <w:sz w:val="17"/>
          <w:szCs w:val="17"/>
          <w:color w:val="auto"/>
        </w:rPr>
        <w:t>”), and all amounts owed under this Participation Agreement, the Lease, the Loan Agreement, the Notes and any other Operative Document shall be held subject to reduction and: (i) the amount of interest which would otherwise be payable to the recipient under this Participation Agreement, the Lease, the Loan Agreement, the Notes or any other Operative Document shall be automatically reduced to the amount allowed under Applicable Laws, and (ii) any unearned interest paid in excess of the Highest Lawful Rate shall be credited to the payor by the recipient (or, if such consideration shall have been paid in full, refunded to the payor);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6" w:name="page17"/>
    <w:bookmarkEnd w:id="16"/>
    <w:p>
      <w:pPr>
        <w:jc w:val="both"/>
        <w:ind w:left="660" w:firstLine="645"/>
        <w:spacing w:after="0" w:line="259" w:lineRule="auto"/>
        <w:tabs>
          <w:tab w:leader="none" w:pos="1554"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sums paid or agreed to be paid for the use, forbearance and detention of the money under this Participation Agreement, the Lease, the Loan Agreement, the Notes or any other Operative Document shall, to the extent permitted by Applicable Laws, be amortized, prorated, allocated and spread throughout the full term of such indebtedness until payment in full so that the actual rate of interest is uniform throughout the full term thereof; and</w:t>
      </w:r>
    </w:p>
    <w:p>
      <w:pPr>
        <w:spacing w:after="0" w:line="186" w:lineRule="exact"/>
        <w:rPr>
          <w:rFonts w:ascii="Arial" w:cs="Arial" w:eastAsia="Arial" w:hAnsi="Arial"/>
          <w:sz w:val="18"/>
          <w:szCs w:val="18"/>
          <w:color w:val="auto"/>
        </w:rPr>
      </w:pPr>
    </w:p>
    <w:p>
      <w:pPr>
        <w:jc w:val="both"/>
        <w:ind w:left="660" w:firstLine="645"/>
        <w:spacing w:after="0" w:line="270" w:lineRule="auto"/>
        <w:tabs>
          <w:tab w:leader="none" w:pos="1586"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at any time the interest, together with any other fees, late charges and other sums payable pursuant to or in connection with this Participation Agreement, the Lease, the Loan Agreement, the Notes and any other Operative Document executed in connection herewith or therewith and deemed interest under Applicable Laws, exceeds that amount which would have accrued at the Highest Lawful Rate, the amount of interest and any such fees, charges and sums to accrue to the recipient of such interest, fees, charges and sums pursuant to the Operative Documents shall be limited, notwithstanding anything to the contrary in the Operative Documents, to that amount which would have accrued at the Highest Lawful Rate for the recipient, but any subsequent reductions, as applicable, shall not reduce the interest to accrue pursuant to the Operative Documents below the recipient’s Highest Lawful Rate until the total amount of interest payable to the recipient (including all consideration which constitutes interest) equals the amount of interest which would have been payable to the recipient (including all consideration which constitutes interest), plus the amount of fees which would have been received but for the effect of this Section 4.6.</w:t>
      </w:r>
    </w:p>
    <w:p>
      <w:pPr>
        <w:spacing w:after="0" w:line="18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i w:val="1"/>
          <w:iCs w:val="1"/>
          <w:color w:val="auto"/>
        </w:rPr>
        <w:t>Section 4.7. Renewal of Lease</w:t>
      </w:r>
      <w:r>
        <w:rPr>
          <w:rFonts w:ascii="Arial" w:cs="Arial" w:eastAsia="Arial" w:hAnsi="Arial"/>
          <w:sz w:val="16"/>
          <w:szCs w:val="16"/>
          <w:color w:val="auto"/>
        </w:rPr>
        <w:t>. (a) Lessee may request in writing (the “</w:t>
      </w:r>
      <w:r>
        <w:rPr>
          <w:rFonts w:ascii="Arial" w:cs="Arial" w:eastAsia="Arial" w:hAnsi="Arial"/>
          <w:sz w:val="16"/>
          <w:szCs w:val="16"/>
          <w:i w:val="1"/>
          <w:iCs w:val="1"/>
          <w:color w:val="auto"/>
        </w:rPr>
        <w:t>Renewal Option Request</w:t>
      </w:r>
      <w:r>
        <w:rPr>
          <w:rFonts w:ascii="Arial" w:cs="Arial" w:eastAsia="Arial" w:hAnsi="Arial"/>
          <w:sz w:val="16"/>
          <w:szCs w:val="16"/>
          <w:color w:val="auto"/>
        </w:rPr>
        <w:t>”) to the Administrative Agent, Lessor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pursuant to the Lease to renew the Term (the “</w:t>
      </w:r>
      <w:r>
        <w:rPr>
          <w:rFonts w:ascii="Arial" w:cs="Arial" w:eastAsia="Arial" w:hAnsi="Arial"/>
          <w:sz w:val="16"/>
          <w:szCs w:val="16"/>
          <w:i w:val="1"/>
          <w:iCs w:val="1"/>
          <w:color w:val="auto"/>
        </w:rPr>
        <w:t>Lease Renewal</w:t>
      </w:r>
      <w:r>
        <w:rPr>
          <w:rFonts w:ascii="Arial" w:cs="Arial" w:eastAsia="Arial" w:hAnsi="Arial"/>
          <w:sz w:val="16"/>
          <w:szCs w:val="16"/>
          <w:color w:val="auto"/>
        </w:rPr>
        <w:t>”) for one additional five-year period commencing on the last day of the Base Term (a “</w:t>
      </w:r>
      <w:r>
        <w:rPr>
          <w:rFonts w:ascii="Arial" w:cs="Arial" w:eastAsia="Arial" w:hAnsi="Arial"/>
          <w:sz w:val="16"/>
          <w:szCs w:val="16"/>
          <w:i w:val="1"/>
          <w:iCs w:val="1"/>
          <w:color w:val="auto"/>
        </w:rPr>
        <w:t>Lease Renewal Term</w:t>
      </w:r>
      <w:r>
        <w:rPr>
          <w:rFonts w:ascii="Arial" w:cs="Arial" w:eastAsia="Arial" w:hAnsi="Arial"/>
          <w:sz w:val="16"/>
          <w:szCs w:val="16"/>
          <w:color w:val="auto"/>
        </w:rPr>
        <w:t>”), and that the Maturity Date for the Loans and the Lessor Amount be correspondingly extended to the extended Expiration Date. Such Renewal Option Request must be delivered in writing to Administrative Agent not later than one hundred eighty (180) days nor more than three hundred sixty-five (365) days prior to the expiration of the Base Term. The Administrative Agent shall distribute a copy of the Renewal Option Request to each Participant, promptly after receipt thereof from the Lessee. Each Participant will notify Administrative Agent (who shall promptly notify the Lessee) in writing of whether or not it has consented to such Renewal Option Request not later than forty-five (45) days after the date on which the Administrative Agent receives the Renewal Option Request (the “</w:t>
      </w:r>
      <w:r>
        <w:rPr>
          <w:rFonts w:ascii="Arial" w:cs="Arial" w:eastAsia="Arial" w:hAnsi="Arial"/>
          <w:sz w:val="16"/>
          <w:szCs w:val="16"/>
          <w:i w:val="1"/>
          <w:iCs w:val="1"/>
          <w:color w:val="auto"/>
        </w:rPr>
        <w:t>Renewal Option Response Date</w:t>
      </w:r>
      <w:r>
        <w:rPr>
          <w:rFonts w:ascii="Arial" w:cs="Arial" w:eastAsia="Arial" w:hAnsi="Arial"/>
          <w:sz w:val="16"/>
          <w:szCs w:val="16"/>
          <w:color w:val="auto"/>
        </w:rPr>
        <w:t>”). Any failure by any Participant to so notify Administrative Agent by the Renewal Option Response Date will be deemed to be a non-consent by such Participant. Each Participant’s determination with respect to the Renewal Option Request shall be a new credit determination and within such Participant’s sole and absolute discretion and may be conditioned upon such terms and conditions as shall be deemed appropriate by such Participant, which may include receipt of such financial information, documentation or other information or conditions as may be requested in writing by such Participant and the receipt of a satisfactory appraisal of the Leased Property. It is a condition that all Participants consent to the renewal set forth in the Renewal Option Request for any renewal of the Lease to be effective. Lessee shall have thirty (30) days after the Renewal Option Response Date (such time period being referred to as the “</w:t>
      </w:r>
      <w:r>
        <w:rPr>
          <w:rFonts w:ascii="Arial" w:cs="Arial" w:eastAsia="Arial" w:hAnsi="Arial"/>
          <w:sz w:val="16"/>
          <w:szCs w:val="16"/>
          <w:i w:val="1"/>
          <w:iCs w:val="1"/>
          <w:color w:val="auto"/>
        </w:rPr>
        <w:t>Renewal Rescission Period</w:t>
      </w:r>
      <w:r>
        <w:rPr>
          <w:rFonts w:ascii="Arial" w:cs="Arial" w:eastAsia="Arial" w:hAnsi="Arial"/>
          <w:sz w:val="16"/>
          <w:szCs w:val="16"/>
          <w:color w:val="auto"/>
        </w:rPr>
        <w:t>”) to irrevocably rescind the Renewal Option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7" w:name="page18"/>
    <w:bookmarkEnd w:id="17"/>
    <w:p>
      <w:pPr>
        <w:jc w:val="both"/>
        <w:spacing w:after="0" w:line="302" w:lineRule="auto"/>
        <w:rPr>
          <w:sz w:val="20"/>
          <w:szCs w:val="20"/>
          <w:color w:val="auto"/>
        </w:rPr>
      </w:pPr>
      <w:r>
        <w:rPr>
          <w:rFonts w:ascii="Arial" w:cs="Arial" w:eastAsia="Arial" w:hAnsi="Arial"/>
          <w:sz w:val="16"/>
          <w:szCs w:val="16"/>
          <w:color w:val="auto"/>
        </w:rPr>
        <w:t>Request and elect not to extend the Term (a “</w:t>
      </w:r>
      <w:r>
        <w:rPr>
          <w:rFonts w:ascii="Arial" w:cs="Arial" w:eastAsia="Arial" w:hAnsi="Arial"/>
          <w:sz w:val="16"/>
          <w:szCs w:val="16"/>
          <w:i w:val="1"/>
          <w:iCs w:val="1"/>
          <w:color w:val="auto"/>
        </w:rPr>
        <w:t>Renewal Rescission</w:t>
      </w:r>
      <w:r>
        <w:rPr>
          <w:rFonts w:ascii="Arial" w:cs="Arial" w:eastAsia="Arial" w:hAnsi="Arial"/>
          <w:sz w:val="16"/>
          <w:szCs w:val="16"/>
          <w:color w:val="auto"/>
        </w:rPr>
        <w:t>”). If Lessee exercises a Renewal Rescission, the Lease shall terminate on the last day of the Term and Lessee shall be deemed to have exercised the Purchase Option. Any failure by Lessee to exercise a Renewal Rescission during the Renewal Rescission Period shall be deemed a waiver of the right of Lessee to effectuate a Renewal Rescission and, subject to Section 4.7(c), Lessee shall have been deemed to have accepted the Participants’ respective terms and conditions to their respective consents to the Renewal Option Request.</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consented to by all Participants pursuant to the preceding paragraph, Lessee, the Administrative Agent and the Participants shall proceed promptly to execute and deliver all such amendments and modifications to the Operative Documents as are necessary to set forth any terms and conditions relating to the Renewal Option not reflected in the Operative Documents and the renewal shall become effective as of the first date (the “</w:t>
      </w:r>
      <w:r>
        <w:rPr>
          <w:rFonts w:ascii="Arial" w:cs="Arial" w:eastAsia="Arial" w:hAnsi="Arial"/>
          <w:sz w:val="17"/>
          <w:szCs w:val="17"/>
          <w:i w:val="1"/>
          <w:iCs w:val="1"/>
          <w:color w:val="auto"/>
        </w:rPr>
        <w:t>Renewal Effective Date</w:t>
      </w:r>
      <w:r>
        <w:rPr>
          <w:rFonts w:ascii="Arial" w:cs="Arial" w:eastAsia="Arial" w:hAnsi="Arial"/>
          <w:sz w:val="17"/>
          <w:szCs w:val="17"/>
          <w:color w:val="auto"/>
        </w:rPr>
        <w:t xml:space="preserve">”) on or after the Renewal Option Response Date on which all of the Participants shall have consented to such Lease Renewal;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 both the date of the Renewal Option Request and the Renewal Effective Date in addition thereto: (w) each of the representations and warranties made by Lessee and each Guarantor in or pursuant to the Operative Documents shall be true and correct in all material respects as if made on and as of each such date (except to the extent any such representation or warranty specifically relates to an earlier date), (x) Lessee shall not have exercised the Purchase Option or Sale Option, (y) no Default or Event of Default shall have occurred and be continuing, and (z) on each of such dates, Lessor shall have received a certificate of a Responsible Officer of Lessee as to the matters set forth in clauses (w), (x) and (y) above and (3) without duplication, the conditions set forth in Section 19.3 of the Lease shall have been satisfied as of the dates required therein.</w:t>
      </w:r>
    </w:p>
    <w:p>
      <w:pPr>
        <w:spacing w:after="0" w:line="178" w:lineRule="exact"/>
        <w:rPr>
          <w:sz w:val="20"/>
          <w:szCs w:val="20"/>
          <w:color w:val="auto"/>
        </w:rPr>
      </w:pPr>
    </w:p>
    <w:p>
      <w:pPr>
        <w:ind w:firstLine="656"/>
        <w:spacing w:after="0" w:line="277" w:lineRule="auto"/>
        <w:tabs>
          <w:tab w:leader="none" w:pos="91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Renewal Effective Date, Lessee’s election of the Lease Renewal Term shall be undertaken pursuant to, and shall be subject to the terms and conditions set forth in, Section 19.1(a) of the Lease.</w:t>
      </w:r>
    </w:p>
    <w:p>
      <w:pPr>
        <w:spacing w:after="0" w:line="170" w:lineRule="exact"/>
        <w:rPr>
          <w:rFonts w:ascii="Arial" w:cs="Arial" w:eastAsia="Arial" w:hAnsi="Arial"/>
          <w:sz w:val="18"/>
          <w:szCs w:val="18"/>
          <w:color w:val="auto"/>
        </w:rPr>
      </w:pPr>
    </w:p>
    <w:p>
      <w:pPr>
        <w:jc w:val="both"/>
        <w:ind w:firstLine="656"/>
        <w:spacing w:after="0" w:line="272"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Lessee shall have the right, but shall not be obligated, to replace any Participant that fails to consent to a Renewal Option Request pursuant to Section 4.7(a) or, as a condition to such consent, requires renewal terms that the Lessee has not accepted (any such Participant, a “</w:t>
      </w:r>
      <w:r>
        <w:rPr>
          <w:rFonts w:ascii="Arial" w:cs="Arial" w:eastAsia="Arial" w:hAnsi="Arial"/>
          <w:sz w:val="17"/>
          <w:szCs w:val="17"/>
          <w:i w:val="1"/>
          <w:iCs w:val="1"/>
          <w:color w:val="auto"/>
        </w:rPr>
        <w:t>Non-Renewing</w:t>
      </w:r>
      <w:r>
        <w:rPr>
          <w:rFonts w:ascii="Arial" w:cs="Arial" w:eastAsia="Arial" w:hAnsi="Arial"/>
          <w:sz w:val="17"/>
          <w:szCs w:val="17"/>
          <w:color w:val="auto"/>
        </w:rPr>
        <w:t xml:space="preserve"> </w:t>
      </w:r>
      <w:r>
        <w:rPr>
          <w:rFonts w:ascii="Arial" w:cs="Arial" w:eastAsia="Arial" w:hAnsi="Arial"/>
          <w:sz w:val="17"/>
          <w:szCs w:val="17"/>
          <w:i w:val="1"/>
          <w:iCs w:val="1"/>
          <w:color w:val="auto"/>
        </w:rPr>
        <w:t>Participant</w:t>
      </w:r>
      <w:r>
        <w:rPr>
          <w:rFonts w:ascii="Arial" w:cs="Arial" w:eastAsia="Arial" w:hAnsi="Arial"/>
          <w:sz w:val="17"/>
          <w:szCs w:val="17"/>
          <w:color w:val="auto"/>
        </w:rPr>
        <w:t>”), in any such case, in accordance with the procedures provided in Section 14.9. Any such replacement Participant shall have entered into an</w:t>
      </w:r>
      <w:r>
        <w:rPr>
          <w:rFonts w:ascii="Arial" w:cs="Arial" w:eastAsia="Arial" w:hAnsi="Arial"/>
          <w:sz w:val="17"/>
          <w:szCs w:val="17"/>
          <w:i w:val="1"/>
          <w:iCs w:val="1"/>
          <w:color w:val="auto"/>
        </w:rPr>
        <w:t xml:space="preserve"> </w:t>
      </w:r>
      <w:r>
        <w:rPr>
          <w:rFonts w:ascii="Arial" w:cs="Arial" w:eastAsia="Arial" w:hAnsi="Arial"/>
          <w:sz w:val="17"/>
          <w:szCs w:val="17"/>
          <w:color w:val="auto"/>
        </w:rPr>
        <w:t>Assignment Agreement with such Non-Renewing Participant in accordance with the procedures provided in Section 14.9, effective on or before the Renewal Effective Date. Prior to any Non-Renewing Participant being so replaced pursuant hereto, such Non-Renewing Participant may elect, in its sole discretion, by giving irrevocable notice thereof to the Administrative Agent and the Lessee, to become a consenting Participant pursuant to this Section 4.7 and/or to withdraw any of its renewal terms that the Lessee has not accepted.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ERTAIN</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NTENTIONS OF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ARTIES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5.1. Nature of Transaction</w:t>
      </w:r>
      <w:r>
        <w:rPr>
          <w:rFonts w:ascii="Arial" w:cs="Arial" w:eastAsia="Arial" w:hAnsi="Arial"/>
          <w:sz w:val="18"/>
          <w:szCs w:val="18"/>
          <w:color w:val="auto"/>
        </w:rPr>
        <w:t>. It is the intention of the parties that: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 w:name="page19"/>
    <w:bookmarkEnd w:id="18"/>
    <w:p>
      <w:pPr>
        <w:jc w:val="both"/>
        <w:ind w:left="660" w:firstLine="645"/>
        <w:spacing w:after="0" w:line="264" w:lineRule="auto"/>
        <w:tabs>
          <w:tab w:leader="none" w:pos="15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all purposes, including GAAP, federal and all state and local income and transfer taxes, bankruptcy, insolvency, conservatorships and receiverships (including the substantive law upon which bankruptcy, conservatorship and insolvency and receivership proceedings are based), real estate and commercial law and UCC purposes:</w:t>
      </w:r>
    </w:p>
    <w:p>
      <w:pPr>
        <w:spacing w:after="0" w:line="181" w:lineRule="exact"/>
        <w:rPr>
          <w:rFonts w:ascii="Arial" w:cs="Arial" w:eastAsia="Arial" w:hAnsi="Arial"/>
          <w:sz w:val="18"/>
          <w:szCs w:val="18"/>
          <w:color w:val="auto"/>
        </w:rPr>
      </w:pPr>
    </w:p>
    <w:p>
      <w:pPr>
        <w:jc w:val="both"/>
        <w:ind w:left="1300" w:firstLine="653"/>
        <w:spacing w:after="0" w:line="271" w:lineRule="auto"/>
        <w:tabs>
          <w:tab w:leader="none" w:pos="2208"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Overall Transaction constitutes a secured lending transaction by the Participants to Lessee and preserves beneficial ownership in the Leased Property in Lessee, the Lessor holds only legal title to the Leased Property within the meaning of 11 U.S.C. Section 541(d), Lessee (and not the Lessor, the Administrative Agent or the other Participants) will be entitled to all tax benefits with respect to the Leased Property and other Collateral available to the owner of the Leased Property for tax purposes, the obligations of Lessee to pay Basic Rent shall be treated as payments of interest to the Participants, the payment by Lessee of any amounts (other than Basic Rent) in respect of the Lease Balance shall be treated as payments of principal to the Participants and, in the event Lessee purchases the Leased Property pursuant to the terms of the Lease and pays in full the Lease Balance and all other amounts outstanding under the Operative Documents, legal title to the Leased Property shall automatically vest in the Lessee; and</w:t>
      </w:r>
    </w:p>
    <w:p>
      <w:pPr>
        <w:spacing w:after="0" w:line="178" w:lineRule="exact"/>
        <w:rPr>
          <w:rFonts w:ascii="Arial" w:cs="Arial" w:eastAsia="Arial" w:hAnsi="Arial"/>
          <w:sz w:val="17"/>
          <w:szCs w:val="17"/>
          <w:color w:val="auto"/>
        </w:rPr>
      </w:pPr>
    </w:p>
    <w:p>
      <w:pPr>
        <w:jc w:val="both"/>
        <w:ind w:left="1300" w:firstLine="653"/>
        <w:spacing w:after="0" w:line="259" w:lineRule="auto"/>
        <w:tabs>
          <w:tab w:leader="none" w:pos="2232"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order to secure the obligations of Lessee now existing or hereafter arising under the Lease or any of the other Operative Documents, the Lease, together with the other Security Instruments, creates a security interest or a lien, as the case may be, in the Leased Property and the other Collateral in favor of the Administrative Agent, and for the benefit of the Participants, to secure Lessee’s payment and performance of the Obligations; and</w:t>
      </w:r>
    </w:p>
    <w:p>
      <w:pPr>
        <w:spacing w:after="0" w:line="186" w:lineRule="exact"/>
        <w:rPr>
          <w:rFonts w:ascii="Arial" w:cs="Arial" w:eastAsia="Arial" w:hAnsi="Arial"/>
          <w:sz w:val="18"/>
          <w:szCs w:val="18"/>
          <w:color w:val="auto"/>
        </w:rPr>
      </w:pPr>
    </w:p>
    <w:p>
      <w:pPr>
        <w:jc w:val="both"/>
        <w:ind w:left="1300" w:firstLine="653"/>
        <w:spacing w:after="0" w:line="259" w:lineRule="auto"/>
        <w:tabs>
          <w:tab w:leader="none" w:pos="228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Security Instruments create Liens on and security interests in the Leased Property and the other Collateral, granted by Lessor or Lessee, as applicable, in favor of the Administrative Agent for the benefit of all of the Participants to secure Lessor’s and Lessee’s payment and performance of their respective obligations under the Lease, the Loan Agreement, the Notes and other applicable Operative Documents.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the parties hereto agrees that it will not, nor will it permit any Affiliate to at any time, take any action or fail to take any action with respect to the preparation, filing or audit of any income tax return, including an amended income tax return, to the extent that such action or such failure to take action would be inconsistent with the intention of the parties expressed in this Section 5.1.</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Nevertheless, without limiting the foregoing agreement, each of the parties hereto acknowledges and agrees that none of the Lessee, the Participants, the Administrative Agent or Arranger has made any representations or warranties concerning the tax, accounting or legal characteristics of the Operative Documents or any aspect of the Overall Transaction and that such party has obtained and relied upon such tax, accounting and legal advice concerning the Operative Documents and the Overall Transaction as such party deems appropriate.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9" w:name="page20"/>
    <w:bookmarkEnd w:id="19"/>
    <w:p>
      <w:pPr>
        <w:jc w:val="both"/>
        <w:ind w:left="660" w:firstLine="645"/>
        <w:spacing w:after="0" w:line="272" w:lineRule="auto"/>
        <w:tabs>
          <w:tab w:leader="none" w:pos="1595" w:val="left"/>
        </w:tabs>
        <w:numPr>
          <w:ilvl w:val="0"/>
          <w:numId w:val="8"/>
        </w:numPr>
        <w:rPr>
          <w:rFonts w:ascii="Arial" w:cs="Arial" w:eastAsia="Arial" w:hAnsi="Arial"/>
          <w:sz w:val="17"/>
          <w:szCs w:val="17"/>
          <w:color w:val="auto"/>
        </w:rPr>
      </w:pPr>
      <w:r>
        <w:rPr>
          <w:rFonts w:ascii="Arial" w:cs="Arial" w:eastAsia="Arial" w:hAnsi="Arial"/>
          <w:sz w:val="17"/>
          <w:szCs w:val="17"/>
          <w:color w:val="auto"/>
        </w:rPr>
        <w:t>Specifically, without limiting the generality of clause (a), the parties hereto intend and agree that in the event of any insolvency, conservatorship or receivership proceedings or matters or a petition under the United States bankruptcy laws, or any other applicable insolvency, conservatorship or receivership laws or statute of the United States of America or any State or Commonwealth thereof affecting Lessee, the Guarantors or any Participant or any collection actions, the transactions evidenced by the Operative Documents (including, without limitation, the Lease) constitute a financing made directly to Lessee by the Participants, as unrelated third party lenders, and that Lessor holds a fee interest in and title to the Leased Property to secure Lessee’s obligations to repay such financing to the Participants and all other amounts due under any of the Operative Documents and that Lessee retains the beneficial ownership of the Leased Property.</w:t>
      </w:r>
    </w:p>
    <w:p>
      <w:pPr>
        <w:spacing w:after="0" w:line="17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i w:val="1"/>
          <w:iCs w:val="1"/>
          <w:color w:val="auto"/>
        </w:rPr>
        <w:t>Section 5.2. Amounts Due Under Lease</w:t>
      </w:r>
      <w:r>
        <w:rPr>
          <w:rFonts w:ascii="Arial" w:cs="Arial" w:eastAsia="Arial" w:hAnsi="Arial"/>
          <w:sz w:val="16"/>
          <w:szCs w:val="16"/>
          <w:color w:val="auto"/>
        </w:rPr>
        <w:t>. Anything else herein or elsewhere to the contrary notwithstanding, it is the intention of the Lessee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that: (i) the amount and timing of installments of Basic Rent due and payable from time to time under the Lease shall be equal to the aggregate payments due and payable as Interest on the Loans and Yield on the Lessor Amount due on each Payment Date; (ii) if the Lessee elects the Early Termination Option, the Purchase Option or becomes obligated or otherwise elects to purchase the Leased Property under the Lease, the Loans, the Lessor Amount, all accrued and unpaid Interest and Yield thereon, any Fees and all other obligations of the Lessee owing to the Participants pursuant to the Operative Documents shall be paid in full by the Lessee; (iii) if the Lessee properly elects the Sale Option with respect to the Leased Property and subject to Articles XX and XXI of the Lease, the Lessee shall only be required to pay to the Administrative Agent the proceeds of the sale of the Leased Property, the Sale Option Recourse Amount with respect to the Leased Property and any amounts due pursuant to Section 20.2 of the Lease, together with all other amounts due and payable as Supplemental Rent, but subject to the right of the parties with respect to the Gross Proceeds as set forth at Section 5.3(d); and (iv) upon an Event of Default resulting in an acceleration of the Lessee’s obligations to purchase the Leased Property under the Lease, the amounts then due and payable by the Lessee under the Lease on a recourse basis shall include all amounts necessary to pay in full the Lease Balance and all other amounts owing by Lessee to the Administrative Agent, if any, and/or the Participants under the Operative Documents (including, but without duplication, accrued and unpaid Rent).</w:t>
      </w:r>
    </w:p>
    <w:p>
      <w:pPr>
        <w:spacing w:after="0" w:line="16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Section 5.3. Distribution</w:t>
      </w:r>
      <w:r>
        <w:rPr>
          <w:rFonts w:ascii="Arial" w:cs="Arial" w:eastAsia="Arial" w:hAnsi="Arial"/>
          <w:sz w:val="17"/>
          <w:szCs w:val="17"/>
          <w:color w:val="auto"/>
        </w:rPr>
        <w:t>. (a) Each payment of Basic Rent to the extent attributable to Interest and Yield (and any payment of interest on overdue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installments of Basic Rent) received by the Administrative Agent shall be distributed by the Administrative Agent to the Participants, in accordance with, and for application to, the amount of Interest and Yield then due on the Loans and the Lessor Amount, as well as any overdue Interest or Yield due to each Lender or Lessor (to the extent permitted by Applicable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until the Lessor Shortfall Amount has been reduced to zero, the Administrative Agent shall distribute Basic Rent attributable to Interest (and any payment of interest on overdue installments of Basic Rent) that is received by the Administrative Agent on a on a pro rata basis, based on their respective shares of the Loan Balance, to the Lenders.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Any payment received by the Administrative Agent as a result 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0" w:name="page21"/>
    <w:bookmarkEnd w:id="20"/>
    <w:p>
      <w:pPr>
        <w:ind w:left="1520" w:hanging="215"/>
        <w:spacing w:after="0"/>
        <w:tabs>
          <w:tab w:leader="none" w:pos="1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purchase of the Leased Property pursuant to the provisions of the Lease (including, but not limited to, Section 18.1 and 19.1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Lease), or</w:t>
      </w:r>
    </w:p>
    <w:p>
      <w:pPr>
        <w:spacing w:after="0" w:line="210" w:lineRule="exact"/>
        <w:rPr>
          <w:rFonts w:ascii="Arial" w:cs="Arial" w:eastAsia="Arial" w:hAnsi="Arial"/>
          <w:sz w:val="16"/>
          <w:szCs w:val="16"/>
          <w:color w:val="auto"/>
        </w:rPr>
      </w:pPr>
    </w:p>
    <w:p>
      <w:pPr>
        <w:ind w:left="1560" w:hanging="255"/>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payment of the Lease Balance or Purchase Amount pursuant to the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be distributed by the Administrative Agent in the following amounts and order of priority: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on a pro rata basis based on their respective shares of the Loan Balance, to the Lenders in an amount not to exceed the sum of</w:t>
      </w:r>
    </w:p>
    <w:p>
      <w:pPr>
        <w:spacing w:after="0" w:line="23" w:lineRule="exact"/>
        <w:rPr>
          <w:sz w:val="20"/>
          <w:szCs w:val="20"/>
          <w:color w:val="auto"/>
        </w:rPr>
      </w:pPr>
    </w:p>
    <w:p>
      <w:pPr>
        <w:ind w:left="1300" w:firstLine="5"/>
        <w:spacing w:after="0" w:line="261" w:lineRule="auto"/>
        <w:tabs>
          <w:tab w:leader="none" w:pos="15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 the Lessor Shortfall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Commitment Percentage with respect to the Lessor,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Lessor Shortfall Amount, for application to pay the Loan Balance owing to them;</w:t>
      </w:r>
    </w:p>
    <w:p>
      <w:pPr>
        <w:spacing w:after="0" w:line="184" w:lineRule="exact"/>
        <w:rPr>
          <w:sz w:val="20"/>
          <w:szCs w:val="20"/>
          <w:color w:val="auto"/>
        </w:rPr>
      </w:pPr>
    </w:p>
    <w:p>
      <w:pPr>
        <w:jc w:val="both"/>
        <w:ind w:left="1300" w:firstLine="648"/>
        <w:spacing w:after="0" w:line="286" w:lineRule="auto"/>
        <w:rPr>
          <w:sz w:val="20"/>
          <w:szCs w:val="20"/>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on a pro rata basis, as applicable, based on their respective shares of the Participant Balance, to the Participants for</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to pay in full the Lease Balance owing to them and all other amounts owing by Lessee to the Administrative Agent, if any, and/or the Participants under the Operative Documents (including, but without duplication, accrued and unpaid Rent); and</w:t>
      </w:r>
    </w:p>
    <w:p>
      <w:pPr>
        <w:spacing w:after="0" w:line="166"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balance, if any, of such payment or amounts remaining after the satisfaction of all the Lessee’s liabilities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Operative Documents shall be promptly distributed to, or as directed by, the Lessee.</w:t>
      </w:r>
    </w:p>
    <w:p>
      <w:pPr>
        <w:spacing w:after="0" w:line="170" w:lineRule="exact"/>
        <w:rPr>
          <w:sz w:val="20"/>
          <w:szCs w:val="20"/>
          <w:color w:val="auto"/>
        </w:rPr>
      </w:pPr>
    </w:p>
    <w:p>
      <w:pPr>
        <w:ind w:right="20" w:firstLine="656"/>
        <w:spacing w:after="0" w:line="308" w:lineRule="auto"/>
        <w:tabs>
          <w:tab w:leader="none" w:pos="90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payment by the Lessee of the Sale Option Recourse Amount to the Administrative Agent in accordance with Section 20.1(j) of the Lease upon the Lessee’s exercise of the Sale Option shall be distributed by the Administrative Agent in the following amounts and order of priority:</w:t>
      </w:r>
    </w:p>
    <w:p>
      <w:pPr>
        <w:spacing w:after="0" w:line="147"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on a pro rata basis based on their respective shares of the Loan Balance, to the Lenders for application to pay in full the Loan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owing to them and all other amounts owing by Lessee to the Lenders under the Operative Documents (including, but without duplication, accrued and unpaid Rent); and</w:t>
      </w:r>
    </w:p>
    <w:p>
      <w:pPr>
        <w:spacing w:after="0" w:line="181"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Lessor (and its designees) for application to pay in full the Lessor Balance and all other amounts owing by Lessee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under the Operative Documents (including, but without duplication, accrued and unpaid Rent); and</w:t>
      </w:r>
    </w:p>
    <w:p>
      <w:pPr>
        <w:spacing w:after="0" w:line="170"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balance, if any, of such payment or amounts remaining after the satisfaction of all the Lessee’s liabilities under the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shall be promptly distributed to, or as directed by, the Lessee.</w:t>
      </w:r>
    </w:p>
    <w:p>
      <w:pPr>
        <w:spacing w:after="0" w:line="170" w:lineRule="exact"/>
        <w:rPr>
          <w:sz w:val="20"/>
          <w:szCs w:val="20"/>
          <w:color w:val="auto"/>
        </w:rPr>
      </w:pPr>
    </w:p>
    <w:p>
      <w:pPr>
        <w:ind w:firstLine="656"/>
        <w:spacing w:after="0" w:line="308" w:lineRule="auto"/>
        <w:tabs>
          <w:tab w:leader="none" w:pos="907"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payments received by the Administrative Agent as Gross Proceeds from the sale of the Leased Property pursuant to the Lessee’s exercise of the Sale Option pursuant to Article XX of the Lease or pursuant to Section 13.2 herein shall be distributed in the following order of priority: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1" w:name="page22"/>
    <w:bookmarkEnd w:id="21"/>
    <w:p>
      <w:pPr>
        <w:ind w:left="660" w:firstLine="648"/>
        <w:spacing w:after="0" w:line="308" w:lineRule="auto"/>
        <w:rPr>
          <w:sz w:val="20"/>
          <w:szCs w:val="20"/>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the extent not previously deducted therefrom, in an amount equal to the reasonable sales costs, expenses and related taxes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by Lessee, Lessor or Administrative Agent in connection with any sale of the Leased Property to the party that incurred such amount;</w:t>
      </w:r>
    </w:p>
    <w:p>
      <w:pPr>
        <w:spacing w:after="0" w:line="147"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on a pro rata basis based on their respective shares of the Loan Balance, to the Lenders for application to pay in full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owing to them;</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Lessor (and its designees) for application to pay in full the Lessor Balance plus all other amounts owing under the Operative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the balance, if any, of such payment or amounts shall be promptly distributed to, or as directed by, the Lessee.</w:t>
      </w:r>
    </w:p>
    <w:p>
      <w:pPr>
        <w:spacing w:after="0" w:line="225" w:lineRule="exact"/>
        <w:rPr>
          <w:sz w:val="20"/>
          <w:szCs w:val="20"/>
          <w:color w:val="auto"/>
        </w:rPr>
      </w:pPr>
    </w:p>
    <w:p>
      <w:pPr>
        <w:jc w:val="both"/>
        <w:ind w:firstLine="65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payments of Supplemental Rent received by the Administrative Agent (excluding any amounts payable pursuant to the preceding provisions of this Section 5.3) shall be distributed promptly by the Administrative Agent upon receipt thereof to the Persons entitled thereto pursuant to the Operative Documents.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on any date, after an Event of Default has occurred and is continuing, a payment is made of the proceeds from the sale of the Collateral or any part thereof or payments received and amounts realized by the Administrative Agent under the Operative Documents, then distributions of such amounts shall be made by the Administrative Agent in the following order of priority:</w:t>
      </w:r>
    </w:p>
    <w:p>
      <w:pPr>
        <w:spacing w:after="0" w:line="181"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to the extent not previously deducted therefrom, in an amount not to exceed the reasonable sales costs, expenses and taxes incurred by</w:t>
      </w:r>
      <w:r>
        <w:rPr>
          <w:rFonts w:ascii="Arial" w:cs="Arial" w:eastAsia="Arial" w:hAnsi="Arial"/>
          <w:sz w:val="18"/>
          <w:szCs w:val="18"/>
          <w:i w:val="1"/>
          <w:iCs w:val="1"/>
          <w:color w:val="auto"/>
        </w:rPr>
        <w:t xml:space="preserve"> </w:t>
      </w:r>
      <w:r>
        <w:rPr>
          <w:rFonts w:ascii="Arial" w:cs="Arial" w:eastAsia="Arial" w:hAnsi="Arial"/>
          <w:sz w:val="18"/>
          <w:szCs w:val="18"/>
          <w:color w:val="auto"/>
        </w:rPr>
        <w:t>Lessor, Lessee or Administrative Agent in connection with any sale of the Leased Property,</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on a pro rata basis based on their respective shares of the Participant Balance, to the Participants for application to pay in full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Balance owing to them;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balance, if any, of such payment or amounts shall be promptly distributed to, or as directed by, the Lessee.</w:t>
      </w:r>
    </w:p>
    <w:p>
      <w:pPr>
        <w:spacing w:after="0" w:line="225" w:lineRule="exact"/>
        <w:rPr>
          <w:sz w:val="20"/>
          <w:szCs w:val="20"/>
          <w:color w:val="auto"/>
        </w:rPr>
      </w:pPr>
    </w:p>
    <w:p>
      <w:pPr>
        <w:ind w:right="20" w:firstLine="656"/>
        <w:spacing w:after="0" w:line="277" w:lineRule="auto"/>
        <w:tabs>
          <w:tab w:leader="none" w:pos="9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Any payment received by the Administrative Agent for which no provision as to the application thereof is made in the Operative Documents or elsewhere in this Section 5.3 shall be distributed in accordance with Section 5.3(f).</w:t>
      </w:r>
    </w:p>
    <w:p>
      <w:pPr>
        <w:spacing w:after="0" w:line="170" w:lineRule="exact"/>
        <w:rPr>
          <w:sz w:val="20"/>
          <w:szCs w:val="20"/>
          <w:color w:val="auto"/>
        </w:rPr>
      </w:pPr>
    </w:p>
    <w:p>
      <w:pPr>
        <w:jc w:val="both"/>
        <w:ind w:left="660" w:hanging="4"/>
        <w:spacing w:after="0" w:line="259" w:lineRule="auto"/>
        <w:tabs>
          <w:tab w:leader="none" w:pos="9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otherwise provided in Section 5.3(a), all payments received and amounts realized by the Administrative Agent under the Operative Documents or otherwise with respect to the Leased Property, or any proceeds thereof, to the extent received or realized at any time after an indefeasible payment in full of the Participant Balances of all Participants and all other amounts due and owing to the Participants, shall be distributed forthwith by the Administrative Agent in the order of priority set forth 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Section 5.3(f), except that such payment shall be distributed omitting clause “first” of such Section 5.3(f).</w:t>
      </w:r>
    </w:p>
    <w:p>
      <w:pPr>
        <w:spacing w:after="0" w:line="225" w:lineRule="exact"/>
        <w:rPr>
          <w:sz w:val="20"/>
          <w:szCs w:val="20"/>
          <w:color w:val="auto"/>
        </w:rPr>
      </w:pPr>
    </w:p>
    <w:p>
      <w:pPr>
        <w:jc w:val="both"/>
        <w:ind w:left="660" w:firstLine="645"/>
        <w:spacing w:after="0" w:line="264" w:lineRule="auto"/>
        <w:tabs>
          <w:tab w:leader="none" w:pos="166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payment received by the Administrative Agent for which provision as to the application thereof is made in an Operative Document, but not elsewhere in this Section 5.3, shall be distributed forthwith by the Administrative Agent to the Person and for the purpose for which such payment was made in accordance with the terms of such Operative Document.</w:t>
      </w:r>
    </w:p>
    <w:p>
      <w:pPr>
        <w:spacing w:after="0" w:line="181" w:lineRule="exact"/>
        <w:rPr>
          <w:rFonts w:ascii="Arial" w:cs="Arial" w:eastAsia="Arial" w:hAnsi="Arial"/>
          <w:sz w:val="18"/>
          <w:szCs w:val="18"/>
          <w:color w:val="auto"/>
        </w:rPr>
      </w:pPr>
    </w:p>
    <w:p>
      <w:pPr>
        <w:jc w:val="both"/>
        <w:ind w:firstLine="656"/>
        <w:spacing w:after="0" w:line="276" w:lineRule="auto"/>
        <w:tabs>
          <w:tab w:leader="none" w:pos="907"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Except to the extent clause (g) is applicable thereto, any amounts payable to the Administrative Agent as a result of a Casualty or Condemnation pursuant to the Lease shall be distributed as follows: (x) if a Termination Notice shall have been given, all amounts that are to be applied to the purchase price of the Leased Property in accordance with Section 15.1(b) of the Lease shall be distributed by the Administrative Agent in accordance with Section 5.3(b); and (y) all amounts payable to the Lessee for the repair of damage caused by such Casualty or Condemnation in accordance with Section 14.1(a) of the Lease shall, except as otherwise provided in the Lease, be distributed to, or as directed by, the Lessee.</w:t>
      </w:r>
    </w:p>
    <w:p>
      <w:pPr>
        <w:spacing w:after="0" w:line="172" w:lineRule="exact"/>
        <w:rPr>
          <w:rFonts w:ascii="Arial" w:cs="Arial" w:eastAsia="Arial" w:hAnsi="Arial"/>
          <w:sz w:val="17"/>
          <w:szCs w:val="17"/>
          <w:color w:val="auto"/>
        </w:rPr>
      </w:pPr>
    </w:p>
    <w:p>
      <w:pPr>
        <w:jc w:val="both"/>
        <w:ind w:firstLine="656"/>
        <w:spacing w:after="0" w:line="286" w:lineRule="auto"/>
        <w:tabs>
          <w:tab w:leader="none" w:pos="8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the extent any payment made to any Participant, personally, is insufficient to pay in full the Participant Balance of such Participant, then each such payment which is payable to a Lender shall first be applied to accrued Interest and then to principal outstanding on the Loans and each such payment which is payable to Lessor shall first be applied to accrued Yield and then to the Lessor Amount, as applicable.</w:t>
      </w:r>
    </w:p>
    <w:p>
      <w:pPr>
        <w:spacing w:after="0" w:line="16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Section 5.4. Adjustments</w:t>
      </w:r>
      <w:r>
        <w:rPr>
          <w:rFonts w:ascii="Arial" w:cs="Arial" w:eastAsia="Arial" w:hAnsi="Arial"/>
          <w:sz w:val="16"/>
          <w:szCs w:val="16"/>
          <w:color w:val="auto"/>
        </w:rPr>
        <w:t>. If any Participant (a “</w:t>
      </w:r>
      <w:r>
        <w:rPr>
          <w:rFonts w:ascii="Arial" w:cs="Arial" w:eastAsia="Arial" w:hAnsi="Arial"/>
          <w:sz w:val="16"/>
          <w:szCs w:val="16"/>
          <w:i w:val="1"/>
          <w:iCs w:val="1"/>
          <w:color w:val="auto"/>
        </w:rPr>
        <w:t>Benefited Participant</w:t>
      </w:r>
      <w:r>
        <w:rPr>
          <w:rFonts w:ascii="Arial" w:cs="Arial" w:eastAsia="Arial" w:hAnsi="Arial"/>
          <w:sz w:val="16"/>
          <w:szCs w:val="16"/>
          <w:color w:val="auto"/>
        </w:rPr>
        <w:t>”) shall at any time receive any payment of all or part of its Loans or Lessor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as applicable, or Interest or Yield thereon, as applicable, or receive any of the Collateral in respect thereof (whether voluntarily or involuntarily, by setoff, or otherwise), in an amount greater than the amount to which such Participant was entitled pursuant to Section 5.3, such Participant shall return such amount or Collateral to the Administrative Agent for distribution to the Person(s) entitled thereto in accordance with Section 5.3;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all or any portion of such excess payment or benefits is thereafter recovered from such Benefited Participant so that the excess payment or benefits returned by such Benefited Participant exceed the remaining excess payment or benefits held by such Benefited Participant, the excess payment or benefits, as applicable, returned by such Benefited Participant shall be restored to the Benefited Participant, to the extent of such recovery.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ONDITIONS</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RECEDENT</w:t>
      </w:r>
    </w:p>
    <w:p>
      <w:pPr>
        <w:spacing w:after="0" w:line="19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6.1. Conditions Precedent to the Original Closing Date and the Advance</w:t>
      </w:r>
      <w:r>
        <w:rPr>
          <w:rFonts w:ascii="Arial" w:cs="Arial" w:eastAsia="Arial" w:hAnsi="Arial"/>
          <w:sz w:val="18"/>
          <w:szCs w:val="18"/>
          <w:color w:val="auto"/>
        </w:rPr>
        <w:t>. The obligations of the Lessor (through the Administrative Agent)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the Advance on the Original Closing Date and the obligation of the Lenders to make the related Funding of their Loans on the Original Closing Date and the initial effectiveness of the Operative Documents were subject to the satisfaction or waiver on or prior to the Original Closing Date of each of the following conditions precedent (capitalized terms used in the following provisions of this Section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6.1 shall have the meanings assigned to such terms as set forth in the Original Participation Agreement, and references in this Section 6.1 to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Participation Agreement,” “herein,” “hereof” or words of like import shall mean and be a reference to the Original Participation Agreement):</w:t>
      </w:r>
    </w:p>
    <w:p>
      <w:pPr>
        <w:spacing w:after="0" w:line="211" w:lineRule="exact"/>
        <w:rPr>
          <w:sz w:val="20"/>
          <w:szCs w:val="20"/>
          <w:color w:val="auto"/>
        </w:rPr>
      </w:pPr>
    </w:p>
    <w:p>
      <w:pPr>
        <w:jc w:val="both"/>
        <w:ind w:left="660" w:firstLine="645"/>
        <w:spacing w:after="0" w:line="285" w:lineRule="auto"/>
        <w:tabs>
          <w:tab w:leader="none" w:pos="1537"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Corporate Certificates. </w:t>
      </w:r>
      <w:r>
        <w:rPr>
          <w:rFonts w:ascii="Arial" w:cs="Arial" w:eastAsia="Arial" w:hAnsi="Arial"/>
          <w:sz w:val="16"/>
          <w:szCs w:val="16"/>
          <w:color w:val="auto"/>
        </w:rPr>
        <w:t>(A) The Lessee shall have delivered to the Lessor and the Administrative Agent (1) a status certificate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Lessee’s existence in the State of New York from the Secretary of State of the State of New York, issued by such office no earlier than thirty (30) days prior to the Original Closing Date and (2) a Responsible Officer’s Certificate of Lessee substantially in the form of Exhibit F-1 to the Original Participation Agreement, attaching and certifying as to (x) the limited liability company authority for the execution, delivery and performance by Lessee of each Operative Document to which it is or will be a party, (y) its organizational documents, and (z) the incumbency and signature of persons authorized to execute and deliver on its behalf the Operative Documents to which it is a party, (B) the Parent Guarantor shall have delivered to the Lessor and the Administrative Agent (1) a status certificate with respect to the Parent Guarantor’s existence in the State of New York from the Secretary of State of the State of New York, issued by such office no earlier than thirty (30) days prior to the Original Closing Date and (2) a Responsible Officer’s Certificate of Parent Guarantor substantially in the form of Exhibit F-2 to the Original Participation Agreement, attaching and certifying as to (x) the corporate authority for the execution, delivery and performance by Parent Guarantor of each Operative Document to which it is or will be a party, (y) its organizational documents, and (z) the incumbency and signature of persons authorized to execute and deliver on its behalf the Operative Documents to which it is a party and (C) each Subsidiary Guarantor shall have delivered to the Lessor and the Administrative Agent (1) a good standing/status certificate with respect to such Subsidiary Guarantor from the Secretary of State (or similar public official) of such Subsidiary Guarantor’s jurisdiction of organization, issued by such office no earlier than thirty (30) days prior to the Original Closing Date and (2) a Responsible Officer’s Certificate of such Subsidiary Guarantor substantially in the form of Exhibit F-3 to the Original Participation Agreement, attaching and certifying as to (x) the corporate or other organizational authority for the execution, delivery and performance by such Subsidiary Guarantor of each Operative Document to which it is or will be a party, (y) its organizational documents and (z) the incumbency and signature of persons authorized to execute and deliver on its behalf the Operative Documents to which it is a party.</w:t>
      </w:r>
    </w:p>
    <w:p>
      <w:pPr>
        <w:spacing w:after="0" w:line="172" w:lineRule="exact"/>
        <w:rPr>
          <w:rFonts w:ascii="Arial" w:cs="Arial" w:eastAsia="Arial" w:hAnsi="Arial"/>
          <w:sz w:val="16"/>
          <w:szCs w:val="16"/>
          <w:color w:val="auto"/>
        </w:rPr>
      </w:pPr>
    </w:p>
    <w:p>
      <w:pPr>
        <w:jc w:val="both"/>
        <w:ind w:left="660" w:firstLine="645"/>
        <w:spacing w:after="0" w:line="259" w:lineRule="auto"/>
        <w:tabs>
          <w:tab w:leader="none" w:pos="1573"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Opinions of Special Counsel to Parent Guarantor</w:t>
      </w:r>
      <w:r>
        <w:rPr>
          <w:rFonts w:ascii="Arial" w:cs="Arial" w:eastAsia="Arial" w:hAnsi="Arial"/>
          <w:sz w:val="18"/>
          <w:szCs w:val="18"/>
          <w:color w:val="auto"/>
        </w:rPr>
        <w:t>. The Lessee shall have delivered to the Lessor and the Administrative Agent a legal</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of Skadden, Arps, Slate, Meagher &amp; Flom LLP, special counsel to Parent Guarantor, which shall address such matters as may be reasonably required by the Lessor and the Administrative Agent with respect to the Lessee and the Guarantors, including without limitation, such local real estate matters as may be reasonably required by the Lessor and the Administrative Agent.</w:t>
      </w:r>
    </w:p>
    <w:p>
      <w:pPr>
        <w:spacing w:after="0" w:line="186" w:lineRule="exact"/>
        <w:rPr>
          <w:rFonts w:ascii="Arial" w:cs="Arial" w:eastAsia="Arial" w:hAnsi="Arial"/>
          <w:sz w:val="18"/>
          <w:szCs w:val="18"/>
          <w:color w:val="auto"/>
        </w:rPr>
      </w:pPr>
    </w:p>
    <w:p>
      <w:pPr>
        <w:ind w:left="660" w:firstLine="645"/>
        <w:spacing w:after="0" w:line="277" w:lineRule="auto"/>
        <w:tabs>
          <w:tab w:leader="none" w:pos="1623"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Original Closing Date Certificates. </w:t>
      </w:r>
      <w:r>
        <w:rPr>
          <w:rFonts w:ascii="Arial" w:cs="Arial" w:eastAsia="Arial" w:hAnsi="Arial"/>
          <w:sz w:val="18"/>
          <w:szCs w:val="18"/>
          <w:color w:val="auto"/>
        </w:rPr>
        <w:t>Lessee shall have delivered to the Administrative Agent and the Lessor a certificate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Closing Date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the form of Exhibit B to the Original Participation Agreement. Parent Guarantor shall have delivered to the Administrative Agent and the Lessor a certificate dated as of the Original Closing Date in the form of Exhibit C to the Original Participation Agreement.</w:t>
      </w:r>
    </w:p>
    <w:p>
      <w:pPr>
        <w:spacing w:after="0" w:line="170" w:lineRule="exact"/>
        <w:rPr>
          <w:sz w:val="20"/>
          <w:szCs w:val="20"/>
          <w:color w:val="auto"/>
        </w:rPr>
      </w:pPr>
    </w:p>
    <w:p>
      <w:pPr>
        <w:jc w:val="both"/>
        <w:ind w:firstLine="645"/>
        <w:spacing w:after="0" w:line="297" w:lineRule="auto"/>
        <w:tabs>
          <w:tab w:leader="none" w:pos="953"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All taxes (including any mortgage taxes), fees and other charges in connection with the execution, delivery, recording, filing and</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of the Operative Documents, if any, that are required to be paid by the Lessee or any Guarantor as of the Original Closing Date pursuant to any of the Operative Documents (including Transaction Expenses described in clause (f) or (g) of the definition thereof that are due and payable as of the Original Closing Date) shall have been paid by the Lessee or the Parent Guarantor or from the Advance, or provisions for such payment shall have been made by the Lessee or Parent Guarantor to the reasonable satisfaction of the Lessor and the Administrative Agent.</w:t>
      </w:r>
    </w:p>
    <w:p>
      <w:pPr>
        <w:spacing w:after="0" w:line="158" w:lineRule="exact"/>
        <w:rPr>
          <w:rFonts w:ascii="Arial" w:cs="Arial" w:eastAsia="Arial" w:hAnsi="Arial"/>
          <w:sz w:val="16"/>
          <w:szCs w:val="16"/>
          <w:color w:val="auto"/>
        </w:rPr>
      </w:pPr>
    </w:p>
    <w:p>
      <w:pPr>
        <w:jc w:val="both"/>
        <w:ind w:firstLine="645"/>
        <w:spacing w:after="0" w:line="264" w:lineRule="auto"/>
        <w:tabs>
          <w:tab w:leader="none" w:pos="917"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Leased Property and Appraisal Matters</w:t>
      </w:r>
      <w:r>
        <w:rPr>
          <w:rFonts w:ascii="Arial" w:cs="Arial" w:eastAsia="Arial" w:hAnsi="Arial"/>
          <w:sz w:val="18"/>
          <w:szCs w:val="18"/>
          <w:color w:val="auto"/>
        </w:rPr>
        <w:t>. The Lessor and the Administrative Agent shall have received an appraisal (the “</w:t>
      </w:r>
      <w:r>
        <w:rPr>
          <w:rFonts w:ascii="Arial" w:cs="Arial" w:eastAsia="Arial" w:hAnsi="Arial"/>
          <w:sz w:val="18"/>
          <w:szCs w:val="18"/>
          <w:i w:val="1"/>
          <w:iCs w:val="1"/>
          <w:color w:val="auto"/>
        </w:rPr>
        <w:t>Appraisal</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by the Appraiser, which Appraisal shall be in form and substance reasonably satisfactory to the Participants. The Appraisal shall meet the requirements of FIRREA.</w:t>
      </w:r>
    </w:p>
    <w:p>
      <w:pPr>
        <w:spacing w:after="0" w:line="181" w:lineRule="exact"/>
        <w:rPr>
          <w:rFonts w:ascii="Arial" w:cs="Arial" w:eastAsia="Arial" w:hAnsi="Arial"/>
          <w:sz w:val="18"/>
          <w:szCs w:val="18"/>
          <w:color w:val="auto"/>
        </w:rPr>
      </w:pPr>
    </w:p>
    <w:p>
      <w:pPr>
        <w:jc w:val="both"/>
        <w:ind w:firstLine="645"/>
        <w:spacing w:after="0" w:line="312" w:lineRule="auto"/>
        <w:tabs>
          <w:tab w:leader="none" w:pos="953"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Environmental Report</w:t>
      </w:r>
      <w:r>
        <w:rPr>
          <w:rFonts w:ascii="Arial" w:cs="Arial" w:eastAsia="Arial" w:hAnsi="Arial"/>
          <w:sz w:val="16"/>
          <w:szCs w:val="16"/>
          <w:color w:val="auto"/>
        </w:rPr>
        <w:t>. At least five (5) Business Days prior to the Original Closing Date, an Environmental Audit with respect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Site shall have been received by and be reasonably satisfactory in all material respects to the Lessor, and the Participants and the Administrative Agent shall have received a letter from the consultant performing the Environmental Audit which allows the Lessor to rely on such report.</w:t>
      </w:r>
    </w:p>
    <w:p>
      <w:pPr>
        <w:spacing w:after="0" w:line="146" w:lineRule="exact"/>
        <w:rPr>
          <w:rFonts w:ascii="Arial" w:cs="Arial" w:eastAsia="Arial" w:hAnsi="Arial"/>
          <w:sz w:val="16"/>
          <w:szCs w:val="16"/>
          <w:color w:val="auto"/>
        </w:rPr>
      </w:pPr>
    </w:p>
    <w:p>
      <w:pPr>
        <w:ind w:left="1000" w:hanging="355"/>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Matters relating to the Site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80" w:hanging="287"/>
        <w:spacing w:after="0"/>
        <w:tabs>
          <w:tab w:leader="none" w:pos="15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Deed shall be reasonably satisfactory to Lessor and have been transferred by the Sellers to the Lessor;</w:t>
      </w:r>
    </w:p>
    <w:p>
      <w:pPr>
        <w:spacing w:after="0" w:line="225" w:lineRule="exact"/>
        <w:rPr>
          <w:rFonts w:ascii="Arial" w:cs="Arial" w:eastAsia="Arial" w:hAnsi="Arial"/>
          <w:sz w:val="18"/>
          <w:szCs w:val="18"/>
          <w:color w:val="auto"/>
        </w:rPr>
      </w:pPr>
    </w:p>
    <w:p>
      <w:pPr>
        <w:jc w:val="both"/>
        <w:ind w:left="640" w:firstLine="653"/>
        <w:spacing w:after="0" w:line="259" w:lineRule="auto"/>
        <w:tabs>
          <w:tab w:leader="none" w:pos="15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Lessor and Administrative Agent shall have received evidence reasonably satisfactory to it that the Memorandum of Lease shall have been recorded with the appropriate Governmental Authorities, and the UCC Financing Statements shall have been or are being filed with the appropriate Governmental Authorities (or arrangements reasonably satisfactory to Lessor and Administrative Agent shall have been made for such recordations);</w:t>
      </w:r>
    </w:p>
    <w:p>
      <w:pPr>
        <w:spacing w:after="0" w:line="186" w:lineRule="exact"/>
        <w:rPr>
          <w:rFonts w:ascii="Arial" w:cs="Arial" w:eastAsia="Arial" w:hAnsi="Arial"/>
          <w:sz w:val="18"/>
          <w:szCs w:val="18"/>
          <w:color w:val="auto"/>
        </w:rPr>
      </w:pPr>
    </w:p>
    <w:p>
      <w:pPr>
        <w:jc w:val="both"/>
        <w:ind w:left="640" w:firstLine="653"/>
        <w:spacing w:after="0" w:line="255" w:lineRule="auto"/>
        <w:tabs>
          <w:tab w:leader="none" w:pos="1576"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Lessor and Administrative Agent shall have received evidence reasonably satisfactory to it that the Assignment of Leases shall have been recorded with the appropriate Governmental Authorities (and the issuance of the title insurance policies in Section 6.1(x) below shall be satisfactory evidence of the foregoing), and the UCC Financing Statements with respect to such Site shall have been filed with the appropriate Governmental Authorities (or arrangements reasonably satisfactory to Lessor and Administrative Agent shall have been made for such recordations);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related conditions in this clause (C) shall be deemed to have been satisfied to the extent that such items are addressed (to</w:t>
      </w: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152400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9" w:right="239" w:bottom="1440" w:gutter="0" w:footer="0" w:header="0"/>
        </w:sectPr>
      </w:pPr>
    </w:p>
    <w:bookmarkStart w:id="25" w:name="page26"/>
    <w:bookmarkEnd w:id="25"/>
    <w:p>
      <w:pPr>
        <w:ind w:left="644"/>
        <w:spacing w:after="0"/>
        <w:rPr>
          <w:sz w:val="20"/>
          <w:szCs w:val="20"/>
          <w:color w:val="auto"/>
        </w:rPr>
      </w:pPr>
      <w:r>
        <w:rPr>
          <w:rFonts w:ascii="Arial" w:cs="Arial" w:eastAsia="Arial" w:hAnsi="Arial"/>
          <w:sz w:val="17"/>
          <w:szCs w:val="17"/>
          <w:color w:val="auto"/>
        </w:rPr>
        <w:t>the reasonable satisfaction of the Lessor and Administrative Agent) in the Title Policies delivered pursuant to Section 6.1(x) below; and</w:t>
      </w:r>
    </w:p>
    <w:p>
      <w:pPr>
        <w:spacing w:after="0" w:line="237" w:lineRule="exact"/>
        <w:rPr>
          <w:sz w:val="20"/>
          <w:szCs w:val="20"/>
          <w:color w:val="auto"/>
        </w:rPr>
      </w:pPr>
    </w:p>
    <w:p>
      <w:pPr>
        <w:jc w:val="both"/>
        <w:ind w:left="644" w:firstLine="653"/>
        <w:spacing w:after="0" w:line="264" w:lineRule="auto"/>
        <w:tabs>
          <w:tab w:leader="none" w:pos="1603" w:val="left"/>
        </w:tabs>
        <w:numPr>
          <w:ilvl w:val="2"/>
          <w:numId w:val="20"/>
        </w:numPr>
        <w:rPr>
          <w:rFonts w:ascii="Arial" w:cs="Arial" w:eastAsia="Arial" w:hAnsi="Arial"/>
          <w:sz w:val="18"/>
          <w:szCs w:val="18"/>
          <w:color w:val="auto"/>
        </w:rPr>
      </w:pPr>
      <w:r>
        <w:rPr>
          <w:rFonts w:ascii="Arial" w:cs="Arial" w:eastAsia="Arial" w:hAnsi="Arial"/>
          <w:sz w:val="18"/>
          <w:szCs w:val="18"/>
          <w:color w:val="auto"/>
        </w:rPr>
        <w:t>Lessor shall have received evidence reasonably satisfactory to it that the Site is a separate and distinct tax parcel or parcels (other than with respect to the Home Depot Ground Lease). All real estate Taxes imposed on, or with respect to the Site, have been paid to date, to the extent then due and payable.</w:t>
      </w:r>
    </w:p>
    <w:p>
      <w:pPr>
        <w:spacing w:after="0" w:line="181" w:lineRule="exact"/>
        <w:rPr>
          <w:rFonts w:ascii="Arial" w:cs="Arial" w:eastAsia="Arial" w:hAnsi="Arial"/>
          <w:sz w:val="18"/>
          <w:szCs w:val="18"/>
          <w:color w:val="auto"/>
        </w:rPr>
      </w:pPr>
    </w:p>
    <w:p>
      <w:pPr>
        <w:jc w:val="both"/>
        <w:ind w:left="4" w:firstLine="645"/>
        <w:spacing w:after="0" w:line="273" w:lineRule="auto"/>
        <w:tabs>
          <w:tab w:leader="none" w:pos="1070"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Searches</w:t>
      </w:r>
      <w:r>
        <w:rPr>
          <w:rFonts w:ascii="Arial" w:cs="Arial" w:eastAsia="Arial" w:hAnsi="Arial"/>
          <w:sz w:val="17"/>
          <w:szCs w:val="17"/>
          <w:color w:val="auto"/>
        </w:rPr>
        <w:t>. Lessor and Administrative Agent shall have received (A) as to Lessee, results of a search of the applicable UCC files</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maintained by the office of the secretary of state of the state in which Lessee is organized, dated not earlier than thirty (30) Business Days prior to the Original Closing Date, which results shall disclose no Liens on the assets of the Lessee other than Liens permitted by Section 9(b) of the Guaranty, and (B) as to the Site, results of a search of the applicable UCC files and any indices of Liens maintained by the appropriate county filing or recording office of the county in which such Site is located, dated not earlier than thirty (30) Business Days prior to the Original Closing Date, which results shall disclose no Liens on the Site other than Permitted Liens.</w:t>
      </w:r>
    </w:p>
    <w:p>
      <w:pPr>
        <w:spacing w:after="0" w:line="178" w:lineRule="exact"/>
        <w:rPr>
          <w:rFonts w:ascii="Arial" w:cs="Arial" w:eastAsia="Arial" w:hAnsi="Arial"/>
          <w:sz w:val="17"/>
          <w:szCs w:val="17"/>
          <w:color w:val="auto"/>
        </w:rPr>
      </w:pPr>
    </w:p>
    <w:p>
      <w:pPr>
        <w:jc w:val="both"/>
        <w:ind w:left="4" w:firstLine="645"/>
        <w:spacing w:after="0" w:line="284" w:lineRule="auto"/>
        <w:tabs>
          <w:tab w:leader="none" w:pos="997"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Survey</w:t>
      </w:r>
      <w:r>
        <w:rPr>
          <w:rFonts w:ascii="Arial" w:cs="Arial" w:eastAsia="Arial" w:hAnsi="Arial"/>
          <w:sz w:val="16"/>
          <w:szCs w:val="16"/>
          <w:color w:val="auto"/>
        </w:rPr>
        <w:t>. Lessee shall have, or shall have caused to be, delivered and certified to Lessor, the Title Insurance Company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an ALTA survey of the Site (A) dated a date reasonably satisfactory to the Lessor, (B) in a form reasonably satisfactory to Lessor and the Title Insurance Company, (C) including any applicable flood zone designation with property annotations based on Federal Flood Insurance Rate Maps, (D) enabling the Title Insurance Company to delete any standard printing survey exception contained in the applicable Title Policy and to issue the Title Policies, (E) in accordance with the Minimum Standard Detail Requirements for Land Title Surveys jointly established and adopted by ALTA and the National Society of Professional Surveyors effective February 23, 2016, (F) showing the location of all improvements thereon (without limiting the generality of the foregoing, there shall be surveyed and shown or stated on such survey, as applicable, the following:</w:t>
      </w:r>
    </w:p>
    <w:p>
      <w:pPr>
        <w:spacing w:after="0" w:line="2" w:lineRule="exact"/>
        <w:rPr>
          <w:rFonts w:ascii="Arial" w:cs="Arial" w:eastAsia="Arial" w:hAnsi="Arial"/>
          <w:sz w:val="16"/>
          <w:szCs w:val="16"/>
          <w:color w:val="auto"/>
        </w:rPr>
      </w:pPr>
    </w:p>
    <w:p>
      <w:pPr>
        <w:jc w:val="both"/>
        <w:ind w:left="4" w:hanging="4"/>
        <w:spacing w:after="0" w:line="281" w:lineRule="auto"/>
        <w:tabs>
          <w:tab w:leader="none" w:pos="27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locations of any established building setback lines; (w) the lines of streets abutting the Site and the width thereof; (x) all access and other easements appurtenant to the Site necessary to use the Site; (y) all roadways, paths, driveways, easements, encroachments, overhanging projections and similar encumbrances affecting the Site, whether recorded, apparent from a physical inspection of the Site or otherwise known to the surveyor;</w:t>
      </w:r>
    </w:p>
    <w:p>
      <w:pPr>
        <w:spacing w:after="0" w:line="2" w:lineRule="exact"/>
        <w:rPr>
          <w:rFonts w:ascii="Arial" w:cs="Arial" w:eastAsia="Arial" w:hAnsi="Arial"/>
          <w:sz w:val="16"/>
          <w:szCs w:val="16"/>
          <w:color w:val="auto"/>
        </w:rPr>
      </w:pPr>
    </w:p>
    <w:p>
      <w:pPr>
        <w:ind w:left="244" w:hanging="244"/>
        <w:spacing w:after="0"/>
        <w:tabs>
          <w:tab w:leader="none" w:pos="24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encroachments on any adjoining property); (G) if the Site is described as being on a filed map, a legend relating the survey to said map and</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(H) a vicinity sketch showing the closest thoroughfare intersection.</w:t>
      </w:r>
    </w:p>
    <w:p>
      <w:pPr>
        <w:spacing w:after="0" w:line="210" w:lineRule="exact"/>
        <w:rPr>
          <w:rFonts w:ascii="Arial" w:cs="Arial" w:eastAsia="Arial" w:hAnsi="Arial"/>
          <w:sz w:val="16"/>
          <w:szCs w:val="16"/>
          <w:color w:val="auto"/>
        </w:rPr>
      </w:pPr>
    </w:p>
    <w:p>
      <w:pPr>
        <w:jc w:val="both"/>
        <w:ind w:left="4" w:right="20" w:firstLine="645"/>
        <w:spacing w:after="0" w:line="259" w:lineRule="auto"/>
        <w:tabs>
          <w:tab w:leader="none" w:pos="907"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Title and Title Insurance</w:t>
      </w:r>
      <w:r>
        <w:rPr>
          <w:rFonts w:ascii="Arial" w:cs="Arial" w:eastAsia="Arial" w:hAnsi="Arial"/>
          <w:sz w:val="18"/>
          <w:szCs w:val="18"/>
          <w:color w:val="auto"/>
        </w:rPr>
        <w:t>. Lessor and the Administrative Agent shall have received from the Title Insurance Company (i) an ALTA 2006</w:t>
      </w:r>
      <w:r>
        <w:rPr>
          <w:rFonts w:ascii="Arial" w:cs="Arial" w:eastAsia="Arial" w:hAnsi="Arial"/>
          <w:sz w:val="18"/>
          <w:szCs w:val="18"/>
          <w:i w:val="1"/>
          <w:iCs w:val="1"/>
          <w:color w:val="auto"/>
        </w:rPr>
        <w:t xml:space="preserve"> </w:t>
      </w:r>
      <w:r>
        <w:rPr>
          <w:rFonts w:ascii="Arial" w:cs="Arial" w:eastAsia="Arial" w:hAnsi="Arial"/>
          <w:sz w:val="18"/>
          <w:szCs w:val="18"/>
          <w:color w:val="auto"/>
        </w:rPr>
        <w:t>owner’s policy of title insurance (or an irrevocable commitment for the issuance thereof) with respect to the Leased Property (the “</w:t>
      </w:r>
      <w:r>
        <w:rPr>
          <w:rFonts w:ascii="Arial" w:cs="Arial" w:eastAsia="Arial" w:hAnsi="Arial"/>
          <w:sz w:val="18"/>
          <w:szCs w:val="18"/>
          <w:i w:val="1"/>
          <w:iCs w:val="1"/>
          <w:color w:val="auto"/>
        </w:rPr>
        <w:t>Owner’s Policy</w:t>
      </w:r>
      <w:r>
        <w:rPr>
          <w:rFonts w:ascii="Arial" w:cs="Arial" w:eastAsia="Arial" w:hAnsi="Arial"/>
          <w:sz w:val="18"/>
          <w:szCs w:val="18"/>
          <w:color w:val="auto"/>
        </w:rPr>
        <w:t>”), reasonably acceptable in form and substance to Lessor, insuring that Lessor has a good and marketable fee ownership interest in the Leased Property, subject in each case to such exceptions to title as are permitted under</w:t>
      </w:r>
    </w:p>
    <w:p>
      <w:pPr>
        <w:spacing w:after="0" w:line="16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152400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9" w:right="239" w:bottom="1440" w:gutter="0" w:footer="0" w:header="0"/>
        </w:sectPr>
      </w:pPr>
    </w:p>
    <w:bookmarkStart w:id="26" w:name="page27"/>
    <w:bookmarkEnd w:id="26"/>
    <w:p>
      <w:pPr>
        <w:jc w:val="both"/>
        <w:spacing w:after="0" w:line="270" w:lineRule="auto"/>
        <w:rPr>
          <w:sz w:val="20"/>
          <w:szCs w:val="20"/>
          <w:color w:val="auto"/>
        </w:rPr>
      </w:pPr>
      <w:r>
        <w:rPr>
          <w:rFonts w:ascii="Arial" w:cs="Arial" w:eastAsia="Arial" w:hAnsi="Arial"/>
          <w:sz w:val="17"/>
          <w:szCs w:val="17"/>
          <w:color w:val="auto"/>
        </w:rPr>
        <w:t>any of the Operative Documents, in an amount equal to the Aggregate Commitment Amount together with complete, legible copies of all recorded documents referenced as exceptions therein and (ii) an ALTA 2006 lender’s policy of title insurance (or an irrevocable commitment for the issuance thereof) with respect to the Site and the Facility (the “</w:t>
      </w:r>
      <w:r>
        <w:rPr>
          <w:rFonts w:ascii="Arial" w:cs="Arial" w:eastAsia="Arial" w:hAnsi="Arial"/>
          <w:sz w:val="17"/>
          <w:szCs w:val="17"/>
          <w:i w:val="1"/>
          <w:iCs w:val="1"/>
          <w:color w:val="auto"/>
        </w:rPr>
        <w:t>Administrative Agent’s Policy</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together with the Owner’s Policy, the “</w:t>
      </w:r>
      <w:r>
        <w:rPr>
          <w:rFonts w:ascii="Arial" w:cs="Arial" w:eastAsia="Arial" w:hAnsi="Arial"/>
          <w:sz w:val="17"/>
          <w:szCs w:val="17"/>
          <w:i w:val="1"/>
          <w:iCs w:val="1"/>
          <w:color w:val="auto"/>
        </w:rPr>
        <w:t>Title Policies</w:t>
      </w:r>
      <w:r>
        <w:rPr>
          <w:rFonts w:ascii="Arial" w:cs="Arial" w:eastAsia="Arial" w:hAnsi="Arial"/>
          <w:sz w:val="17"/>
          <w:szCs w:val="17"/>
          <w:color w:val="auto"/>
        </w:rPr>
        <w:t xml:space="preserve">”), reasonably acceptable in form and substance to Participants, insuring the Lien created by the Assignment of Leases as a valid first priority Lien against the Leased Property, subject in each case to such exceptions to title as are permitted under any of the Operative Documents, in an amount equal to the Aggregate Commitment Amount together with complete, legible copies of all recorded documents referenced as exceptions therein. The Title Policies shall be dated as of the Original Closing Date and, to the extent permitted under Applicable Laws, shall, as applicable: </w:t>
      </w:r>
      <w:r>
        <w:rPr>
          <w:rFonts w:ascii="Arial" w:cs="Arial" w:eastAsia="Arial" w:hAnsi="Arial"/>
          <w:sz w:val="17"/>
          <w:szCs w:val="17"/>
          <w:b w:val="1"/>
          <w:bCs w:val="1"/>
          <w:color w:val="auto"/>
        </w:rPr>
        <w:t>(</w:t>
      </w:r>
      <w:r>
        <w:rPr>
          <w:rFonts w:ascii="Arial" w:cs="Arial" w:eastAsia="Arial" w:hAnsi="Arial"/>
          <w:sz w:val="17"/>
          <w:szCs w:val="17"/>
          <w:color w:val="auto"/>
        </w:rPr>
        <w:t>v) contain affirmative endorsements as to mechanics’ liens, zoning, comprehensive coverage, encroachments, the nonviolation of covenants and restrictions, rights of access and survey matters, (x) delete survey exclusions, (y) contain endorsements regarding the effect of recharacterization, and (z) contain such other endorsements reasonably requested by the Participants.</w:t>
      </w:r>
    </w:p>
    <w:p>
      <w:pPr>
        <w:spacing w:after="0" w:line="178" w:lineRule="exact"/>
        <w:rPr>
          <w:sz w:val="20"/>
          <w:szCs w:val="20"/>
          <w:color w:val="auto"/>
        </w:rPr>
      </w:pPr>
    </w:p>
    <w:p>
      <w:pPr>
        <w:jc w:val="both"/>
        <w:ind w:firstLine="645"/>
        <w:spacing w:after="0" w:line="257" w:lineRule="auto"/>
        <w:tabs>
          <w:tab w:leader="none" w:pos="967"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Filings and Recordings</w:t>
      </w:r>
      <w:r>
        <w:rPr>
          <w:rFonts w:ascii="Arial" w:cs="Arial" w:eastAsia="Arial" w:hAnsi="Arial"/>
          <w:sz w:val="18"/>
          <w:szCs w:val="18"/>
          <w:color w:val="auto"/>
        </w:rPr>
        <w:t>. All filings or recordings enumerated and described in Schedule 6.1(xi) shall have been made (or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so to file shall have been made) in the appropriate places or offices. All recording and filing fees and taxes with respect to any recordings or filings made pursuant to this Section 6.1(xi) shall have been paid in full by Lessee or from the Advance on or prior to such date, and satisfactory evidence thereof shall have been delivered to the Lessor and Administrative Agent, or arrangements for such payment shall have been made by Lessee to the reasonable satisfaction of Lessor.</w:t>
      </w:r>
    </w:p>
    <w:p>
      <w:pPr>
        <w:spacing w:after="0" w:line="188" w:lineRule="exact"/>
        <w:rPr>
          <w:rFonts w:ascii="Arial" w:cs="Arial" w:eastAsia="Arial" w:hAnsi="Arial"/>
          <w:sz w:val="18"/>
          <w:szCs w:val="18"/>
          <w:color w:val="auto"/>
        </w:rPr>
      </w:pPr>
    </w:p>
    <w:p>
      <w:pPr>
        <w:jc w:val="both"/>
        <w:ind w:firstLine="645"/>
        <w:spacing w:after="0" w:line="255" w:lineRule="auto"/>
        <w:tabs>
          <w:tab w:leader="none" w:pos="1003"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Lessor shall have received (i) a report from the Insurance Consultant (or another insurance consultant reasonably acceptable</w:t>
      </w:r>
      <w:r>
        <w:rPr>
          <w:rFonts w:ascii="Arial" w:cs="Arial" w:eastAsia="Arial" w:hAnsi="Arial"/>
          <w:sz w:val="18"/>
          <w:szCs w:val="18"/>
          <w:i w:val="1"/>
          <w:iCs w:val="1"/>
          <w:color w:val="auto"/>
        </w:rPr>
        <w:t xml:space="preserve"> </w:t>
      </w:r>
      <w:r>
        <w:rPr>
          <w:rFonts w:ascii="Arial" w:cs="Arial" w:eastAsia="Arial" w:hAnsi="Arial"/>
          <w:sz w:val="18"/>
          <w:szCs w:val="18"/>
          <w:color w:val="auto"/>
        </w:rPr>
        <w:t>to Lessor), in form and substance reasonably satisfactory to Lessor, stating that the Facility and the Site will be properly and adequately insured pursuant to the requirements of the Lease and (ii) insurance (including, without limitation, any flood insurance required to be obtained by the Lessee under the Operative Documents) complying with, and to the extent required to be in place on the Original Closing Date pursuant to, the provisions of the Lease shall be in full force and effect in all material respects as evidenced by customary certificates of insurance, broker’s reports or insurance binders provided by the Lessee’s or the Parent Guarantor’s brokers to Lessor, all in form and substance reasonably satisfactory to Lessor and the Administrative Agent.</w:t>
      </w:r>
    </w:p>
    <w:p>
      <w:pPr>
        <w:spacing w:after="0" w:line="189" w:lineRule="exact"/>
        <w:rPr>
          <w:rFonts w:ascii="Arial" w:cs="Arial" w:eastAsia="Arial" w:hAnsi="Arial"/>
          <w:sz w:val="18"/>
          <w:szCs w:val="18"/>
          <w:color w:val="auto"/>
        </w:rPr>
      </w:pPr>
    </w:p>
    <w:p>
      <w:pPr>
        <w:ind w:firstLine="645"/>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No Material Adverse Change</w:t>
      </w:r>
      <w:r>
        <w:rPr>
          <w:rFonts w:ascii="Arial" w:cs="Arial" w:eastAsia="Arial" w:hAnsi="Arial"/>
          <w:sz w:val="18"/>
          <w:szCs w:val="18"/>
          <w:color w:val="auto"/>
        </w:rPr>
        <w:t>. Since September 30, 2016 and excluding any Disclosed Matters, there shall be no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w:t>
      </w:r>
    </w:p>
    <w:p>
      <w:pPr>
        <w:spacing w:after="0" w:line="170" w:lineRule="exact"/>
        <w:rPr>
          <w:rFonts w:ascii="Arial" w:cs="Arial" w:eastAsia="Arial" w:hAnsi="Arial"/>
          <w:sz w:val="18"/>
          <w:szCs w:val="18"/>
          <w:color w:val="auto"/>
        </w:rPr>
      </w:pPr>
    </w:p>
    <w:p>
      <w:pPr>
        <w:jc w:val="both"/>
        <w:ind w:firstLine="645"/>
        <w:spacing w:after="0" w:line="342" w:lineRule="auto"/>
        <w:tabs>
          <w:tab w:leader="none" w:pos="1043"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Requirements of Law</w:t>
      </w:r>
      <w:r>
        <w:rPr>
          <w:rFonts w:ascii="Arial" w:cs="Arial" w:eastAsia="Arial" w:hAnsi="Arial"/>
          <w:sz w:val="16"/>
          <w:szCs w:val="16"/>
          <w:color w:val="auto"/>
        </w:rPr>
        <w:t>. The Overall Transaction does not violate in any material respect any Applicable Laws and does not, in and of</w:t>
      </w:r>
      <w:r>
        <w:rPr>
          <w:rFonts w:ascii="Arial" w:cs="Arial" w:eastAsia="Arial" w:hAnsi="Arial"/>
          <w:sz w:val="16"/>
          <w:szCs w:val="16"/>
          <w:i w:val="1"/>
          <w:iCs w:val="1"/>
          <w:color w:val="auto"/>
        </w:rPr>
        <w:t xml:space="preserve"> </w:t>
      </w:r>
      <w:r>
        <w:rPr>
          <w:rFonts w:ascii="Arial" w:cs="Arial" w:eastAsia="Arial" w:hAnsi="Arial"/>
          <w:sz w:val="16"/>
          <w:szCs w:val="16"/>
          <w:color w:val="auto"/>
        </w:rPr>
        <w:t>itself, subject any Participant to any material adverse regulatory prohibitions or constraints or cause any such Person to violate any Applicable Laws.</w:t>
      </w:r>
    </w:p>
    <w:p>
      <w:pPr>
        <w:spacing w:after="0" w:line="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152400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9" w:right="239" w:bottom="1440" w:gutter="0" w:footer="0" w:header="0"/>
        </w:sectPr>
      </w:pPr>
    </w:p>
    <w:bookmarkStart w:id="27" w:name="page28"/>
    <w:bookmarkEnd w:id="27"/>
    <w:p>
      <w:pPr>
        <w:ind w:left="980" w:hanging="33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jc w:val="both"/>
        <w:ind w:firstLine="645"/>
        <w:spacing w:after="0" w:line="259" w:lineRule="auto"/>
        <w:tabs>
          <w:tab w:leader="none" w:pos="1057"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There shall not have occurred and be continuing any Default, Event of Default, Event of Loss, Specified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Event or Specified Material Environmental Violation, and no Default, Event of Default, Event of Loss Specified Significant Environmental Event or Specified Material Environmental Violation will have occurred and be continuing immediately after giving effect to the Advance Request.</w:t>
      </w:r>
    </w:p>
    <w:p>
      <w:pPr>
        <w:spacing w:after="0" w:line="186" w:lineRule="exact"/>
        <w:rPr>
          <w:rFonts w:ascii="Arial" w:cs="Arial" w:eastAsia="Arial" w:hAnsi="Arial"/>
          <w:sz w:val="18"/>
          <w:szCs w:val="18"/>
          <w:color w:val="auto"/>
        </w:rPr>
      </w:pPr>
    </w:p>
    <w:p>
      <w:pPr>
        <w:ind w:firstLine="645"/>
        <w:spacing w:after="0" w:line="277" w:lineRule="auto"/>
        <w:tabs>
          <w:tab w:leader="none" w:pos="109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Subordination of Existing Lease</w:t>
      </w:r>
      <w:r>
        <w:rPr>
          <w:rFonts w:ascii="Arial" w:cs="Arial" w:eastAsia="Arial" w:hAnsi="Arial"/>
          <w:sz w:val="18"/>
          <w:szCs w:val="18"/>
          <w:color w:val="auto"/>
        </w:rPr>
        <w:t>. The Existing Lease shall have been subordinated to the Lease on terms reasonably acceptable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and the Participants.</w:t>
      </w:r>
    </w:p>
    <w:p>
      <w:pPr>
        <w:spacing w:after="0" w:line="170" w:lineRule="exact"/>
        <w:rPr>
          <w:rFonts w:ascii="Arial" w:cs="Arial" w:eastAsia="Arial" w:hAnsi="Arial"/>
          <w:sz w:val="18"/>
          <w:szCs w:val="18"/>
          <w:color w:val="auto"/>
        </w:rPr>
      </w:pPr>
    </w:p>
    <w:p>
      <w:pPr>
        <w:jc w:val="both"/>
        <w:ind w:firstLine="645"/>
        <w:spacing w:after="0" w:line="290" w:lineRule="auto"/>
        <w:tabs>
          <w:tab w:leader="none" w:pos="1157"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Receipt by Lessor of (A) audited consolidated balance sheets and related consolidated statements of income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statements of cash flows of the Parent Guarantor and its consolidated subsidiaries for the most recently completed fiscal year ending more than ninety (90) days prior to the Original Closing Date, and (B) unaudited consolidated balance sheets and related consolidated statements of income and statements of cash flows for any quarterly interim period or periods (other than the fourth fiscal quarter of the Parent Guarantor’s fiscal year) of the Parent Guarantor and its consolidated subsidiaries ending more than forty-five (45) days prior to the Original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requirements set forth in this paragraph may be fulfilled by the filing of the Parent Guarantor’s Annual Report on Form 10-K with the Securities and Exchange Commission for the applicable fiscal year (in the case of clause (A) above) and the Parent Guarantor’s Quarterly Report on Form 10-Q with the Securities and Exchange Commission for the applicable fiscal quarter (in the case of clause (B) above).</w:t>
      </w:r>
    </w:p>
    <w:p>
      <w:pPr>
        <w:spacing w:after="0" w:line="166" w:lineRule="exact"/>
        <w:rPr>
          <w:rFonts w:ascii="Arial" w:cs="Arial" w:eastAsia="Arial" w:hAnsi="Arial"/>
          <w:sz w:val="16"/>
          <w:szCs w:val="16"/>
          <w:color w:val="auto"/>
        </w:rPr>
      </w:pPr>
    </w:p>
    <w:p>
      <w:pPr>
        <w:ind w:left="1060" w:hanging="415"/>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Collateral Documents</w:t>
      </w:r>
      <w:r>
        <w:rPr>
          <w:rFonts w:ascii="Arial" w:cs="Arial" w:eastAsia="Arial" w:hAnsi="Arial"/>
          <w:sz w:val="17"/>
          <w:szCs w:val="17"/>
          <w:color w:val="auto"/>
        </w:rPr>
        <w:t>. Lessor and Administrative Agent shall have received an executed copy of the Assignment of Purchase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jc w:val="both"/>
        <w:ind w:firstLine="645"/>
        <w:spacing w:after="0" w:line="27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Governmental Approvals</w:t>
      </w:r>
      <w:r>
        <w:rPr>
          <w:rFonts w:ascii="Arial" w:cs="Arial" w:eastAsia="Arial" w:hAnsi="Arial"/>
          <w:sz w:val="17"/>
          <w:szCs w:val="17"/>
          <w:color w:val="auto"/>
        </w:rPr>
        <w:t>. Except as could not reasonably be expected to cause a Material Adverse Effect: (A) all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Actions and other approvals, consents, licenses and easements (but excluding any approvals of the subdivision of the parcel of real property of which the Site is a part) required to be taken, given or obtained, as the case may be, by or from any Governmental Authority or another Person, or by or from any trustee or holder of any indebtedness or obligation of Lessee or any Guarantor, that are necessary in connection with the performance of their respective obligations under the Operative Documents, and that are necessary to have been obtained prior to the Original Closing Date shall have been taken, given or obtained, as the case may be, shall be in full force and effect, and (B) the time for appeal with respect thereto shall have expired (or, if an appeal shall have been taken, the same shall have been dismissed) and shall not be subject to any pending proceedings or appeals (administrative, judicial or otherwise).</w:t>
      </w:r>
    </w:p>
    <w:p>
      <w:pPr>
        <w:spacing w:after="0" w:line="178" w:lineRule="exact"/>
        <w:rPr>
          <w:rFonts w:ascii="Arial" w:cs="Arial" w:eastAsia="Arial" w:hAnsi="Arial"/>
          <w:sz w:val="17"/>
          <w:szCs w:val="17"/>
          <w:color w:val="auto"/>
        </w:rPr>
      </w:pPr>
    </w:p>
    <w:p>
      <w:pPr>
        <w:ind w:left="1040" w:hanging="39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Advance Request</w:t>
      </w:r>
      <w:r>
        <w:rPr>
          <w:rFonts w:ascii="Arial" w:cs="Arial" w:eastAsia="Arial" w:hAnsi="Arial"/>
          <w:sz w:val="18"/>
          <w:szCs w:val="18"/>
          <w:color w:val="auto"/>
        </w:rPr>
        <w:t>. Lessor and the Administrative Agent shall have</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152400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9" w:right="2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received a fully executed counterpart of the Advance Request, executed by the Lessee, in accordance with Section 3.3(a) of the Original Participation Agreement.</w:t>
      </w:r>
    </w:p>
    <w:p>
      <w:pPr>
        <w:spacing w:after="0" w:line="170" w:lineRule="exact"/>
        <w:rPr>
          <w:sz w:val="20"/>
          <w:szCs w:val="20"/>
          <w:color w:val="auto"/>
        </w:rPr>
      </w:pPr>
    </w:p>
    <w:p>
      <w:pPr>
        <w:jc w:val="both"/>
        <w:ind w:firstLine="645"/>
        <w:spacing w:after="0" w:line="264" w:lineRule="auto"/>
        <w:tabs>
          <w:tab w:leader="none" w:pos="1093"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The Administrative Agent, the Participants and the Arranger shall have received all Fees due and payable pursuant to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4.4 of the Original Participation Agreement, or such payment will be made out of the requested Advance to the extent permitted pursuant to the terms hereof.</w:t>
      </w:r>
    </w:p>
    <w:p>
      <w:pPr>
        <w:spacing w:after="0" w:line="181" w:lineRule="exact"/>
        <w:rPr>
          <w:rFonts w:ascii="Arial" w:cs="Arial" w:eastAsia="Arial" w:hAnsi="Arial"/>
          <w:sz w:val="18"/>
          <w:szCs w:val="18"/>
          <w:color w:val="auto"/>
        </w:rPr>
      </w:pPr>
    </w:p>
    <w:p>
      <w:pPr>
        <w:jc w:val="both"/>
        <w:ind w:firstLine="645"/>
        <w:spacing w:after="0" w:line="259" w:lineRule="auto"/>
        <w:tabs>
          <w:tab w:leader="none" w:pos="1143"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Representation and Warranties</w:t>
      </w:r>
      <w:r>
        <w:rPr>
          <w:rFonts w:ascii="Arial" w:cs="Arial" w:eastAsia="Arial" w:hAnsi="Arial"/>
          <w:sz w:val="18"/>
          <w:szCs w:val="18"/>
          <w:color w:val="auto"/>
        </w:rPr>
        <w:t>. On the Original Closing Date, the representations and warranties of the Lessee and each Guarantor</w:t>
      </w:r>
      <w:r>
        <w:rPr>
          <w:rFonts w:ascii="Arial" w:cs="Arial" w:eastAsia="Arial" w:hAnsi="Arial"/>
          <w:sz w:val="18"/>
          <w:szCs w:val="18"/>
          <w:i w:val="1"/>
          <w:iCs w:val="1"/>
          <w:color w:val="auto"/>
        </w:rPr>
        <w:t xml:space="preserve"> </w:t>
      </w:r>
      <w:r>
        <w:rPr>
          <w:rFonts w:ascii="Arial" w:cs="Arial" w:eastAsia="Arial" w:hAnsi="Arial"/>
          <w:sz w:val="18"/>
          <w:szCs w:val="18"/>
          <w:color w:val="auto"/>
        </w:rPr>
        <w:t>herein and in each of the other Operative Documents shall be true and correct in all material respects as though made on and as of such date, except to the extent that such representations and warranties specifically refer to an earlier date, in which case they shall be true and correct in all material respects as of such earlier date.</w:t>
      </w:r>
    </w:p>
    <w:p>
      <w:pPr>
        <w:spacing w:after="0" w:line="186" w:lineRule="exact"/>
        <w:rPr>
          <w:rFonts w:ascii="Arial" w:cs="Arial" w:eastAsia="Arial" w:hAnsi="Arial"/>
          <w:sz w:val="18"/>
          <w:szCs w:val="18"/>
          <w:color w:val="auto"/>
        </w:rPr>
      </w:pPr>
    </w:p>
    <w:p>
      <w:pPr>
        <w:jc w:val="both"/>
        <w:ind w:firstLine="645"/>
        <w:spacing w:after="0" w:line="271" w:lineRule="auto"/>
        <w:tabs>
          <w:tab w:leader="none" w:pos="1147"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Litigation</w:t>
      </w:r>
      <w:r>
        <w:rPr>
          <w:rFonts w:ascii="Arial" w:cs="Arial" w:eastAsia="Arial" w:hAnsi="Arial"/>
          <w:sz w:val="17"/>
          <w:szCs w:val="17"/>
          <w:color w:val="auto"/>
        </w:rPr>
        <w:t>. Except for Disclosed Matters, no action or proceeding shall have been instituted, nor to Lessee’s or Parent Guarantor’s</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shall any action or proceeding be threatened, before any Governmental Authority, nor shall any order, judgment or decree have been issued or be reasonably expected to be proposed to be issued by any Governmental Authority (i) to set aside, restrain, enjoin or prevent the performance by Lessee or any Guarantor in any material respect of this Participation Agreement, any other Operative Document or any transaction contemplated as part of the Overall Transaction or (ii) that questions the validity of the Operative Documents or the rights or remedies of the Lessor or the Administrative Agent with respect to the Lessee, each Guarantor, the Leased Property or the other Collateral under the Operative Documents, and in each case as to clause (i) or clause (ii) above, for which there is a reasonable expectation of an adverse decision which would have or would reasonably be expected to have a Material Adverse Effect.</w:t>
      </w:r>
    </w:p>
    <w:p>
      <w:pPr>
        <w:spacing w:after="0" w:line="178" w:lineRule="exact"/>
        <w:rPr>
          <w:rFonts w:ascii="Arial" w:cs="Arial" w:eastAsia="Arial" w:hAnsi="Arial"/>
          <w:sz w:val="17"/>
          <w:szCs w:val="17"/>
          <w:color w:val="auto"/>
        </w:rPr>
      </w:pPr>
    </w:p>
    <w:p>
      <w:pPr>
        <w:ind w:left="1080" w:hanging="435"/>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right="20" w:firstLine="645"/>
        <w:spacing w:after="0" w:line="277" w:lineRule="auto"/>
        <w:tabs>
          <w:tab w:leader="none" w:pos="114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Commitment Amount</w:t>
      </w:r>
      <w:r>
        <w:rPr>
          <w:rFonts w:ascii="Arial" w:cs="Arial" w:eastAsia="Arial" w:hAnsi="Arial"/>
          <w:sz w:val="18"/>
          <w:szCs w:val="18"/>
          <w:color w:val="auto"/>
        </w:rPr>
        <w:t>. The aggregate amount to be Funded by the Participants on the Original Closing Date does not exceed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Commitment Amount.</w:t>
      </w:r>
    </w:p>
    <w:p>
      <w:pPr>
        <w:spacing w:after="0" w:line="170" w:lineRule="exact"/>
        <w:rPr>
          <w:rFonts w:ascii="Arial" w:cs="Arial" w:eastAsia="Arial" w:hAnsi="Arial"/>
          <w:sz w:val="18"/>
          <w:szCs w:val="18"/>
          <w:color w:val="auto"/>
        </w:rPr>
      </w:pPr>
    </w:p>
    <w:p>
      <w:pPr>
        <w:jc w:val="both"/>
        <w:ind w:firstLine="645"/>
        <w:spacing w:after="0" w:line="286" w:lineRule="auto"/>
        <w:tabs>
          <w:tab w:leader="none" w:pos="1183"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Transaction Expenses</w:t>
      </w:r>
      <w:r>
        <w:rPr>
          <w:rFonts w:ascii="Arial" w:cs="Arial" w:eastAsia="Arial" w:hAnsi="Arial"/>
          <w:sz w:val="17"/>
          <w:szCs w:val="17"/>
          <w:color w:val="auto"/>
        </w:rPr>
        <w:t>. Lessee shall have paid or made arrangements to pay all applicable Transaction Expenses and other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required to be paid or reimbursed by the Lessee on the Original Closing Date pursuant to the Arranger Fee Letter (to the extent invoiced at least three (3) Business Days prior to the Original Closing Date (or such later date as the Lessee may reasonably agree)).</w:t>
      </w:r>
    </w:p>
    <w:p>
      <w:pPr>
        <w:spacing w:after="0" w:line="165" w:lineRule="exact"/>
        <w:rPr>
          <w:rFonts w:ascii="Arial" w:cs="Arial" w:eastAsia="Arial" w:hAnsi="Arial"/>
          <w:sz w:val="17"/>
          <w:szCs w:val="17"/>
          <w:color w:val="auto"/>
        </w:rPr>
      </w:pPr>
    </w:p>
    <w:p>
      <w:pPr>
        <w:jc w:val="both"/>
        <w:ind w:firstLine="645"/>
        <w:spacing w:after="0" w:line="312" w:lineRule="auto"/>
        <w:tabs>
          <w:tab w:leader="none" w:pos="1247"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Authorization, Execution and Delivery of Documents</w:t>
      </w:r>
      <w:r>
        <w:rPr>
          <w:rFonts w:ascii="Arial" w:cs="Arial" w:eastAsia="Arial" w:hAnsi="Arial"/>
          <w:sz w:val="16"/>
          <w:szCs w:val="16"/>
          <w:color w:val="auto"/>
        </w:rPr>
        <w:t>. The Participation Agreement, the Guaranty, the Deed, the Assignment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Agreement, the Purchase Agreement, the Lease, the Memorandum of Lease, the Loan Agreement, the Notes, the Security Instruments and the Fee Letters shall have been duly authorized, executed and delivered by each of the other initial parties thereto, shall (to the extent the</w:t>
      </w:r>
    </w:p>
    <w:p>
      <w:pPr>
        <w:spacing w:after="0" w:line="12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152400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9" w:right="239" w:bottom="1440" w:gutter="0" w:footer="0" w:header="0"/>
        </w:sectPr>
      </w:pPr>
    </w:p>
    <w:bookmarkStart w:id="29" w:name="page30"/>
    <w:bookmarkEnd w:id="29"/>
    <w:p>
      <w:pPr>
        <w:jc w:val="both"/>
        <w:ind w:left="660"/>
        <w:spacing w:after="0" w:line="276" w:lineRule="auto"/>
        <w:rPr>
          <w:sz w:val="20"/>
          <w:szCs w:val="20"/>
          <w:color w:val="auto"/>
        </w:rPr>
      </w:pPr>
      <w:r>
        <w:rPr>
          <w:rFonts w:ascii="Arial" w:cs="Arial" w:eastAsia="Arial" w:hAnsi="Arial"/>
          <w:sz w:val="17"/>
          <w:szCs w:val="17"/>
          <w:color w:val="auto"/>
        </w:rPr>
        <w:t>form and substance thereof shall not be prescribed hereby) be in form and substance satisfactory to each Participant and copies of an executed counterpart of each thereof (except for (i) the Notes, originals of which shall only be delivered to the applicable Lender and (ii) each Fee Letter, originals and copies of which shall only be delivered to the parties thereto) shall have been received by each of the Participants, the Administrative Agent and Lessor. Each Lender shall have received an original, duly executed Note registered in such Lender’s name. Each of the Operative Documents listed in this clause (xxviii) shall be in full force and effect as to all other initial parties thereto.</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documents and instruments required to be delivered on the Original Closing Date were delivered at the offices of Chapman and Cutler LLP, 595 Market Street, Suite 2600, San Francisco, California 94105-2839, Attention: Vincent W. Pelleriti, Esq., or at such other location as was determined by the Lessor and the Lessee.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Section 6.2. Conditions Precedent to the Restatement Date</w:t>
      </w:r>
      <w:r>
        <w:rPr>
          <w:rFonts w:ascii="Arial" w:cs="Arial" w:eastAsia="Arial" w:hAnsi="Arial"/>
          <w:sz w:val="16"/>
          <w:szCs w:val="16"/>
          <w:color w:val="auto"/>
        </w:rPr>
        <w:t>. The amendment and restatement of the Original Participation Agreement as set forth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Participation Agreement shall not become effective until the first date on which each of the following conditions is satisfied or waived:</w:t>
      </w:r>
    </w:p>
    <w:p>
      <w:pPr>
        <w:spacing w:after="0" w:line="211" w:lineRule="exact"/>
        <w:rPr>
          <w:sz w:val="20"/>
          <w:szCs w:val="20"/>
          <w:color w:val="auto"/>
        </w:rPr>
      </w:pPr>
    </w:p>
    <w:p>
      <w:pPr>
        <w:jc w:val="both"/>
        <w:ind w:left="660" w:firstLine="645"/>
        <w:spacing w:after="0" w:line="284" w:lineRule="auto"/>
        <w:tabs>
          <w:tab w:leader="none" w:pos="1537"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Corporate Certificates. </w:t>
      </w:r>
      <w:r>
        <w:rPr>
          <w:rFonts w:ascii="Arial" w:cs="Arial" w:eastAsia="Arial" w:hAnsi="Arial"/>
          <w:sz w:val="16"/>
          <w:szCs w:val="16"/>
          <w:color w:val="auto"/>
        </w:rPr>
        <w:t>(A) The Lessee shall have delivered to the Lessor and the Administrative Agent (1) a status certificate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Lessee’s existence in the State of New York from the Secretary of State of the State of New York, issued by such office no earlier than thirty (30) days prior to the Restatement Date and (2) a Responsible Officer’s Certificate of Lessee substantially in the form of Exhibit F-1, attaching and certifying as to (x) the limited liability company authority for the execution, delivery and performance by Lessee of each Operative Document to which it is or will be a party, (y) its organizational documents, and (z) the incumbency and signature of persons authorized to execute and deliver on its behalf the Operative Documents to which it is a party, (B) the Parent Guarantor shall have delivered to the Lessor and the Administrative Agent</w:t>
      </w:r>
    </w:p>
    <w:p>
      <w:pPr>
        <w:spacing w:after="0" w:line="4" w:lineRule="exact"/>
        <w:rPr>
          <w:rFonts w:ascii="Arial" w:cs="Arial" w:eastAsia="Arial" w:hAnsi="Arial"/>
          <w:sz w:val="16"/>
          <w:szCs w:val="16"/>
          <w:color w:val="auto"/>
        </w:rPr>
      </w:pPr>
    </w:p>
    <w:p>
      <w:pPr>
        <w:jc w:val="both"/>
        <w:ind w:left="660" w:hanging="4"/>
        <w:spacing w:after="0" w:line="286" w:lineRule="auto"/>
        <w:tabs>
          <w:tab w:leader="none" w:pos="9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status certificate with respect to the Parent Guarantor’s existence in the State of New York from the Secretary of State of the State of New York, issued by such office no earlier than thirty (30) days prior to the Restatement Date and (2) a Responsible Officer’s Certificate of Parent Guarantor substantially in the form of Exhibit F-2, attaching and certifying as to (x) the corporate authority for the execution, delivery and performance by Parent Guarantor of each Operative Document to which it is or will be a party, (y) its organizational documents, and (z) the incumbency and signature of persons authorized to execute and deliver on its behalf the Operative Documents to which it is a party and (C) each Subsidiary Guarantor shall have delivered to the Lessor and the Administrative Agent (1) a good standing/status certificate with respect to such Subsidiary Guarantor from the Secretary of State (or similar public official) of such Subsidiary Guarantor’s jurisdiction of organization, issued by such office no earlier than thirty (30) days prior to the Restatement Date and (2) a Responsible Officer’s Certificate of such Subsidiary Guarantor substantially in the form of Exhibit F-3, attaching and certifying as to (x) the corporate or other organizational authority for the execution, delivery and performance by such Subsidiary Guarantor of each Operative Document to which it is or will be a party, (y) its organizational documents and (z) the incumbency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and signature of persons authorized to execute and deliver on its behalf the Operative Documents to which it is a party.</w:t>
      </w:r>
    </w:p>
    <w:p>
      <w:pPr>
        <w:spacing w:after="0" w:line="225" w:lineRule="exact"/>
        <w:rPr>
          <w:sz w:val="20"/>
          <w:szCs w:val="20"/>
          <w:color w:val="auto"/>
        </w:rPr>
      </w:pPr>
    </w:p>
    <w:p>
      <w:pPr>
        <w:jc w:val="both"/>
        <w:ind w:left="660" w:firstLine="645"/>
        <w:spacing w:after="0" w:line="259" w:lineRule="auto"/>
        <w:tabs>
          <w:tab w:leader="none" w:pos="1573"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Opinions of Special Counsel to Parent Guarantor</w:t>
      </w:r>
      <w:r>
        <w:rPr>
          <w:rFonts w:ascii="Arial" w:cs="Arial" w:eastAsia="Arial" w:hAnsi="Arial"/>
          <w:sz w:val="18"/>
          <w:szCs w:val="18"/>
          <w:color w:val="auto"/>
        </w:rPr>
        <w:t>. The Lessee shall have delivered to the Lessor and the Administrative Agent a legal</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of Skadden, Arps, Slate, Meagher &amp; Flom LLP, special counsel to Parent Guarantor, which shall address such customary matters as may be reasonably required by the Lessor and the Administrative Agent with respect to the Lessee and the Guarantors in connection with the amendment and restatement of certain Operative Documents on the Restatement Date.</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637"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Restatement Date Certificates. </w:t>
      </w:r>
      <w:r>
        <w:rPr>
          <w:rFonts w:ascii="Arial" w:cs="Arial" w:eastAsia="Arial" w:hAnsi="Arial"/>
          <w:sz w:val="18"/>
          <w:szCs w:val="18"/>
          <w:color w:val="auto"/>
        </w:rPr>
        <w:t>Lessee shall have delivered to the Administrative Agent and the Lessor a certificate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Restatement Date in substantially the form of Exhibit B-2 hereto. Parent Guarantor shall have delivered to the Administrative Agent and the Lessor a certificate dated as of the Restatement Date in substantially the form of Exhibit C-2 hereto.</w:t>
      </w:r>
    </w:p>
    <w:p>
      <w:pPr>
        <w:spacing w:after="0" w:line="181" w:lineRule="exact"/>
        <w:rPr>
          <w:rFonts w:ascii="Arial" w:cs="Arial" w:eastAsia="Arial" w:hAnsi="Arial"/>
          <w:sz w:val="18"/>
          <w:szCs w:val="18"/>
          <w:color w:val="auto"/>
        </w:rPr>
      </w:pPr>
    </w:p>
    <w:p>
      <w:pPr>
        <w:ind w:left="660" w:firstLine="645"/>
        <w:spacing w:after="0" w:line="277" w:lineRule="auto"/>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There shall not have occurred and be continuing any Default, Event of Default, Event of Loss, Specified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Event or Specified Material Environmental Violation.</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63"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Representation and Warranties</w:t>
      </w:r>
      <w:r>
        <w:rPr>
          <w:rFonts w:ascii="Arial" w:cs="Arial" w:eastAsia="Arial" w:hAnsi="Arial"/>
          <w:sz w:val="18"/>
          <w:szCs w:val="18"/>
          <w:color w:val="auto"/>
        </w:rPr>
        <w:t>. On the Restatement Date, the representations and warranties of the Lessee and each Guarantor herein</w:t>
      </w:r>
      <w:r>
        <w:rPr>
          <w:rFonts w:ascii="Arial" w:cs="Arial" w:eastAsia="Arial" w:hAnsi="Arial"/>
          <w:sz w:val="18"/>
          <w:szCs w:val="18"/>
          <w:i w:val="1"/>
          <w:iCs w:val="1"/>
          <w:color w:val="auto"/>
        </w:rPr>
        <w:t xml:space="preserve"> </w:t>
      </w:r>
      <w:r>
        <w:rPr>
          <w:rFonts w:ascii="Arial" w:cs="Arial" w:eastAsia="Arial" w:hAnsi="Arial"/>
          <w:sz w:val="18"/>
          <w:szCs w:val="18"/>
          <w:color w:val="auto"/>
        </w:rPr>
        <w:t>and in each of the other Operative Documents shall be true and correct in all material respects as though made on and as of such date, except to the extent that such representations and warranties specifically refer to an earlier date, in which case they shall be true and correct in all material respects as of such earlier date.</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627"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Transaction Expenses</w:t>
      </w:r>
      <w:r>
        <w:rPr>
          <w:rFonts w:ascii="Arial" w:cs="Arial" w:eastAsia="Arial" w:hAnsi="Arial"/>
          <w:sz w:val="18"/>
          <w:szCs w:val="18"/>
          <w:color w:val="auto"/>
        </w:rPr>
        <w:t>. Lessee shall have paid or made arrangements to pay all reasonable and documented out-of-pocket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required to be paid or reimbursed by the Lessee pursuant to the Operative Documents, to the extent due and payable on or prior to the Restatement Date and invoiced at least two (2) Business Days prior to the Restatement Date.</w:t>
      </w:r>
    </w:p>
    <w:p>
      <w:pPr>
        <w:spacing w:after="0" w:line="181" w:lineRule="exact"/>
        <w:rPr>
          <w:rFonts w:ascii="Arial" w:cs="Arial" w:eastAsia="Arial" w:hAnsi="Arial"/>
          <w:sz w:val="18"/>
          <w:szCs w:val="18"/>
          <w:color w:val="auto"/>
        </w:rPr>
      </w:pPr>
    </w:p>
    <w:p>
      <w:pPr>
        <w:jc w:val="both"/>
        <w:ind w:left="660" w:firstLine="645"/>
        <w:spacing w:after="0" w:line="312" w:lineRule="auto"/>
        <w:tabs>
          <w:tab w:leader="none" w:pos="1677"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Authorization, Execution and Delivery of Documents</w:t>
      </w:r>
      <w:r>
        <w:rPr>
          <w:rFonts w:ascii="Arial" w:cs="Arial" w:eastAsia="Arial" w:hAnsi="Arial"/>
          <w:sz w:val="16"/>
          <w:szCs w:val="16"/>
          <w:color w:val="auto"/>
        </w:rPr>
        <w:t>. The Restated Operative Documents shall have been duly authorized,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delivered by each of the other parties thereto as of the Restatement Date, shall (to the extent the form and substance thereof shall not be prescribed hereby) be in form and substance reasonably satisfactory to each Participant and copies of an executed counterpart of each thereof.</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documents and instruments required to be delivered on the Restatement Date shall be delivered at the offices of Chapman and Cutler LLP, 111 W. Monroe Street, 14th Floor | Chicago, Illinois 60603, Attention: Vincent W. Pelleriti, Esq., or at such other location as may be determined by the Lessor and the Lessee.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MITTED</w:t>
      </w:r>
      <w:r>
        <w:rPr>
          <w:rFonts w:ascii="Arial" w:cs="Arial" w:eastAsia="Arial" w:hAnsi="Arial"/>
          <w:sz w:val="22"/>
          <w:szCs w:val="22"/>
          <w:b w:val="1"/>
          <w:bCs w:val="1"/>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EPRESENTATIONS</w:t>
      </w:r>
    </w:p>
    <w:p>
      <w:pPr>
        <w:spacing w:after="0" w:line="19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8.1. Representations of the Participants</w:t>
      </w:r>
      <w:r>
        <w:rPr>
          <w:rFonts w:ascii="Arial" w:cs="Arial" w:eastAsia="Arial" w:hAnsi="Arial"/>
          <w:sz w:val="18"/>
          <w:szCs w:val="18"/>
          <w:color w:val="auto"/>
        </w:rPr>
        <w:t>. As of the Restatement Date (or, if later, the date of its execution of an Assignment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joinder to this Participation Agreement), each Participant represents and warrants, severally and only as to itself, to the other Participants, the Administrative Agent, Lessee and the Guarantors that:</w:t>
      </w:r>
    </w:p>
    <w:p>
      <w:pPr>
        <w:spacing w:after="0" w:line="181" w:lineRule="exact"/>
        <w:rPr>
          <w:sz w:val="20"/>
          <w:szCs w:val="20"/>
          <w:color w:val="auto"/>
        </w:rPr>
      </w:pPr>
    </w:p>
    <w:p>
      <w:pPr>
        <w:ind w:left="660" w:firstLine="645"/>
        <w:spacing w:after="0" w:line="277" w:lineRule="auto"/>
        <w:tabs>
          <w:tab w:leader="none" w:pos="15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Power and Authority</w:t>
      </w:r>
      <w:r>
        <w:rPr>
          <w:rFonts w:ascii="Arial" w:cs="Arial" w:eastAsia="Arial" w:hAnsi="Arial"/>
          <w:sz w:val="18"/>
          <w:szCs w:val="18"/>
          <w:color w:val="auto"/>
        </w:rPr>
        <w:t>. Such Participant has the requisite power and authority to enter into and perform its obligations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to which it is a party.</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Lessor Liens</w:t>
      </w:r>
      <w:r>
        <w:rPr>
          <w:rFonts w:ascii="Arial" w:cs="Arial" w:eastAsia="Arial" w:hAnsi="Arial"/>
          <w:sz w:val="17"/>
          <w:szCs w:val="17"/>
          <w:color w:val="auto"/>
        </w:rPr>
        <w:t>. There are no Lessor Liens attributable to such Participant on the Lease, the Leased Property or any other Collateral.</w:t>
      </w:r>
    </w:p>
    <w:p>
      <w:pPr>
        <w:spacing w:after="0" w:line="236" w:lineRule="exact"/>
        <w:rPr>
          <w:rFonts w:ascii="Arial" w:cs="Arial" w:eastAsia="Arial" w:hAnsi="Arial"/>
          <w:sz w:val="17"/>
          <w:szCs w:val="17"/>
          <w:color w:val="auto"/>
        </w:rPr>
      </w:pPr>
    </w:p>
    <w:p>
      <w:pPr>
        <w:ind w:left="660" w:firstLine="645"/>
        <w:spacing w:after="0" w:line="308" w:lineRule="auto"/>
        <w:tabs>
          <w:tab w:leader="none" w:pos="1593"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Organization, etc</w:t>
      </w:r>
      <w:r>
        <w:rPr>
          <w:rFonts w:ascii="Arial" w:cs="Arial" w:eastAsia="Arial" w:hAnsi="Arial"/>
          <w:sz w:val="17"/>
          <w:szCs w:val="17"/>
          <w:color w:val="auto"/>
        </w:rPr>
        <w:t>. Such Participant is a corporation, banking association, limited liability company or other organization validly</w:t>
      </w:r>
      <w:r>
        <w:rPr>
          <w:rFonts w:ascii="Arial" w:cs="Arial" w:eastAsia="Arial" w:hAnsi="Arial"/>
          <w:sz w:val="17"/>
          <w:szCs w:val="17"/>
          <w:i w:val="1"/>
          <w:iCs w:val="1"/>
          <w:color w:val="auto"/>
        </w:rPr>
        <w:t xml:space="preserve"> </w:t>
      </w:r>
      <w:r>
        <w:rPr>
          <w:rFonts w:ascii="Arial" w:cs="Arial" w:eastAsia="Arial" w:hAnsi="Arial"/>
          <w:sz w:val="17"/>
          <w:szCs w:val="17"/>
          <w:color w:val="auto"/>
        </w:rPr>
        <w:t>organized or incorporated, as applicable, and existing and in good standing under the laws of the State or jurisdiction of its creation.</w:t>
      </w:r>
    </w:p>
    <w:p>
      <w:pPr>
        <w:spacing w:after="0" w:line="146" w:lineRule="exact"/>
        <w:rPr>
          <w:rFonts w:ascii="Arial" w:cs="Arial" w:eastAsia="Arial" w:hAnsi="Arial"/>
          <w:sz w:val="17"/>
          <w:szCs w:val="17"/>
          <w:color w:val="auto"/>
        </w:rPr>
      </w:pPr>
    </w:p>
    <w:p>
      <w:pPr>
        <w:jc w:val="both"/>
        <w:ind w:left="660" w:firstLine="645"/>
        <w:spacing w:after="0" w:line="286" w:lineRule="auto"/>
        <w:tabs>
          <w:tab w:leader="none" w:pos="159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ERISA. </w:t>
      </w:r>
      <w:r>
        <w:rPr>
          <w:rFonts w:ascii="Arial" w:cs="Arial" w:eastAsia="Arial" w:hAnsi="Arial"/>
          <w:sz w:val="17"/>
          <w:szCs w:val="17"/>
          <w:color w:val="auto"/>
        </w:rPr>
        <w:t>Such Participant (i) did not make, or subsequently purchase or otherwise acquire an interest in, any of the Loans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Advances with the assets of an “employee benefit plan” (as defined in Section 3(3) of ERISA), which is subject to Title I of ERISA or “plan” (as defined in Section 4975(e)(1) of the Code), and (ii) is not performing its obligations under the Operative Documents with any such assets.</w:t>
      </w:r>
    </w:p>
    <w:p>
      <w:pPr>
        <w:spacing w:after="0" w:line="16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Section 8.2. Representations of Lessee</w:t>
      </w:r>
      <w:r>
        <w:rPr>
          <w:rFonts w:ascii="Arial" w:cs="Arial" w:eastAsia="Arial" w:hAnsi="Arial"/>
          <w:sz w:val="18"/>
          <w:szCs w:val="18"/>
          <w:color w:val="auto"/>
        </w:rPr>
        <w:t>. Lessee, on behalf of itself and its Subsidiaries, represents and warrants to each of the other parties hereto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Restatement Date, other than with respect Disclosed Matters, that:</w:t>
      </w:r>
    </w:p>
    <w:p>
      <w:pPr>
        <w:spacing w:after="0" w:line="170" w:lineRule="exact"/>
        <w:rPr>
          <w:sz w:val="20"/>
          <w:szCs w:val="20"/>
          <w:color w:val="auto"/>
        </w:rPr>
      </w:pPr>
    </w:p>
    <w:p>
      <w:pPr>
        <w:jc w:val="both"/>
        <w:ind w:firstLine="656"/>
        <w:spacing w:after="0" w:line="272" w:lineRule="auto"/>
        <w:tabs>
          <w:tab w:leader="none" w:pos="893"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Organization; Powers</w:t>
      </w:r>
      <w:r>
        <w:rPr>
          <w:rFonts w:ascii="Arial" w:cs="Arial" w:eastAsia="Arial" w:hAnsi="Arial"/>
          <w:sz w:val="17"/>
          <w:szCs w:val="17"/>
          <w:color w:val="auto"/>
        </w:rPr>
        <w:t>. Each of the Lessee and its Material Subsidiaries is (i) duly organized or incorporated, as the case may be, validly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in good standing (to the extent the concept is applicable in such jurisdiction) under the laws of the jurisdiction of its organization or incorporation (as applicable), (ii) has all requisite organizational power and authority to carry on its business as now conducted and (iii) is qualified to do business in, and (to the extent the concept is applicable in such jurisdiction) is in good standing in, every jurisdiction where its ownership, lease or operation of properties or the conduct of its business requires such qualification, in any such case of clauses (i) (solely with respect to the good standing status of any such Subsidiary that is not a Subsidiary Guarantor), (ii) (solely with respect to the power and authority of any such Subsidiary that is not a Subsidiary Guarantor) and (iii), except where the failure to do so could not reasonably be expected to result in a Material Adverse Effect.</w:t>
      </w:r>
    </w:p>
    <w:p>
      <w:pPr>
        <w:spacing w:after="0" w:line="177" w:lineRule="exact"/>
        <w:rPr>
          <w:rFonts w:ascii="Arial" w:cs="Arial" w:eastAsia="Arial" w:hAnsi="Arial"/>
          <w:sz w:val="17"/>
          <w:szCs w:val="17"/>
          <w:color w:val="auto"/>
        </w:rPr>
      </w:pPr>
    </w:p>
    <w:p>
      <w:pPr>
        <w:ind w:firstLine="1305"/>
        <w:spacing w:after="0" w:line="277" w:lineRule="auto"/>
        <w:tabs>
          <w:tab w:leader="none" w:pos="1551"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Enforceability. </w:t>
      </w:r>
      <w:r>
        <w:rPr>
          <w:rFonts w:ascii="Arial" w:cs="Arial" w:eastAsia="Arial" w:hAnsi="Arial"/>
          <w:sz w:val="18"/>
          <w:szCs w:val="18"/>
          <w:color w:val="auto"/>
        </w:rPr>
        <w:t>The Operative Documents to which the Lessee is a party are within Lessee’s organizational powers and</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duly authorized by all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2" w:name="page33"/>
    <w:bookmarkEnd w:id="32"/>
    <w:p>
      <w:pPr>
        <w:jc w:val="both"/>
        <w:spacing w:after="0" w:line="302" w:lineRule="auto"/>
        <w:rPr>
          <w:sz w:val="20"/>
          <w:szCs w:val="20"/>
          <w:color w:val="auto"/>
        </w:rPr>
      </w:pPr>
      <w:r>
        <w:rPr>
          <w:rFonts w:ascii="Arial" w:cs="Arial" w:eastAsia="Arial" w:hAnsi="Arial"/>
          <w:sz w:val="16"/>
          <w:szCs w:val="16"/>
          <w:color w:val="auto"/>
        </w:rPr>
        <w:t>necessary organizational actions and, if required, actions by equity holders of Lessee. The Operative Documents to which Lessee is a party have been duly executed and delivered by Lessee and constitute a legal, valid and binding obligation of Lessee, enforceable against Lessee in accordance with its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154" w:lineRule="exact"/>
        <w:rPr>
          <w:sz w:val="20"/>
          <w:szCs w:val="20"/>
          <w:color w:val="auto"/>
        </w:rPr>
      </w:pPr>
    </w:p>
    <w:p>
      <w:pPr>
        <w:jc w:val="both"/>
        <w:ind w:firstLine="1305"/>
        <w:spacing w:after="0" w:line="270" w:lineRule="auto"/>
        <w:tabs>
          <w:tab w:leader="none" w:pos="1541"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Governmental Approvals; No Conflicts</w:t>
      </w:r>
      <w:r>
        <w:rPr>
          <w:rFonts w:ascii="Arial" w:cs="Arial" w:eastAsia="Arial" w:hAnsi="Arial"/>
          <w:sz w:val="17"/>
          <w:szCs w:val="17"/>
          <w:color w:val="auto"/>
        </w:rPr>
        <w:t>. The execution, delivery and performance by the Lessee of the Operative Documents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 Lessee is a party (i) do not require any consent or approval of, registration or filing with, or any other action by, any Governmental Authority, except such as are not material or have been, or will be by the time required, obtained or made and are, or will be by the time required, in full force and effect, (ii) will not violate in any material respect any applicable material law or regulation or the charter, by-laws, constitution or other organizational documents of Lessee or any material order of any Governmental Authority binding upon Lessee or its assets, (iii) will not violate in any material respect or result in a default under any indenture, material agreement or other material instrument binding upon the Lessee or its assets, or give rise to a right thereunder to require any payment to be made by the Lessee, except, in the case of this clause (iii), for any such violations, defaults or rights that could not reasonably be expected to result in a Material Adverse Effect, and (iv) will not result in the creation or imposition of any Lien on any asset of the Lessee, other than Permitted Liens and requirements (if any) to provide cash collateral or deposits under any of the Operative Documents.</w:t>
      </w:r>
    </w:p>
    <w:p>
      <w:pPr>
        <w:spacing w:after="0" w:line="181" w:lineRule="exact"/>
        <w:rPr>
          <w:rFonts w:ascii="Arial" w:cs="Arial" w:eastAsia="Arial" w:hAnsi="Arial"/>
          <w:sz w:val="17"/>
          <w:szCs w:val="17"/>
          <w:color w:val="auto"/>
        </w:rPr>
      </w:pPr>
    </w:p>
    <w:p>
      <w:pPr>
        <w:jc w:val="both"/>
        <w:ind w:firstLine="1305"/>
        <w:spacing w:after="0" w:line="302" w:lineRule="auto"/>
        <w:tabs>
          <w:tab w:leader="none" w:pos="1557"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Location of Chief Executive Office and Principal Place of Business, etc</w:t>
      </w:r>
      <w:r>
        <w:rPr>
          <w:rFonts w:ascii="Arial" w:cs="Arial" w:eastAsia="Arial" w:hAnsi="Arial"/>
          <w:sz w:val="16"/>
          <w:szCs w:val="16"/>
          <w:color w:val="auto"/>
        </w:rPr>
        <w:t>. As of the Restatement Date, (i) the “location” (as such term is</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Section 9-307 of the Uniform Commercial Code) of the Lessee is the State of New York, (ii) the place where its records concerning the Leased Property and all documents relating to the Leased Property are kept is located in the towns of Mount Pleasant and Greenburgh, New York, and (iii) Old Saw Mill Holdings LLC is its true legal name as registered in the jurisdiction of its organization, its federal employer identification number is 81-5162016.</w:t>
      </w:r>
    </w:p>
    <w:p>
      <w:pPr>
        <w:spacing w:after="0" w:line="15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Section 8.3. Representations and Warranties of Administrative Agent</w:t>
      </w:r>
      <w:r>
        <w:rPr>
          <w:rFonts w:ascii="Arial" w:cs="Arial" w:eastAsia="Arial" w:hAnsi="Arial"/>
          <w:sz w:val="16"/>
          <w:szCs w:val="16"/>
          <w:color w:val="auto"/>
        </w:rPr>
        <w:t>. As of the Restatement Date, Bank of America, N.A., in its individual capacity and</w:t>
      </w:r>
      <w:r>
        <w:rPr>
          <w:rFonts w:ascii="Arial" w:cs="Arial" w:eastAsia="Arial" w:hAnsi="Arial"/>
          <w:sz w:val="16"/>
          <w:szCs w:val="16"/>
          <w:i w:val="1"/>
          <w:iCs w:val="1"/>
          <w:color w:val="auto"/>
        </w:rPr>
        <w:t xml:space="preserve"> </w:t>
      </w:r>
      <w:r>
        <w:rPr>
          <w:rFonts w:ascii="Arial" w:cs="Arial" w:eastAsia="Arial" w:hAnsi="Arial"/>
          <w:sz w:val="16"/>
          <w:szCs w:val="16"/>
          <w:color w:val="auto"/>
        </w:rPr>
        <w:t>not in its capacity as Administrative Agent (with the exception of the last sentence of clause (b) below, which representation and warranty is made by Bank of America, N.A. solely in its capacity as Administrative Agent), hereby represents and warrants to each of the other parties hereto that:</w:t>
      </w:r>
    </w:p>
    <w:p>
      <w:pPr>
        <w:spacing w:after="0" w:line="147" w:lineRule="exact"/>
        <w:rPr>
          <w:sz w:val="20"/>
          <w:szCs w:val="20"/>
          <w:color w:val="auto"/>
        </w:rPr>
      </w:pPr>
    </w:p>
    <w:p>
      <w:pPr>
        <w:ind w:left="660" w:firstLine="645"/>
        <w:spacing w:after="0" w:line="277" w:lineRule="auto"/>
        <w:tabs>
          <w:tab w:leader="none" w:pos="155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Organization and Authority</w:t>
      </w:r>
      <w:r>
        <w:rPr>
          <w:rFonts w:ascii="Arial" w:cs="Arial" w:eastAsia="Arial" w:hAnsi="Arial"/>
          <w:sz w:val="18"/>
          <w:szCs w:val="18"/>
          <w:color w:val="auto"/>
        </w:rPr>
        <w:t>. It is duly organized as a national banking association under the laws of the United States of America,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corporate power and authority to enter into and perform its obligations under the Operative Documents.</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6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Authorization; Binding Effect</w:t>
      </w:r>
      <w:r>
        <w:rPr>
          <w:rFonts w:ascii="Arial" w:cs="Arial" w:eastAsia="Arial" w:hAnsi="Arial"/>
          <w:sz w:val="18"/>
          <w:szCs w:val="18"/>
          <w:color w:val="auto"/>
        </w:rPr>
        <w:t>. The Operative Documents to which Administrative Agent is or will be a party have been or will be,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required to be delivered hereby, duly authorized, executed and delivered by the Administrative Agent. This Participation Agreement is, and each such other Operative Documents is, or, when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3" w:name="page34"/>
    <w:bookmarkEnd w:id="33"/>
    <w:p>
      <w:pPr>
        <w:jc w:val="both"/>
        <w:ind w:left="660"/>
        <w:spacing w:after="0" w:line="286" w:lineRule="auto"/>
        <w:rPr>
          <w:sz w:val="20"/>
          <w:szCs w:val="20"/>
          <w:color w:val="auto"/>
        </w:rPr>
      </w:pPr>
      <w:r>
        <w:rPr>
          <w:rFonts w:ascii="Arial" w:cs="Arial" w:eastAsia="Arial" w:hAnsi="Arial"/>
          <w:sz w:val="17"/>
          <w:szCs w:val="17"/>
          <w:color w:val="auto"/>
        </w:rPr>
        <w:t>so executed and delivered by the Administrative Agent will be, valid, legal and binding obligation of the Administrative Agent, enforceable against the Administrative Agent in accordance with their respective terms, except as enforcement may be limited by bankruptcy, insolvency, reorganization, moratorium or other similar laws affecting the enforcement of creditors’ rights generally and by general principles of equity.</w:t>
      </w:r>
    </w:p>
    <w:p>
      <w:pPr>
        <w:spacing w:after="0" w:line="166" w:lineRule="exact"/>
        <w:rPr>
          <w:sz w:val="20"/>
          <w:szCs w:val="20"/>
          <w:color w:val="auto"/>
        </w:rPr>
      </w:pPr>
    </w:p>
    <w:p>
      <w:pPr>
        <w:jc w:val="both"/>
        <w:ind w:left="660" w:firstLine="645"/>
        <w:spacing w:after="0" w:line="252" w:lineRule="auto"/>
        <w:tabs>
          <w:tab w:leader="none" w:pos="155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Non-Contravention</w:t>
      </w:r>
      <w:r>
        <w:rPr>
          <w:rFonts w:ascii="Arial" w:cs="Arial" w:eastAsia="Arial" w:hAnsi="Arial"/>
          <w:sz w:val="18"/>
          <w:szCs w:val="18"/>
          <w:color w:val="auto"/>
        </w:rPr>
        <w:t>. Neither the execution and delivery by the Administrative Agent of the Operative Documents to which it is or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a party, either in its individual capacity, or as Administrative Agent, or both, nor compliance with the terms and provisions thereof, conflicts with, results in a breach of, constitutes a default under (with or without the giving of notice or lapse of time or both), or violates any of the terms, conditions or provisions of: (i) its charter documents or bylaws; (ii) any bond, debenture, note, mortgage, indenture, agreement, lease or other instrument to which it is now a party or by which it or its property, either in its individual capacity, or as Administrative Agent, or both, is bound or affected, where such conflict, breach, default or violation would be reasonably likely to materially and adversely affect the ability of the Administrative Agent, either in its individual capacity, or as Administrative Agent, or both, to perform its obligations under any Operative Document to which it is or will be a party, either in its individual capacity, or as Administrative Agent, or both; or (iii) any of the terms, conditions or provisions of any law, rule, regulation, order, injunction or decree of any Governmental Authority or any of the terms, conditions or provisions of any law, rule, regulation, order, injunction or decree of any Governmental Authority applicable to it in its individual capacity or as Administrative Agent, or both, where such conflict, breach, default or violation would be reasonably likely to materially and adversely affect the ability of the Administrative Agent, either in its individual capacity, or as Administrative Agent, or both, to perform its obligations under any Operative Document to which it is or will be a party.</w:t>
      </w:r>
    </w:p>
    <w:p>
      <w:pPr>
        <w:spacing w:after="0" w:line="199" w:lineRule="exact"/>
        <w:rPr>
          <w:rFonts w:ascii="Arial" w:cs="Arial" w:eastAsia="Arial" w:hAnsi="Arial"/>
          <w:sz w:val="18"/>
          <w:szCs w:val="18"/>
          <w:color w:val="auto"/>
        </w:rPr>
      </w:pPr>
    </w:p>
    <w:p>
      <w:pPr>
        <w:jc w:val="both"/>
        <w:ind w:left="660" w:firstLine="645"/>
        <w:spacing w:after="0" w:line="264" w:lineRule="auto"/>
        <w:tabs>
          <w:tab w:leader="none" w:pos="156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Absence of Litigation, etc</w:t>
      </w:r>
      <w:r>
        <w:rPr>
          <w:rFonts w:ascii="Arial" w:cs="Arial" w:eastAsia="Arial" w:hAnsi="Arial"/>
          <w:sz w:val="18"/>
          <w:szCs w:val="18"/>
          <w:color w:val="auto"/>
        </w:rPr>
        <w:t>. There is no litigation (including derivative actions), arbitration or governmental proceedings pending 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best knowledge of the Administrative Agent, threatened against it which would be reasonably likely to adversely affect the Administrative Agent’s ability to perform its obligations under the Operative Documents to which it is or will be a party.</w:t>
      </w:r>
    </w:p>
    <w:p>
      <w:pPr>
        <w:spacing w:after="0" w:line="181" w:lineRule="exact"/>
        <w:rPr>
          <w:rFonts w:ascii="Arial" w:cs="Arial" w:eastAsia="Arial" w:hAnsi="Arial"/>
          <w:sz w:val="18"/>
          <w:szCs w:val="18"/>
          <w:color w:val="auto"/>
        </w:rPr>
      </w:pPr>
    </w:p>
    <w:p>
      <w:pPr>
        <w:jc w:val="both"/>
        <w:ind w:left="660" w:firstLine="645"/>
        <w:spacing w:after="0" w:line="312" w:lineRule="auto"/>
        <w:tabs>
          <w:tab w:leader="none" w:pos="1553"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Governmental Actions</w:t>
      </w:r>
      <w:r>
        <w:rPr>
          <w:rFonts w:ascii="Arial" w:cs="Arial" w:eastAsia="Arial" w:hAnsi="Arial"/>
          <w:sz w:val="16"/>
          <w:szCs w:val="16"/>
          <w:color w:val="auto"/>
        </w:rPr>
        <w:t>. No action, consent or approval of, registration or filing with or any other action by any federal or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is or will be required by the Administrative Agent in connection with the Overall Transaction, except those which have been made or obtained or will be obtained on a timely basis in the ordinary course of the Administrative Agent’s business, and which are in full force and effect.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OVENANTS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ESSEE</w:t>
      </w:r>
    </w:p>
    <w:p>
      <w:pPr>
        <w:spacing w:after="0" w:line="19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Section 9.1. Affirmative Covenants of Lessee regarding Existence and Conduct of Business</w:t>
      </w:r>
      <w:r>
        <w:rPr>
          <w:rFonts w:ascii="Arial" w:cs="Arial" w:eastAsia="Arial" w:hAnsi="Arial"/>
          <w:sz w:val="18"/>
          <w:szCs w:val="18"/>
          <w:color w:val="auto"/>
        </w:rPr>
        <w:t>. Until the Lease Balance has been paid in full, the Lessee</w:t>
      </w:r>
      <w:r>
        <w:rPr>
          <w:rFonts w:ascii="Arial" w:cs="Arial" w:eastAsia="Arial" w:hAnsi="Arial"/>
          <w:sz w:val="18"/>
          <w:szCs w:val="18"/>
          <w:i w:val="1"/>
          <w:iCs w:val="1"/>
          <w:color w:val="auto"/>
        </w:rPr>
        <w:t xml:space="preserve"> </w:t>
      </w:r>
      <w:r>
        <w:rPr>
          <w:rFonts w:ascii="Arial" w:cs="Arial" w:eastAsia="Arial" w:hAnsi="Arial"/>
          <w:sz w:val="18"/>
          <w:szCs w:val="18"/>
          <w:color w:val="auto"/>
        </w:rPr>
        <w:t>shall (a) do or cause to be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t xml:space="preserve">done all things necessary to preserve, renew and keep in full force and effect its legal existence and (b) take, or cause to be taken, all reasonable actions to maintain the rights, qualifications, licenses, permits, privileges, franchises, governmental authorizations and intellectual property rights material to the conduct of the business of the Parent Guarantor and its Subsidiaries taken as a whole, except, in the case of this clause (b), to the extent that failure to do so could not reasonably be expected to result in a Material Adverse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Section 9.1 shall not prohibit any merger, consolidation, disposition, liquidation, dissolution or other transaction permitted under Section 9.2.</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Section 9.2. Negative Covenants of Lessee regarding Fundamental Changes and Asset Sales. </w:t>
      </w:r>
      <w:r>
        <w:rPr>
          <w:rFonts w:ascii="Arial" w:cs="Arial" w:eastAsia="Arial" w:hAnsi="Arial"/>
          <w:sz w:val="18"/>
          <w:szCs w:val="18"/>
          <w:color w:val="auto"/>
        </w:rPr>
        <w:t>The Lessee covenants and agrees with the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that, until the Lease Balance has been paid in full, the Lessee will not merge 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Lessee (taken as a whole) (whether now owned or hereafter acquired), or liquidate or dissolve, except that:</w:t>
      </w:r>
    </w:p>
    <w:p>
      <w:pPr>
        <w:spacing w:after="0" w:line="188" w:lineRule="exact"/>
        <w:rPr>
          <w:sz w:val="20"/>
          <w:szCs w:val="20"/>
          <w:color w:val="auto"/>
        </w:rPr>
      </w:pPr>
    </w:p>
    <w:p>
      <w:pPr>
        <w:jc w:val="both"/>
        <w:ind w:firstLine="1305"/>
        <w:spacing w:after="0" w:line="264" w:lineRule="auto"/>
        <w:tabs>
          <w:tab w:leader="none" w:pos="15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any Person (other than the Parent Guarantor or any of its Subsidiaries) may merge or consolidate with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merger or consolidation must result in the Lessee as the surviving entity (unless in connection therewith an Affiliate Transferee becomes the Lessee pursuant to Article VI of the Lease);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5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Parent Guarantor or any of its Subsidiaries may merge or consolidate with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merger or consolidation must result in the Lessee as the surviving entity (unless in connection therewith an Affiliate Transferee becomes the Lessee pursuant to Article VI of the Lease);</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15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Lessee may enter into, terminate or modify leases, subleases, licenses and sublicenses of technology and other property (1) in the ordinary course of business (to the extent not prohibited by the Lease), (2) between or among the Parent Guarantor, the Lessee, any Subsidiary Guarantors and any of their Subsidiaries (or any combination thereof) (to the extent not prohibited by the Lease), or (3) as permitted by Article VI of the Lease;</w:t>
      </w:r>
    </w:p>
    <w:p>
      <w:pPr>
        <w:spacing w:after="0" w:line="146" w:lineRule="exact"/>
        <w:rPr>
          <w:rFonts w:ascii="Arial" w:cs="Arial" w:eastAsia="Arial" w:hAnsi="Arial"/>
          <w:sz w:val="16"/>
          <w:szCs w:val="16"/>
          <w:color w:val="auto"/>
        </w:rPr>
      </w:pPr>
    </w:p>
    <w:p>
      <w:pPr>
        <w:ind w:left="1560" w:hanging="255"/>
        <w:spacing w:after="0"/>
        <w:tabs>
          <w:tab w:leader="none" w:pos="1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Lessee may create, incur, assume or permit to exist Liens permitted under Section 9(b) of the Guaranty;</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5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any rights, title or interest of the Lessee in the Collateral and the Purchase Agreement, leases, subleases, assignments and other transfers pursuant to or permitted by any of the Operative Documents, including (i) the assignment of some or all of the rights under the Purchase Agreement (including the right to take title to the Facility) pursuant to the Assignment of Purchase Agreement and (ii) the assignment or other transfer by the Lessee to Parent Guarantor or a directly or indirectly wholly-owned Domestic Subsidiary of Parent Guarantor as an Affiliate Transferee pursuant to Article VI of the Lease; and</w:t>
      </w:r>
    </w:p>
    <w:p>
      <w:pPr>
        <w:spacing w:after="0" w:line="188" w:lineRule="exact"/>
        <w:rPr>
          <w:rFonts w:ascii="Arial" w:cs="Arial" w:eastAsia="Arial" w:hAnsi="Arial"/>
          <w:sz w:val="18"/>
          <w:szCs w:val="18"/>
          <w:color w:val="auto"/>
        </w:rPr>
      </w:pPr>
    </w:p>
    <w:p>
      <w:pPr>
        <w:ind w:left="1520" w:hanging="215"/>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transactions permitted by Section 9(c)(J) of the Guaranty.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OVENANTS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GREEMENTS</w:t>
      </w:r>
    </w:p>
    <w:p>
      <w:pPr>
        <w:spacing w:after="0" w:line="19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i w:val="1"/>
          <w:iCs w:val="1"/>
          <w:color w:val="auto"/>
        </w:rPr>
        <w:t>Section 10.1. Covenants of the Administrative Agent and the Participants</w:t>
      </w:r>
      <w:r>
        <w:rPr>
          <w:rFonts w:ascii="Arial" w:cs="Arial" w:eastAsia="Arial" w:hAnsi="Arial"/>
          <w:sz w:val="17"/>
          <w:szCs w:val="17"/>
          <w:color w:val="auto"/>
        </w:rPr>
        <w:t>. (a)</w:t>
      </w:r>
      <w:r>
        <w:rPr>
          <w:rFonts w:ascii="Arial" w:cs="Arial" w:eastAsia="Arial" w:hAnsi="Arial"/>
          <w:sz w:val="17"/>
          <w:szCs w:val="17"/>
          <w:i w:val="1"/>
          <w:iCs w:val="1"/>
          <w:color w:val="auto"/>
        </w:rPr>
        <w:t xml:space="preserve"> Lessor Liens. </w:t>
      </w:r>
      <w:r>
        <w:rPr>
          <w:rFonts w:ascii="Arial" w:cs="Arial" w:eastAsia="Arial" w:hAnsi="Arial"/>
          <w:sz w:val="17"/>
          <w:szCs w:val="17"/>
          <w:color w:val="auto"/>
        </w:rPr>
        <w:t>Each of the Participants (severally and not jointly with 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 Participants), the Administrative Agent and Lessor hereby agrees that so long as this Participation Agreement is in effect it:</w:t>
      </w:r>
    </w:p>
    <w:p>
      <w:pPr>
        <w:spacing w:after="0" w:line="147" w:lineRule="exact"/>
        <w:rPr>
          <w:sz w:val="20"/>
          <w:szCs w:val="20"/>
          <w:color w:val="auto"/>
        </w:rPr>
      </w:pPr>
    </w:p>
    <w:p>
      <w:pPr>
        <w:ind w:left="660" w:firstLine="645"/>
        <w:spacing w:after="0" w:line="277" w:lineRule="auto"/>
        <w:tabs>
          <w:tab w:leader="none" w:pos="1524" w:val="left"/>
        </w:tabs>
        <w:numPr>
          <w:ilvl w:val="1"/>
          <w:numId w:val="36"/>
        </w:numPr>
        <w:rPr>
          <w:rFonts w:ascii="Arial" w:cs="Arial" w:eastAsia="Arial" w:hAnsi="Arial"/>
          <w:sz w:val="18"/>
          <w:szCs w:val="18"/>
          <w:color w:val="auto"/>
        </w:rPr>
      </w:pPr>
      <w:r>
        <w:rPr>
          <w:rFonts w:ascii="Arial" w:cs="Arial" w:eastAsia="Arial" w:hAnsi="Arial"/>
          <w:sz w:val="18"/>
          <w:szCs w:val="18"/>
          <w:color w:val="auto"/>
        </w:rPr>
        <w:t>will not create, incur, assume or suffer to exist a Lessor Lien attributable to it upon the Lease, the Leased Property or any other Collateral (other than as contemplated by any of the Operative Documents); and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will remove such Lessor Lien created or incurred by it and use its best efforts to remove Lessor Lien attributable to it assumed or suffered to exist by it upon the Lease, the Leased Property or any other Collateral (other than the Liens of the Security Instruments and such other Liens as are contemplated by any of the Operative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action taken pursuant to this clause (ii) shall not limit the Lessee’s rights or remedies under any of the Operative Documents.</w:t>
      </w:r>
    </w:p>
    <w:p>
      <w:pPr>
        <w:spacing w:after="0" w:line="186" w:lineRule="exact"/>
        <w:rPr>
          <w:rFonts w:ascii="Arial" w:cs="Arial" w:eastAsia="Arial" w:hAnsi="Arial"/>
          <w:sz w:val="18"/>
          <w:szCs w:val="18"/>
          <w:color w:val="auto"/>
        </w:rPr>
      </w:pPr>
    </w:p>
    <w:p>
      <w:pPr>
        <w:jc w:val="both"/>
        <w:ind w:firstLine="656"/>
        <w:spacing w:after="0" w:line="273" w:lineRule="auto"/>
        <w:tabs>
          <w:tab w:leader="none" w:pos="916"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Loan Agreement</w:t>
      </w:r>
      <w:r>
        <w:rPr>
          <w:rFonts w:ascii="Arial" w:cs="Arial" w:eastAsia="Arial" w:hAnsi="Arial"/>
          <w:sz w:val="17"/>
          <w:szCs w:val="17"/>
          <w:color w:val="auto"/>
        </w:rPr>
        <w:t>. Lessor and each Participant hereby agree that, so long as the Lease is in effect, Lessor shall not consent to or permit any</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waiver or other modification of the terms and provisions of the Loan Agreement, any Security Instrument or any Note, whether or not any Event of Default shall have occurred and be continuing, if any such amendment, waiver, modification or action would have the effect of increasing the obligations of Lessee or any Guarantor or decreasing or otherwise adversely affecting the rights or remedies of Lessee or any Guarantor, in each case without the prior written consent of Lessee or such Guarantor, as applicable, except that without such consent, Lessor may waive performance by Administrative Agent of obligations to Lessor, the non-performance of which does not adversely affect Lessee or any Guarantor.</w:t>
      </w:r>
    </w:p>
    <w:p>
      <w:pPr>
        <w:spacing w:after="0" w:line="178" w:lineRule="exact"/>
        <w:rPr>
          <w:rFonts w:ascii="Arial" w:cs="Arial" w:eastAsia="Arial" w:hAnsi="Arial"/>
          <w:sz w:val="17"/>
          <w:szCs w:val="17"/>
          <w:color w:val="auto"/>
        </w:rPr>
      </w:pPr>
    </w:p>
    <w:p>
      <w:pPr>
        <w:ind w:firstLine="656"/>
        <w:spacing w:after="0" w:line="277" w:lineRule="auto"/>
        <w:tabs>
          <w:tab w:leader="none" w:pos="89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Acceptance of Provisions of Lease</w:t>
      </w:r>
      <w:r>
        <w:rPr>
          <w:rFonts w:ascii="Arial" w:cs="Arial" w:eastAsia="Arial" w:hAnsi="Arial"/>
          <w:sz w:val="18"/>
          <w:szCs w:val="18"/>
          <w:color w:val="auto"/>
        </w:rPr>
        <w:t>. The Participants and the Administrative Agent hereby acknowledge and accept the terms and conditions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Lease, including Sections 15.2, 19.1, 19.2 and 20.1 of the Lease.</w:t>
      </w:r>
    </w:p>
    <w:p>
      <w:pPr>
        <w:spacing w:after="0" w:line="170" w:lineRule="exact"/>
        <w:rPr>
          <w:rFonts w:ascii="Arial" w:cs="Arial" w:eastAsia="Arial" w:hAnsi="Arial"/>
          <w:sz w:val="18"/>
          <w:szCs w:val="18"/>
          <w:color w:val="auto"/>
        </w:rPr>
      </w:pPr>
    </w:p>
    <w:p>
      <w:pPr>
        <w:jc w:val="both"/>
        <w:ind w:firstLine="656"/>
        <w:spacing w:after="0" w:line="254" w:lineRule="auto"/>
        <w:tabs>
          <w:tab w:leader="none" w:pos="90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Depreciation</w:t>
      </w:r>
      <w:r>
        <w:rPr>
          <w:rFonts w:ascii="Arial" w:cs="Arial" w:eastAsia="Arial" w:hAnsi="Arial"/>
          <w:sz w:val="18"/>
          <w:szCs w:val="18"/>
          <w:color w:val="auto"/>
        </w:rPr>
        <w:t>. With respect to each taxable year or portion thereof that includes the Original Closing Date or that ends thereafter on or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Expiration Date except following an Event of Default and foreclosure, Lessor and each other Participant agrees that it shall not claim any federal, state or local tax attributes or benefits (including depreciation) relating to the Leased Property or otherwise claim ownership of the Leased Property for federal, state or local tax purposes unless required to do so by an appropriate taxing authority or after a clearly applicable change in Applicable Laws or as a protective response to a proposed adjustment by a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Lessor or any Participant claims or intends to claim any such federal, state or local tax attributes or benefits or if it proposes to claim any such federal, state or local tax attributes or benefits as a protective response, such Person shall promptly notify Lessee thereof and shall permit Lessee to contest such requirement in a manner similar to the contest rights provided in, and subject to any applicable limitation to a contest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contained in, Section 13.4(b).</w:t>
      </w:r>
    </w:p>
    <w:p>
      <w:pPr>
        <w:spacing w:after="0" w:line="225" w:lineRule="exact"/>
        <w:rPr>
          <w:sz w:val="20"/>
          <w:szCs w:val="20"/>
          <w:color w:val="auto"/>
        </w:rPr>
      </w:pPr>
    </w:p>
    <w:p>
      <w:pPr>
        <w:jc w:val="both"/>
        <w:ind w:firstLine="656"/>
        <w:spacing w:after="0" w:line="272" w:lineRule="auto"/>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Right of Set-Off</w:t>
      </w:r>
      <w:r>
        <w:rPr>
          <w:rFonts w:ascii="Arial" w:cs="Arial" w:eastAsia="Arial" w:hAnsi="Arial"/>
          <w:sz w:val="17"/>
          <w:szCs w:val="17"/>
          <w:color w:val="auto"/>
        </w:rPr>
        <w:t>. Each of the Participants, the Lessor and the Administrative Agent, in its individual capacity, and each of Lessee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Guarantors covenants as to itself, not jointly with any other Person, that it shall not exercise, or attempt to exercise, any right of setoff, banker’s lien, or the like, against any deposit account or property of any Guarantor or Lessee, or any of their Affiliates held or maintained by such Person without the prior written consent of the Administrative Agent, which shall base its decision to grant such consent solely upon a determination, upon the advice of the Administrative Agent’s counsel, that such exercise shall not adversely affect the right of any other Participant to resort to any other right or remedy as a result of the application of state law relating to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any Operative Document, no such rights shall be exercised unless an Event of Default has occurred and is continuing.</w:t>
      </w:r>
    </w:p>
    <w:p>
      <w:pPr>
        <w:spacing w:after="0" w:line="177" w:lineRule="exact"/>
        <w:rPr>
          <w:rFonts w:ascii="Arial" w:cs="Arial" w:eastAsia="Arial" w:hAnsi="Arial"/>
          <w:sz w:val="17"/>
          <w:szCs w:val="17"/>
          <w:color w:val="auto"/>
        </w:rPr>
      </w:pPr>
    </w:p>
    <w:p>
      <w:pPr>
        <w:jc w:val="both"/>
        <w:ind w:firstLine="656"/>
        <w:spacing w:after="0" w:line="257" w:lineRule="auto"/>
        <w:tabs>
          <w:tab w:leader="none" w:pos="887"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Release of Documents</w:t>
      </w:r>
      <w:r>
        <w:rPr>
          <w:rFonts w:ascii="Arial" w:cs="Arial" w:eastAsia="Arial" w:hAnsi="Arial"/>
          <w:sz w:val="18"/>
          <w:szCs w:val="18"/>
          <w:color w:val="auto"/>
        </w:rPr>
        <w:t>. The Administrative Agent hereby agrees that, upon repayment in full of all Loans and Lessor Amount and all other</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due and owing from Lessee under the Operative Documents to Administrative Agent and the Participants, the Administrative Agent shall, at Lessee’s sole cost and expense, execute and deliver to the Lessee a bill of sale, release of any Security Instrument, releases of all other Liens created by the Operative Documents and termination statements for any financing statements relating to the Leased Property or any of the Collateral which are then of record naming the Administrative Agent as secured party or assignee thereof.</w:t>
      </w:r>
    </w:p>
    <w:p>
      <w:pPr>
        <w:spacing w:after="0" w:line="188" w:lineRule="exact"/>
        <w:rPr>
          <w:rFonts w:ascii="Arial" w:cs="Arial" w:eastAsia="Arial" w:hAnsi="Arial"/>
          <w:sz w:val="18"/>
          <w:szCs w:val="18"/>
          <w:color w:val="auto"/>
        </w:rPr>
      </w:pPr>
    </w:p>
    <w:p>
      <w:pPr>
        <w:jc w:val="both"/>
        <w:ind w:firstLine="656"/>
        <w:spacing w:after="0" w:line="264" w:lineRule="auto"/>
        <w:tabs>
          <w:tab w:leader="none" w:pos="90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Release of Liens</w:t>
      </w:r>
      <w:r>
        <w:rPr>
          <w:rFonts w:ascii="Arial" w:cs="Arial" w:eastAsia="Arial" w:hAnsi="Arial"/>
          <w:sz w:val="18"/>
          <w:szCs w:val="18"/>
          <w:color w:val="auto"/>
        </w:rPr>
        <w:t>. Administrative Agent hereby agrees with Lessee (so long as no Event of Default shall have occurred and be continuing), the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and Administrative Agent, except as otherwise expressly authorized or otherwise permitted under any of the Operative Documents, not to release the Lien of any of the Security Instruments on the Collateral.</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Specified Tax Abatement Documents</w:t>
      </w:r>
      <w:r>
        <w:rPr>
          <w:rFonts w:ascii="Arial" w:cs="Arial" w:eastAsia="Arial" w:hAnsi="Arial"/>
          <w:sz w:val="18"/>
          <w:szCs w:val="18"/>
          <w:color w:val="auto"/>
        </w:rPr>
        <w:t>. Subject to Section 8.3 of the Lease, the Administrative Agent and the Participants shall cooperate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Lessee in connection with any existing or proposed Specified Tax Abatement Transaction and shall execute and deliver any Specified Tax Abatement Document as may be requested by Lessee from time to time.</w:t>
      </w:r>
    </w:p>
    <w:p>
      <w:pPr>
        <w:spacing w:after="0" w:line="181" w:lineRule="exact"/>
        <w:rPr>
          <w:rFonts w:ascii="Arial" w:cs="Arial" w:eastAsia="Arial" w:hAnsi="Arial"/>
          <w:sz w:val="18"/>
          <w:szCs w:val="18"/>
          <w:color w:val="auto"/>
        </w:rPr>
      </w:pPr>
    </w:p>
    <w:p>
      <w:pPr>
        <w:jc w:val="both"/>
        <w:ind w:firstLine="656"/>
        <w:spacing w:after="0" w:line="312" w:lineRule="auto"/>
        <w:tabs>
          <w:tab w:leader="none" w:pos="877"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Requested Information</w:t>
      </w:r>
      <w:r>
        <w:rPr>
          <w:rFonts w:ascii="Arial" w:cs="Arial" w:eastAsia="Arial" w:hAnsi="Arial"/>
          <w:sz w:val="16"/>
          <w:szCs w:val="16"/>
          <w:color w:val="auto"/>
        </w:rPr>
        <w:t>. From time to time at Lessee’s written request, Lessor shall provide (subject to Section 15.25) Lessee with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to the information provided by Lessor to Lessee on or before the Original Closing Date with respect to ownership and control of the Lessor, in any such case, to the extent requested for accounting purposes in connection with the Operative Documents and transactions contemplated hereby and thereby.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ESSEE</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 OF</w:t>
      </w:r>
      <w:r>
        <w:rPr>
          <w:rFonts w:ascii="Arial" w:cs="Arial" w:eastAsia="Arial" w:hAnsi="Arial"/>
          <w:sz w:val="22"/>
          <w:szCs w:val="22"/>
          <w:b w:val="1"/>
          <w:bCs w:val="1"/>
          <w:color w:val="auto"/>
        </w:rPr>
        <w:t xml:space="preserve"> Q</w:t>
      </w:r>
      <w:r>
        <w:rPr>
          <w:rFonts w:ascii="Arial" w:cs="Arial" w:eastAsia="Arial" w:hAnsi="Arial"/>
          <w:sz w:val="14"/>
          <w:szCs w:val="14"/>
          <w:b w:val="1"/>
          <w:bCs w:val="1"/>
          <w:color w:val="auto"/>
        </w:rPr>
        <w:t>UIET</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NJOYMENT</w:t>
      </w:r>
    </w:p>
    <w:p>
      <w:pPr>
        <w:spacing w:after="0" w:line="195" w:lineRule="exact"/>
        <w:rPr>
          <w:sz w:val="20"/>
          <w:szCs w:val="20"/>
          <w:color w:val="auto"/>
        </w:rPr>
      </w:pPr>
    </w:p>
    <w:p>
      <w:pPr>
        <w:ind w:right="1100"/>
        <w:spacing w:after="0" w:line="342" w:lineRule="auto"/>
        <w:rPr>
          <w:sz w:val="20"/>
          <w:szCs w:val="20"/>
          <w:color w:val="auto"/>
        </w:rPr>
      </w:pPr>
      <w:r>
        <w:rPr>
          <w:rFonts w:ascii="Arial" w:cs="Arial" w:eastAsia="Arial" w:hAnsi="Arial"/>
          <w:sz w:val="16"/>
          <w:szCs w:val="16"/>
          <w:color w:val="auto"/>
        </w:rPr>
        <w:t>Notwithstanding anything contained herein to the contrary, the provisions of Section 4.1 of the Lease shall be applicable to the Participants and Administrative Agent under this Participation Agreement and each Participant and Administrative Agent hereby agrees to be bound by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provisions of such Section 4.1 of the Lease and to recognize the Lessee’s rights to purchase the Leased Property as set forth in the Lease.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RANSFERS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ARTICIPANTS</w:t>
      </w:r>
      <w:r>
        <w:rPr>
          <w:rFonts w:ascii="Arial" w:cs="Arial" w:eastAsia="Arial" w:hAnsi="Arial"/>
          <w:sz w:val="22"/>
          <w:szCs w:val="22"/>
          <w:b w:val="1"/>
          <w:bCs w:val="1"/>
          <w:color w:val="auto"/>
        </w:rPr>
        <w:t>’ I</w:t>
      </w:r>
      <w:r>
        <w:rPr>
          <w:rFonts w:ascii="Arial" w:cs="Arial" w:eastAsia="Arial" w:hAnsi="Arial"/>
          <w:sz w:val="14"/>
          <w:szCs w:val="14"/>
          <w:b w:val="1"/>
          <w:bCs w:val="1"/>
          <w:color w:val="auto"/>
        </w:rPr>
        <w:t>NTERESTS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12.1. Assignments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8" w:lineRule="auto"/>
        <w:tabs>
          <w:tab w:leader="none" w:pos="898"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All or any part of the interest of any Lender in, to or under this Participation Agreement, the other Operative Documents, the Leased Property or the Notes may be assigned or transferred by such Lender at any time to any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each such assignment shall be of a constant, and not a varying, percentage of all such rights and obligations under the Loan Agreement (if applicable to such Lender); (ii) unless both parties to the assignment are Participants immediately prior to giving effect to the assignment, the amount of the Loan Balance of the assigning Lender being assigned pursuant to each such assignment shall not be less than $5,000,000.00 (or if less, the entire amount of such Lender’s Loan Balance) and shall be an integral multiple of $5,000,000.00 (or the entire amount of such Lender’s Loan Balance), (iii) each such assignment shall be to an Eligible Assignee, (iv) the Lessor shall have received from the assignee/transferee or the assignor/transferor of a transfer fee in the amount of $1,000.00; (v) each assignee or transferee shall have complied, as of the date of the transfer, with the delivery requirements of Section 12.3(a); (vi) each assignee or transferee shall (A) acknowledge in writing, addressed and delivered to each of the parties to this Participation Agreement, that the obligations to be performed by the assignor or transferor from and after the date of such transfer or assignment under this Participation Agreement and all other Operative Documents are its obligations, including the obligations imposed by this Section 12.1(a), the transferor and transferee Lender shall deliver to the Lessee, the Guarantors, the Administrative Agent and the Lessor an Assignment Agreement, each executed by the assignee or transferee and (B) represent and warrant to Lessor, the Guarantors, the Administrative Agent, each other Participant and the Lessee in writing each of the representations and warranties as set forth in Section 8.1 and that it has the requisite power and authority to accept such assignment or transfer and engage in the Overall Transaction; and (vii) to the extent required in the definition of “Eligible Assignee”, Lessee shall have provided its written consent (not to be unreasonably withheld or delayed) which consent shall not be required during the existence of an Event of Default.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transfer or assignment made in violation of the above requirements shall not be effective against the other parties to this Participation Agreement until such requirements are satisfied. Lessee shall not be responsible for any costs or expenses in connection with any such sale, assignment or other transfer.</w:t>
      </w:r>
    </w:p>
    <w:p>
      <w:pPr>
        <w:spacing w:after="0" w:line="181" w:lineRule="exact"/>
        <w:rPr>
          <w:sz w:val="20"/>
          <w:szCs w:val="20"/>
          <w:color w:val="auto"/>
        </w:rPr>
      </w:pPr>
    </w:p>
    <w:p>
      <w:pPr>
        <w:jc w:val="both"/>
        <w:ind w:firstLine="656"/>
        <w:spacing w:after="0" w:line="259" w:lineRule="auto"/>
        <w:tabs>
          <w:tab w:leader="none" w:pos="914"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All or any part of the Lessor Amount and the corresponding interests of the Lessor in, to or under the Leased Property and the other Collateral may be assigned or transferred by the Lessor at any time to any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Lessor shall give written notice of such assignment and the name of the assignee to Lessee; (ii) the assignee or transferee shall be an Eligible Assignee and have complied, as of the date of the transfer, with the delivery requirements of Section 12.3(a); (iii) the assignee or transferee shall (A) acknowledge in writing,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8" w:name="page39"/>
    <w:bookmarkEnd w:id="38"/>
    <w:p>
      <w:pPr>
        <w:jc w:val="both"/>
        <w:spacing w:after="0" w:line="270" w:lineRule="auto"/>
        <w:rPr>
          <w:sz w:val="20"/>
          <w:szCs w:val="20"/>
          <w:color w:val="auto"/>
        </w:rPr>
      </w:pPr>
      <w:r>
        <w:rPr>
          <w:rFonts w:ascii="Arial" w:cs="Arial" w:eastAsia="Arial" w:hAnsi="Arial"/>
          <w:sz w:val="17"/>
          <w:szCs w:val="17"/>
          <w:color w:val="auto"/>
        </w:rPr>
        <w:t>addressed and delivered to each of the parties to this Participation Agreement, that the obligations to be performed by the assignor or transferor from and after the date of such transfer or assignment under this Participation Agreement and all other Operative Documents are its obligations, including the obligations imposed by this Section 12.1(b), the transferor and transferee shall deliver to the Lessee, the Guarantors, the Administrative Agent and the Lessor an Assignment Agreement, each executed by the assignee or transferee) and (B) represent and warrant to Lessor, the Guarantors, Administrative Agent and the Lessee in writing each of the representations and warranties as set forth in Section 8.1 and that it has the requisite power and authority to accept such assignment or transfer and to engage in the Overall Transaction; (iv) to the extent required in the definition of “Eligible Assignee”, Lessee shall have provided its written consent (not to be unreasonably withheld or delayed) which consent shall not be required during the existence of an Event of Default; and (v) unless the assignee to the assignment is a Lessor immediately prior to giving effect to the assignment, the amount of the Lessor Amount being assigned pursuant to such assignment shall not be less than $25,000,000.00 (or if less, the entire amount of the Lessor Amount) and shall be an integral multiple of $5,000,000.00 (or the Lessor Amount).</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Notwithstanding anything contained in the foregoing to the contrary, so long as no Event of Default exists, such assignment shall not be made if (1) in the reasonable opinion of Lessee, such assignment would cause Lessee to lose or fail to achieve any accounting benefits in connection with the Lease and</w:t>
      </w:r>
    </w:p>
    <w:p>
      <w:pPr>
        <w:jc w:val="both"/>
        <w:ind w:firstLine="8"/>
        <w:spacing w:after="0" w:line="287" w:lineRule="auto"/>
        <w:tabs>
          <w:tab w:leader="none" w:pos="2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Lessee provides the Administrative Agent and the Lessor written notice of such determination within ten (10) Business Days of (A) Lessee’s receipt of the notice described in clause (i) of the immediately preceding paragraph and (B) Lessee’s receipt of all information needed regarding the proposed assignee as may be reasonably requested by Lessee or Lessee’s independent public accountants, which request shall be made within ten (10) Business Days after Lessee’s receipt of the notice described in clause (i) of the immediately preceding paragraph. In the event Lessee has objected in writing to the proposed assignee above, Lessee hereby agrees to use commercially reasonably efforts to cooperate with Lessor to restructure the proposed assignment or with Lessor’s efforts to find a replacement assignee which shall be an Eligible Assignee and which shall comply with the terms and conditions set forth above and to which Lessee shall not have objected in writing pursuant to the terms hereof. The parties hereto and any such assignee will execute such documents and make such filings and recordings as are reasonably requested by the Lessor or the Administrative Agent to maintain the interests of the parties, preserve, protect and perfect the interest of Administrative Agent and Lessor in the Leased Property and other Collateral.</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transfer or assignment made in violation of the above requirements shall not be effective against the other parties to this Participation Agreement until such requirements are satisfied.</w:t>
      </w:r>
    </w:p>
    <w:p>
      <w:pPr>
        <w:spacing w:after="0" w:line="170" w:lineRule="exact"/>
        <w:rPr>
          <w:sz w:val="20"/>
          <w:szCs w:val="20"/>
          <w:color w:val="auto"/>
        </w:rPr>
      </w:pPr>
    </w:p>
    <w:p>
      <w:pPr>
        <w:jc w:val="both"/>
        <w:ind w:firstLine="656"/>
        <w:spacing w:after="0" w:line="259" w:lineRule="auto"/>
        <w:tabs>
          <w:tab w:leader="none" w:pos="8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Administrative Agent, acting solely for this purpose as an agent of the Lessee, shall maintain at one of its offices a copy of each Assignment Agreement delivered to it and a register for the recordation of the names and addresses of the Participants, and the Commitments of, and principal amounts (and stated interest) of the amounts owing to, each Participant pursuant to the terms hereof from time to time under this Participation Agreement or the other Operative Documents and the Collateral (including, without limitation, all or portion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the Rent owing to it) (the “</w:t>
      </w:r>
      <w:r>
        <w:rPr>
          <w:rFonts w:ascii="Arial" w:cs="Arial" w:eastAsia="Arial" w:hAnsi="Arial"/>
          <w:sz w:val="18"/>
          <w:szCs w:val="18"/>
          <w:i w:val="1"/>
          <w:iCs w:val="1"/>
          <w:color w:val="auto"/>
        </w:rPr>
        <w:t>Register</w:t>
      </w:r>
      <w:r>
        <w:rPr>
          <w:rFonts w:ascii="Arial" w:cs="Arial" w:eastAsia="Arial" w:hAnsi="Arial"/>
          <w:sz w:val="18"/>
          <w:szCs w:val="18"/>
          <w:color w:val="auto"/>
        </w:rPr>
        <w:t>”). The entries in the Register shall be conclusive absent manifest error, and the Lessee, the Administrative Agent and the Participants shall treat each Person whose name is recorded in the Register pursuant to the terms hereof as a Participant hereunder for all purposes of this Participation Agreement and the other Operative Documents. The Register shall be available for inspection by the Lessee and any Participant, at any reasonable time and from time to time upon reasonable prior notice.</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12.2. Participations</w:t>
      </w:r>
      <w:r>
        <w:rPr>
          <w:rFonts w:ascii="Arial" w:cs="Arial" w:eastAsia="Arial" w:hAnsi="Arial"/>
          <w:sz w:val="18"/>
          <w:szCs w:val="18"/>
          <w:color w:val="auto"/>
        </w:rPr>
        <w:t>. Notwithstanding Section 12.1, any Participant may at any time sell to one or more commercial banks or other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such commercial banks and other Persons being herein called a “</w:t>
      </w:r>
      <w:r>
        <w:rPr>
          <w:rFonts w:ascii="Arial" w:cs="Arial" w:eastAsia="Arial" w:hAnsi="Arial"/>
          <w:sz w:val="18"/>
          <w:szCs w:val="18"/>
          <w:i w:val="1"/>
          <w:iCs w:val="1"/>
          <w:color w:val="auto"/>
        </w:rPr>
        <w:t>Sub-Participant</w:t>
      </w:r>
      <w:r>
        <w:rPr>
          <w:rFonts w:ascii="Arial" w:cs="Arial" w:eastAsia="Arial" w:hAnsi="Arial"/>
          <w:sz w:val="18"/>
          <w:szCs w:val="18"/>
          <w:color w:val="auto"/>
        </w:rPr>
        <w:t xml:space="preserve">”) participating interests in all or a portion of its rights and obligations under this Participation Agreement or the other Operative Documents and the Collateral (including, without limitation, all or portion of the Rent owing to it) without the prior consent of the Lessee or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87" w:lineRule="exact"/>
        <w:rPr>
          <w:sz w:val="20"/>
          <w:szCs w:val="20"/>
          <w:color w:val="auto"/>
        </w:rPr>
      </w:pPr>
    </w:p>
    <w:p>
      <w:pPr>
        <w:ind w:left="660" w:right="20" w:firstLine="645"/>
        <w:spacing w:after="0" w:line="277" w:lineRule="auto"/>
        <w:tabs>
          <w:tab w:leader="none" w:pos="15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participation contemplated in this Section 12.2 shall relieve such Participant from its obligations hereunder or under any other Operative Document;</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567"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Participant shall remain solely responsible for the performance of its Commitment and such other obligations hereunder and under any Operative Documents;</w:t>
      </w:r>
    </w:p>
    <w:p>
      <w:pPr>
        <w:spacing w:after="0" w:line="170" w:lineRule="exact"/>
        <w:rPr>
          <w:rFonts w:ascii="Arial" w:cs="Arial" w:eastAsia="Arial" w:hAnsi="Arial"/>
          <w:sz w:val="18"/>
          <w:szCs w:val="18"/>
          <w:color w:val="auto"/>
        </w:rPr>
      </w:pPr>
    </w:p>
    <w:p>
      <w:pPr>
        <w:ind w:left="660" w:firstLine="645"/>
        <w:spacing w:after="0" w:line="308" w:lineRule="auto"/>
        <w:tabs>
          <w:tab w:leader="none" w:pos="1557"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Lessee, Lessor and the Administrative Agent shall continue to deal solely and directly with such Participant in connection with such Participant’s rights and obligations under this Participation Agreement and each of the other Operative Documents;</w:t>
      </w:r>
    </w:p>
    <w:p>
      <w:pPr>
        <w:spacing w:after="0" w:line="146" w:lineRule="exact"/>
        <w:rPr>
          <w:rFonts w:ascii="Arial" w:cs="Arial" w:eastAsia="Arial" w:hAnsi="Arial"/>
          <w:sz w:val="17"/>
          <w:szCs w:val="17"/>
          <w:color w:val="auto"/>
        </w:rPr>
      </w:pPr>
    </w:p>
    <w:p>
      <w:pPr>
        <w:ind w:left="660" w:firstLine="645"/>
        <w:spacing w:after="0" w:line="277" w:lineRule="auto"/>
        <w:tabs>
          <w:tab w:leader="none" w:pos="15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Sub-Participant shall be entitled to require such Lender to take or refrain from taking any action hereunder or under any other Operative Document, except for matters requiring consent of all Participants or, as applicable, all Lenders; and</w:t>
      </w:r>
    </w:p>
    <w:p>
      <w:pPr>
        <w:spacing w:after="0" w:line="170" w:lineRule="exact"/>
        <w:rPr>
          <w:rFonts w:ascii="Arial" w:cs="Arial" w:eastAsia="Arial" w:hAnsi="Arial"/>
          <w:sz w:val="18"/>
          <w:szCs w:val="18"/>
          <w:color w:val="auto"/>
        </w:rPr>
      </w:pPr>
    </w:p>
    <w:p>
      <w:pPr>
        <w:ind w:left="660" w:firstLine="645"/>
        <w:spacing w:after="0" w:line="277" w:lineRule="auto"/>
        <w:tabs>
          <w:tab w:leader="none" w:pos="15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Lessee shall not be required to pay any amount under this Participation Agreement that is greater than the amount which it would have been required to pay had no participating interest been sold.</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Participant that sells a participation shall, acting solely for this purpose as a non-fiduciary agent of the Lessee, maintain a register on which it enters the name and address of each Sub-Participant and the principal amounts (and stated interest) of each Sub-Participant’s interest in this Participation Agreement or the other Operative Documents and the Collateral (including, without limitation, all or portion of the Rent owing to it) (the “</w:t>
      </w:r>
      <w:r>
        <w:rPr>
          <w:rFonts w:ascii="Arial" w:cs="Arial" w:eastAsia="Arial" w:hAnsi="Arial"/>
          <w:sz w:val="16"/>
          <w:szCs w:val="16"/>
          <w:i w:val="1"/>
          <w:iCs w:val="1"/>
          <w:color w:val="auto"/>
        </w:rPr>
        <w:t>Sub-Participant Register</w:t>
      </w:r>
      <w:r>
        <w:rPr>
          <w:rFonts w:ascii="Arial" w:cs="Arial" w:eastAsia="Arial" w:hAnsi="Arial"/>
          <w:sz w:val="16"/>
          <w:szCs w:val="16"/>
          <w:color w:val="auto"/>
        </w:rPr>
        <w:t>”); provided that no Participant shall have any obligation to disclose all or any portion of the Sub-Participant Register (including the identity of any Sub-Participant or any information relating to a Participant’s interest in any commitments, loans, letters of credit or its other obligations under this Participation Agreement or the other Operative Documents and the Collateral (including, without limitation, all or portion of the Rent owing to it)) to any Person except to the extent that such disclosure is necessary to establish that such interest is in registered form under Section 5f.103-1(c) of the United States Treasury Regulations. The entries in the Sub-Participant Register shall be conclusive absent manifest error, and such Participant shall treat each Person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whose name is recorded in the Sub-Participant Register as the owner of such participation for all purposes of this Participation Agreement and the other Operative Documents notwithstanding any notice to the contrary. For the avoidance of doubt, the Administrative Agent (in its capacity as Administrative Agent) shall have no responsibility for maintaining a Sub-Participant Register.</w:t>
      </w:r>
    </w:p>
    <w:p>
      <w:pPr>
        <w:spacing w:after="0" w:line="18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Section 12.3. Withholding Taxes; Disclosure of Information; Pledge Under Regulation A</w:t>
      </w:r>
      <w:r>
        <w:rPr>
          <w:rFonts w:ascii="Arial" w:cs="Arial" w:eastAsia="Arial" w:hAnsi="Arial"/>
          <w:sz w:val="16"/>
          <w:szCs w:val="16"/>
          <w:color w:val="auto"/>
        </w:rPr>
        <w:t>. (a) If any Participant and any assignee or, or Sub-Participant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in, any Note or Lessor Amount (each such assignee or participant, a “</w:t>
      </w:r>
      <w:r>
        <w:rPr>
          <w:rFonts w:ascii="Arial" w:cs="Arial" w:eastAsia="Arial" w:hAnsi="Arial"/>
          <w:sz w:val="16"/>
          <w:szCs w:val="16"/>
          <w:i w:val="1"/>
          <w:iCs w:val="1"/>
          <w:color w:val="auto"/>
        </w:rPr>
        <w:t>Recipient</w:t>
      </w:r>
      <w:r>
        <w:rPr>
          <w:rFonts w:ascii="Arial" w:cs="Arial" w:eastAsia="Arial" w:hAnsi="Arial"/>
          <w:sz w:val="16"/>
          <w:szCs w:val="16"/>
          <w:color w:val="auto"/>
        </w:rPr>
        <w:t>”) is organized under the laws of the United States of America or any State thereof, then such Recipient shall (i) furnish to the Lessor, the Administrative Agent and the Lessee in duplicate, for each taxable year of Recipient during the Term, a properly completed and executed Internal Revenue Service Form W-9 and any additional form (or such other form) as is necessary to claim complete exemption from United States withholding taxes on all payments hereunder, and (ii) provide to the Lessor, the Administrative Agent, the Guarantors and the Lessee a new Internal Revenue Service Form W-9 and any such additional form (or other such form) upon the expiration or obsolescence of any previously delivered form in accordance with applicable United States laws and regulations duly executed and completed by the Lessor or Recipient, as the case may be.</w:t>
      </w:r>
    </w:p>
    <w:p>
      <w:pPr>
        <w:spacing w:after="0" w:line="167" w:lineRule="exact"/>
        <w:rPr>
          <w:sz w:val="20"/>
          <w:szCs w:val="20"/>
          <w:color w:val="auto"/>
        </w:rPr>
      </w:pPr>
    </w:p>
    <w:p>
      <w:pPr>
        <w:jc w:val="both"/>
        <w:ind w:firstLine="656"/>
        <w:spacing w:after="0" w:line="290" w:lineRule="auto"/>
        <w:tabs>
          <w:tab w:leader="none" w:pos="92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any Recipient is organized under the laws of any jurisdiction other than the United States or any State thereof, then the Recipient shall (i) furnish to the Lessor, the Administrative Agent, the Guarantors and the Lessee in duplicate, for each taxable year of Recipient during the Term, a properly completed and executed Internal Revenue Service Form W-8 ECI, Internal Revenue Service Form W-8 BEN-E or Internal Revenue Service Form W-8 IMY, as applicable, and any additional form (or such other form) as is necessary to benefit from complete exemption from United States withholding taxes on all payments hereunder, (ii) provide to the Lessor, the Administrative Agent, the Guarantors and the Lessee a new Internal Revenue Service Form W-8 ECI, Internal Revenue Service Form W-8 BEN-E or Internal Revenue Service Form W-8 IMY, as applicable, and any such additional form (or such other form) upon the expiration or obsolescence of any previously delivered form duly executed and completed by such Recipient, and (iii) comply at all times with all applicable United States laws and regulations and all provisions of any applicable tax treaty with regard to such withholding tax exemption.</w:t>
      </w:r>
    </w:p>
    <w:p>
      <w:pPr>
        <w:spacing w:after="0" w:line="166" w:lineRule="exact"/>
        <w:rPr>
          <w:rFonts w:ascii="Arial" w:cs="Arial" w:eastAsia="Arial" w:hAnsi="Arial"/>
          <w:sz w:val="16"/>
          <w:szCs w:val="16"/>
          <w:color w:val="auto"/>
        </w:rPr>
      </w:pPr>
    </w:p>
    <w:p>
      <w:pPr>
        <w:jc w:val="both"/>
        <w:ind w:firstLine="656"/>
        <w:spacing w:after="0" w:line="264" w:lineRule="auto"/>
        <w:tabs>
          <w:tab w:leader="none" w:pos="899"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its acceptance of an assignment of or participation in the interests, in whole or in part, of any Participant under this Participation Agreement, each assignee or Sub-Participant shall be deemed bound by the provisions set forth in this Article XII and to represent on the date it becomes a Recipient, that it is entitled to complete exemption from United States withholding taxes on all payments hereunder.</w:t>
      </w:r>
    </w:p>
    <w:p>
      <w:pPr>
        <w:spacing w:after="0" w:line="181" w:lineRule="exact"/>
        <w:rPr>
          <w:rFonts w:ascii="Arial" w:cs="Arial" w:eastAsia="Arial" w:hAnsi="Arial"/>
          <w:sz w:val="18"/>
          <w:szCs w:val="18"/>
          <w:color w:val="auto"/>
        </w:rPr>
      </w:pPr>
    </w:p>
    <w:p>
      <w:pPr>
        <w:ind w:firstLine="656"/>
        <w:spacing w:after="0" w:line="342" w:lineRule="auto"/>
        <w:tabs>
          <w:tab w:leader="none" w:pos="911"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Subject to Section 15.14 hereof, the Administrative Agent or any Participant may, in connection with any assignment, participation or proposed assignment or participation permitted pursuant to this Article XII, disclose to the Recipient or proposed Recipient any information relating to the Lessee.</w:t>
      </w:r>
    </w:p>
    <w:p>
      <w:pPr>
        <w:spacing w:after="0" w:line="123" w:lineRule="exact"/>
        <w:rPr>
          <w:rFonts w:ascii="Arial" w:cs="Arial" w:eastAsia="Arial" w:hAnsi="Arial"/>
          <w:sz w:val="16"/>
          <w:szCs w:val="16"/>
          <w:color w:val="auto"/>
        </w:rPr>
      </w:pPr>
    </w:p>
    <w:p>
      <w:pPr>
        <w:ind w:firstLine="656"/>
        <w:spacing w:after="0" w:line="277" w:lineRule="auto"/>
        <w:tabs>
          <w:tab w:leader="none" w:pos="8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Anything in this Article XII to the contrary notwithstanding, any Participant may, without the consent of the Lessee, assign and pledge all or any portion of its interest in the Notes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or this Participation Agreement to any Federal Reserve Bank as collateral security pursuant to Regulation A of the F.R.S. Board.</w:t>
      </w:r>
    </w:p>
    <w:p>
      <w:pPr>
        <w:spacing w:after="0" w:line="225" w:lineRule="exact"/>
        <w:rPr>
          <w:sz w:val="20"/>
          <w:szCs w:val="20"/>
          <w:color w:val="auto"/>
        </w:rPr>
      </w:pPr>
    </w:p>
    <w:p>
      <w:pPr>
        <w:jc w:val="both"/>
        <w:ind w:firstLine="656"/>
        <w:spacing w:after="0" w:line="286" w:lineRule="auto"/>
        <w:tabs>
          <w:tab w:leader="none" w:pos="879"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a payment made to a Participant under any Operative Document would be subject to U.S. federal withholding Tax imposed by FATCA if such Participant were to fail to comply with the applicable reporting requirements of FATCA (including those contained in Section 1471(b) or 1472(b) of the Code, as applicable), such Participant shall deliver to the Lessee and the Administrative Agent at the time or times prescribed by law and at such time or times reasonably requested by the Lessee or the Administrative Agent such documentation prescribed by applicable law (including as prescribed by Section 1471(b)</w:t>
      </w:r>
    </w:p>
    <w:p>
      <w:pPr>
        <w:spacing w:after="0" w:line="1"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(3)(C)(i) of the Code) and such additional documentation reasonably requested by the Lessee or the Administrative Agent as may be necessary for the Lessee and the Administrative Agent to comply with their obligations under FATCA and to determine that such Participant has complied with such Participant’s obligations under FATCA or to determine the amount to deduct and withhold from such payment. Solely for purposes of this clause (f), “FATCA” shall include any amendments made to FATCA after the Original Closing Date.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NDEMNIFICATION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13.1. 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5"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General Indemnification</w:t>
      </w:r>
      <w:r>
        <w:rPr>
          <w:rFonts w:ascii="Arial" w:cs="Arial" w:eastAsia="Arial" w:hAnsi="Arial"/>
          <w:sz w:val="18"/>
          <w:szCs w:val="18"/>
          <w:color w:val="auto"/>
        </w:rPr>
        <w:t>. Without limitation on the rights of any Indemnitee under any other indemnification set forth in this Article XIII,</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any of the transactions contemplated hereby shall be consummated, Lessee shall pay and assume liability for, and does hereby agree to indemnify, protect, defend, save and keep harmless each General Indemnitee from and against any and all Claims that may be imposed on, incurred by or asserted against such General Indemnitee (whether because of action or omission by such General Indemnitee), whether or not such Claim is covered by any other indemnification under this Article XIII or such General Indemnitee shall also be indemnified as to any such Claim by any other Person, and whether or not such Claim arises or accrues after the Expiration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each case under this Section 13.1(a), arising out of or in any way relating to:</w:t>
      </w:r>
    </w:p>
    <w:p>
      <w:pPr>
        <w:spacing w:after="0" w:line="225" w:lineRule="exact"/>
        <w:rPr>
          <w:sz w:val="20"/>
          <w:szCs w:val="20"/>
          <w:color w:val="auto"/>
        </w:rPr>
      </w:pPr>
    </w:p>
    <w:p>
      <w:pPr>
        <w:ind w:left="660" w:right="20" w:firstLine="645"/>
        <w:spacing w:after="0" w:line="277" w:lineRule="auto"/>
        <w:tabs>
          <w:tab w:leader="none" w:pos="16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of the Operative Documents, any of the transactions contemplated thereby or any investigation, litigation or proceeding in connection therewith, and any amendment, modification or waiver in respect thereof;</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Leased Property, or any part thereof or interest therein;</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157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purchase, manufacturing, mortgaging, design, construction, preparation, installation, inspection, delivery, non-delivery, acceptance, rejection, purchase, ownership, possession, rental, lease, sublease, repossession, maintenance, repair, alteration, modification, addition or substitution, storage, transfer of title, redelivery, use, financing, refinancing, operation, condition, sale (including, without limitation, any sale or other transfer pursuant to Sections 15.1 or 16.2 of the Lease or any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2" w:name="page43"/>
    <w:bookmarkEnd w:id="42"/>
    <w:p>
      <w:pPr>
        <w:jc w:val="both"/>
        <w:ind w:left="660"/>
        <w:spacing w:after="0" w:line="283" w:lineRule="auto"/>
        <w:rPr>
          <w:sz w:val="20"/>
          <w:szCs w:val="20"/>
          <w:color w:val="auto"/>
        </w:rPr>
      </w:pPr>
      <w:r>
        <w:rPr>
          <w:rFonts w:ascii="Arial" w:cs="Arial" w:eastAsia="Arial" w:hAnsi="Arial"/>
          <w:sz w:val="16"/>
          <w:szCs w:val="16"/>
          <w:color w:val="auto"/>
        </w:rPr>
        <w:t>sale or transfer pursuant to Articles XVIII, XX or XXI of the Lease), return or other disposition of all or any part of any interest in the Leased Property or the Site or the imposition of any Lien (or incurring of any liability to refund or pay over any amount as a result of any Lien) thereon, including, without limitation: (i) Claims or penalties arising under the Purchase Agreement or any other agreements or obligations relating to the acquisition of the Site or from any violation of law or in tort (strict liability or otherwise) by Lessee, Administrative Agent, Lessor, any Participant or any other Person or with respect to the use, operation or maintenance of the Leased Property or the Site, (ii) loss of or damage to the environment (including, without limitation, investigation costs, cleanup costs, response costs, remediation and removal costs, costs of corrective action, costs of financial assurance, and all other damages, costs, fees and expenses, fines and penalties, including natural resource damages), or death or injury to any Person, and all expenses associated with the protection of wildlife, aquatic species, vegetation, flora and fauna, and any mitigating action required by or under any Environmental Laws, (iii) any Claim resulting from or related to latent or other defects in the Leased Property, whether or not discoverable, (iv) any Claims resulting from the existence or Release of any Hazardous Substance at or from the Leased Property or the Site, (v) any Claim resulting from or related to the purchase, acquisition, lease or transfer of the Leased Property, (vi) any Claim based upon a violation or alleged violation of the terms of any restriction, easement, condition or covenant or other matter affecting title to the Leased Property or the Site,</w:t>
      </w:r>
    </w:p>
    <w:p>
      <w:pPr>
        <w:spacing w:after="0" w:line="4" w:lineRule="exact"/>
        <w:rPr>
          <w:sz w:val="20"/>
          <w:szCs w:val="20"/>
          <w:color w:val="auto"/>
        </w:rPr>
      </w:pPr>
    </w:p>
    <w:p>
      <w:pPr>
        <w:jc w:val="both"/>
        <w:ind w:left="660" w:hanging="4"/>
        <w:spacing w:after="0" w:line="255" w:lineRule="auto"/>
        <w:tabs>
          <w:tab w:leader="none" w:pos="10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making of any Modifications in violation of any standards imposed by any insurance policies required to be maintained by the Lessee pursuant to the Lease which are in effect at any time with respect to the Leased Property or the Site or any part thereof, or (viii) any Claim for patent, trademark or copyright infringement;</w:t>
      </w:r>
    </w:p>
    <w:p>
      <w:pPr>
        <w:spacing w:after="0" w:line="190" w:lineRule="exact"/>
        <w:rPr>
          <w:rFonts w:ascii="Arial" w:cs="Arial" w:eastAsia="Arial" w:hAnsi="Arial"/>
          <w:sz w:val="18"/>
          <w:szCs w:val="18"/>
          <w:color w:val="auto"/>
        </w:rPr>
      </w:pPr>
    </w:p>
    <w:p>
      <w:pPr>
        <w:ind w:left="1600" w:hanging="295"/>
        <w:spacing w:after="0"/>
        <w:tabs>
          <w:tab w:leader="none" w:pos="16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offer, issuance, sale, transfer or delivery of the Notes or Lessor Amount in accordance with the terms of this Participation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660" w:firstLine="645"/>
        <w:spacing w:after="0" w:line="277" w:lineRule="auto"/>
        <w:tabs>
          <w:tab w:leader="none" w:pos="1599"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inaccuracy of any representation or warranty made by Lessee or any of its Subsidiaries in any Operative Document or any certificate delivered by it with respect to any of the Operative Documents;</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66"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transactions contemplated hereby or by any other Operative Document, in respect of the application of Parts 4 and 5 of Subtitle B of Title I of ERISA and any prohibited transaction described in Section 4975(c) of the Code other than as a result of a breach of the representation set forth in Section 8.1(d) hereof;</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596"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retaining or employment of any broker, finder or financial advisor by the Lessee to act on its behalf in connection with this Participation Agreement; or</w:t>
      </w:r>
    </w:p>
    <w:p>
      <w:pPr>
        <w:spacing w:after="0" w:line="170" w:lineRule="exact"/>
        <w:rPr>
          <w:rFonts w:ascii="Arial" w:cs="Arial" w:eastAsia="Arial" w:hAnsi="Arial"/>
          <w:sz w:val="18"/>
          <w:szCs w:val="18"/>
          <w:color w:val="auto"/>
        </w:rPr>
      </w:pPr>
    </w:p>
    <w:p>
      <w:pPr>
        <w:jc w:val="both"/>
        <w:ind w:left="660" w:right="20" w:firstLine="645"/>
        <w:spacing w:after="0" w:line="264" w:lineRule="auto"/>
        <w:tabs>
          <w:tab w:leader="none" w:pos="156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other agreement entered into or assumed by Lessee or its Affiliate in connection with the Leased Property (including, in connection with each of the matters described in this Section 13.1 to which this indemnity shall apply, matters based on or arising from the negligence of any Participant Indemnitee or any General Indemnitee).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 is expressly understood and agreed that the indemnities provided for herein shall, except as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3" w:name="page44"/>
    <w:bookmarkEnd w:id="43"/>
    <w:p>
      <w:pPr>
        <w:jc w:val="both"/>
        <w:ind w:right="20"/>
        <w:spacing w:after="0" w:line="264" w:lineRule="auto"/>
        <w:rPr>
          <w:sz w:val="20"/>
          <w:szCs w:val="20"/>
          <w:color w:val="auto"/>
        </w:rPr>
      </w:pPr>
      <w:r>
        <w:rPr>
          <w:rFonts w:ascii="Arial" w:cs="Arial" w:eastAsia="Arial" w:hAnsi="Arial"/>
          <w:sz w:val="18"/>
          <w:szCs w:val="18"/>
          <w:color w:val="auto"/>
        </w:rPr>
        <w:t>otherwise provided herein, (i) survive the expiration or termination of and shall be separate and independent from any remedy under the Lease or any other Operative Document and (ii) continue to benefit a Participant that has been replaced pursuant to Section 14.9 hereof or a Lender whose interest is purchased pursuant to Section 2.10 of the Loan Agreement.</w:t>
      </w:r>
    </w:p>
    <w:p>
      <w:pPr>
        <w:spacing w:after="0" w:line="181" w:lineRule="exact"/>
        <w:rPr>
          <w:sz w:val="20"/>
          <w:szCs w:val="20"/>
          <w:color w:val="auto"/>
        </w:rPr>
      </w:pPr>
    </w:p>
    <w:p>
      <w:pPr>
        <w:jc w:val="both"/>
        <w:ind w:firstLine="656"/>
        <w:spacing w:after="0" w:line="269" w:lineRule="auto"/>
        <w:tabs>
          <w:tab w:leader="none" w:pos="903"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Exclusions from Indemnities</w:t>
      </w:r>
      <w:r>
        <w:rPr>
          <w:rFonts w:ascii="Arial" w:cs="Arial" w:eastAsia="Arial" w:hAnsi="Arial"/>
          <w:sz w:val="17"/>
          <w:szCs w:val="17"/>
          <w:color w:val="auto"/>
        </w:rPr>
        <w:t>. Notwithstanding the foregoing provisions of this Article XIII, Lessee shall not be obligated to indemnify a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Indemnitee under Section 13.1 and Lessor shall not be required to indemnify a Participant Indemnitee under Section 13.1(a) for any Claim to the extent that such Claim is attributable to: (i) criminal acts or the gross negligence or willful misconduct of such Indemnitee, as determined by a court of competent jurisdiction in a final, non-appealable judgment; (ii) the breach by such Indemnitee of its representations and warranties in Section 8.1 or 8.3, as the case may be, or the breach by such Indemnitee of its covenants as set forth in this Participation Agreement or in any other Operative Document to which such Indemnitee is a party; (iii) any Claim resulting from the imposition of any Lessor Lien which such Indemnitee is responsible for discharging under the Operative Documents; (iv) acts occurring with respect to the Leased Property after any sale or taking possession pursuant to Section 16.2 of the Lease; or (v) acts occurring after the expiration or earlier termination of the Term, but, in the case of this clause (v), only to the extent not attributable to, relating to, or arising from, the Lessor’s ownership interests in the Leased Property);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in the foregoing clauses shall be deemed to exclude or limit any (x) Claim that Lessor or any Participant Indemnitee may have under any Operative Document or Applicable Laws for damages from the Lessee for breach by Lessee or the Guarantors of its representations or warranties made by it in any Operative Document or (y) any remedy under or right to damages pursuant to Article XVI of the Lease.</w:t>
      </w:r>
    </w:p>
    <w:p>
      <w:pPr>
        <w:spacing w:after="0" w:line="180"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i w:val="1"/>
          <w:iCs w:val="1"/>
          <w:color w:val="auto"/>
        </w:rPr>
        <w:t>Section 13.2. Nonconformance</w:t>
      </w:r>
      <w:r>
        <w:rPr>
          <w:rFonts w:ascii="Arial" w:cs="Arial" w:eastAsia="Arial" w:hAnsi="Arial"/>
          <w:sz w:val="16"/>
          <w:szCs w:val="16"/>
          <w:color w:val="auto"/>
        </w:rPr>
        <w:t>. If (a) Lessee elects the Sale Option, an Event of Default occurs, or Lessee returns the Leased Property to Lessor or</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and (b) after paying to Lessor, for the benefit of the Participants, any amounts then due under the Operative Documents (including the Sale Option Recourse Amount), the Lease Balance shall not have been reduced to zero (0), then Lessee shall promptly pay no later than the earlier of Expiration Date and the date which is thirty (30) days following the delivery of the report described below, an amount (the “</w:t>
      </w:r>
      <w:r>
        <w:rPr>
          <w:rFonts w:ascii="Arial" w:cs="Arial" w:eastAsia="Arial" w:hAnsi="Arial"/>
          <w:sz w:val="16"/>
          <w:szCs w:val="16"/>
          <w:i w:val="1"/>
          <w:iCs w:val="1"/>
          <w:color w:val="auto"/>
        </w:rPr>
        <w:t>Nonconformance Amount</w:t>
      </w:r>
      <w:r>
        <w:rPr>
          <w:rFonts w:ascii="Arial" w:cs="Arial" w:eastAsia="Arial" w:hAnsi="Arial"/>
          <w:sz w:val="16"/>
          <w:szCs w:val="16"/>
          <w:color w:val="auto"/>
        </w:rPr>
        <w:t>”) not to exceed the shortfall which such report indicates is the result of extraordinary wear and tear to or excessive usage of the Leased Property, whether or not permitted under the Lease. For purposes of making the determination provided for in this Section 13.2, Lessor shall cause to be delivered to Administrative Agent and Lessee within twenty (20) days of the occurrence of the event described in the first sentence of this Section 13.2 but in any event not less than ten</w:t>
      </w:r>
    </w:p>
    <w:p>
      <w:pPr>
        <w:spacing w:after="0" w:line="3" w:lineRule="exact"/>
        <w:rPr>
          <w:sz w:val="20"/>
          <w:szCs w:val="20"/>
          <w:color w:val="auto"/>
        </w:rPr>
      </w:pPr>
    </w:p>
    <w:p>
      <w:pPr>
        <w:jc w:val="both"/>
        <w:ind w:firstLine="8"/>
        <w:spacing w:after="0" w:line="271" w:lineRule="auto"/>
        <w:tabs>
          <w:tab w:leader="none" w:pos="352" w:val="left"/>
        </w:tabs>
        <w:numPr>
          <w:ilvl w:val="0"/>
          <w:numId w:val="50"/>
        </w:numPr>
        <w:rPr>
          <w:rFonts w:ascii="Arial" w:cs="Arial" w:eastAsia="Arial" w:hAnsi="Arial"/>
          <w:sz w:val="17"/>
          <w:szCs w:val="17"/>
          <w:color w:val="auto"/>
        </w:rPr>
      </w:pPr>
      <w:r>
        <w:rPr>
          <w:rFonts w:ascii="Arial" w:cs="Arial" w:eastAsia="Arial" w:hAnsi="Arial"/>
          <w:sz w:val="17"/>
          <w:szCs w:val="17"/>
          <w:color w:val="auto"/>
        </w:rPr>
        <w:t>Business Days prior to the consummation of a sale of the Leased Property, at Lessee’s sole cost and expense, a report from an appraiser selected by the Required Participants and reasonably approved by Lessee, in form and substance reasonably satisfactory to the Required Participants and using approved methods reasonably satisfactory to the Required Participants, concerning the extent to which the fact that the actual Fair Market Value of the Leased Property as of the date of determination is less than the Fair Market Value anticipated for such date in the appraisal is due to any of the factors enumerated in the preceding sentence hereof. Any Nonconformance Amounts payable by Lessee shall be distributed in accordance with Section 5.3(d).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4" w:name="page45"/>
    <w:bookmarkEnd w:id="44"/>
    <w:p>
      <w:pPr>
        <w:jc w:val="both"/>
        <w:ind w:firstLine="432"/>
        <w:spacing w:after="0" w:line="286" w:lineRule="auto"/>
        <w:rPr>
          <w:sz w:val="20"/>
          <w:szCs w:val="20"/>
          <w:color w:val="auto"/>
        </w:rPr>
      </w:pPr>
      <w:r>
        <w:rPr>
          <w:rFonts w:ascii="Arial" w:cs="Arial" w:eastAsia="Arial" w:hAnsi="Arial"/>
          <w:sz w:val="17"/>
          <w:szCs w:val="17"/>
          <w:i w:val="1"/>
          <w:iCs w:val="1"/>
          <w:color w:val="auto"/>
        </w:rPr>
        <w:t>Section 13.3. Proceedings in Respect of Claims</w:t>
      </w:r>
      <w:r>
        <w:rPr>
          <w:rFonts w:ascii="Arial" w:cs="Arial" w:eastAsia="Arial" w:hAnsi="Arial"/>
          <w:sz w:val="17"/>
          <w:szCs w:val="17"/>
          <w:color w:val="auto"/>
        </w:rPr>
        <w:t>. With respect to any amount that the Lessee is requested by an Indemnitee to pay by reason of Section</w:t>
      </w:r>
      <w:r>
        <w:rPr>
          <w:rFonts w:ascii="Arial" w:cs="Arial" w:eastAsia="Arial" w:hAnsi="Arial"/>
          <w:sz w:val="17"/>
          <w:szCs w:val="17"/>
          <w:i w:val="1"/>
          <w:iCs w:val="1"/>
          <w:color w:val="auto"/>
        </w:rPr>
        <w:t xml:space="preserve"> </w:t>
      </w:r>
      <w:r>
        <w:rPr>
          <w:rFonts w:ascii="Arial" w:cs="Arial" w:eastAsia="Arial" w:hAnsi="Arial"/>
          <w:sz w:val="17"/>
          <w:szCs w:val="17"/>
          <w:color w:val="auto"/>
        </w:rPr>
        <w:t>13.1 or 13.2, such Indemnitee shall, if so requested by the Lessee and prior to any payment, submit such additional information to the Lessee as Lessee may reasonably request and which is in the possession of such Indemnitee to substantiate properly the requested payment.</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In case any action, suit or proceeding shall be brought against any Indemnitee, such Indemnitee shall, within a reasonable period, notify the Lessee in writing of the commencement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failure to notify Lessee shall not alter such Indemnitee’s rights under this Section 13.3, except to the extent such failure precludes or materially impairs Lessee’s ability to conduct a defense, and the Lessee shall be entitled, at its expense, to participate in, and, to the extent that the Lessee desires to, assume and control the defense thereof through its own counsel, which shall be subject to the reasonable approval of such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Lessee shall have acknowledged in writing its obligation to fully indemnify such Indemnitee in respect of such action, suit or proceeding and, at the request of the Indemnitee, provide an indemnity and, if requested by such Indemnitee, collateral security, reasonably satisfactory to the Indemnitee, and, the Lessee shall keep such Indemnitee fully appraised of the status of such action, suit or proceeding and shall provide such Indemnitee with all information with respect to such action, suit or proceeding as such Indemnitee shall reasonably request. Lessee must indicate its election to assume such defense by written notice to the Indemnitee within ninety (90) days following receipt of Indemnitee’s notice of the Claim, or in the case of a third party claim which requires a shorter time for response then within such shorter period as specified in the Indemnitee’s notice of Claim;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Indemnitee has given Lessee notice thereof. Lessee shall not be entitled to assume and control the defense of any such action, suit or</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if and to the extent that, (A) in the reasonable opinion of such Indemnitee, (x) such action, suit or proceeding involves any risk of imposition of criminal liability or any material risk of imposition of material civil liability on such Indemnitee or will involve a material risk of the sale, forfeiture or loss of, or the creation of any Lien (other than a Permitted Lien) on the Leased Property unless, in the case of civil liability, the Lessee shall have posted a bond or other security reasonably satisfactory to the relevant Indemnitees in respect to such risk or (y) the control of such action, suit or proceeding would involve an actual or potential conflict of interest, (B) such proceeding involves Claims not fully indemnified by the Lessee which the Lessee and the Indemnitee have been unable to sever from the indemnified Claim(s), or (C) an Event of Default has occurred and is continuing. The Indemnitee may participate in a reasonable manner at its own expense and with its own counsel in any proceeding controlled by the Lessee in accordance with the foregoing. The Lessee shall not enter into any settlement or other compromise with respect to any Claim which is entitled to be indemnified under Section 13.1 or 13.2, as applicable, without the prior written consent of the Indemnitee, which consent shall not be unreasonably withheld or delayed in the case of a money settlement not involving an admission of liability of such Indemnitee.</w:t>
      </w:r>
    </w:p>
    <w:p>
      <w:pPr>
        <w:spacing w:after="0" w:line="3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party controlling the defense shall consult in good faith with the other party and its counsel with respect to the defense and shall keep the non-controlling party reasonably informed as to the progress of the defense. Each Indemnitee shall supply the Lessee with such information and documents reasonably requested by the Lessee as are necessary or advisable for the Lessee to participate in any action, suit or proceeding to the extent permitted by Section 13.1 or 13.2, as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5" w:name="page46"/>
    <w:bookmarkEnd w:id="45"/>
    <w:p>
      <w:pPr>
        <w:jc w:val="both"/>
        <w:spacing w:after="0" w:line="272" w:lineRule="auto"/>
        <w:rPr>
          <w:sz w:val="20"/>
          <w:szCs w:val="20"/>
          <w:color w:val="auto"/>
        </w:rPr>
      </w:pPr>
      <w:r>
        <w:rPr>
          <w:rFonts w:ascii="Arial" w:cs="Arial" w:eastAsia="Arial" w:hAnsi="Arial"/>
          <w:sz w:val="17"/>
          <w:szCs w:val="17"/>
          <w:color w:val="auto"/>
        </w:rPr>
        <w:t>applicable, and Lessee shall reimburse the Indemnitee for the reasonable out-of-pocket expenses of supplying such information and documents. Except during the occurrence of an Event of Default where Lessee or the Guarantors shall have failed to provide indemnity and, if requested by an Indemnitee, collateral security, both in form, substance and in such amounts reasonably satisfactory to each Indemnitee, no Indemnitee shall enter into any settlement or other compromise with respect to any Claim which is entitled to be indemnified under Section 13.1 or 13.2, as applicable, without the prior written consent of the Lessee, which consent shall not be unreasonably withheld, unless such Indemnitee waives its right to be indemnified under Section 13.1 or 13.2, as applicable, with respect to such Claim, does not admit any criminal liability or civil liability on behalf of the Lessee in connection with such Claim, and uses reasonable efforts to advise the Lessee on the status of proceedings from time to time during the pendency of such Claim.</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Upon payment in full of any Claim by the Lessee pursuant to Section 13.1 or 13.2, as applicable, to or on behalf of an Indemnitee, the Lessee, without any further action, shall be subrogated to any and all claims that such Indemnitee may have relating thereto (other than claims in respect of insurance policies maintained by such Indemnitee at its own expense), and such Indemnitee shall execute such instruments of assignment and conveyance, evidence of claims and payment and such other documents, instruments and agreements as may be necessary to preserve any such claims and otherwise cooperate with the Lessee and give such further assurances as are necessary or advisable to enable the Lessee vigorously to pursue such claims.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amount payable to an Indemnitee pursuant to Section 13.1 or 13.2 shall be paid to such Indemnitee promptly, but in no event no later than thirty</w:t>
      </w:r>
    </w:p>
    <w:p>
      <w:pPr>
        <w:spacing w:after="0" w:line="46" w:lineRule="exact"/>
        <w:rPr>
          <w:sz w:val="20"/>
          <w:szCs w:val="20"/>
          <w:color w:val="auto"/>
        </w:rPr>
      </w:pPr>
    </w:p>
    <w:p>
      <w:pPr>
        <w:jc w:val="both"/>
        <w:ind w:firstLine="8"/>
        <w:spacing w:after="0" w:line="277" w:lineRule="auto"/>
        <w:tabs>
          <w:tab w:leader="none" w:pos="354"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days, after receipt of a written demand therefor from such Indemnitee, accompanied by a written statement describing in reasonable detail the basis for such indemnity and the computation of the amount so payable;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limit any obligation of the Lessee to indemnify an Indemnitee for costs and expenses incurred by such Indemnitee in contesting such Claim in accordance with the terms herein.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13.4. General Tax Indemnity</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3" w:lineRule="auto"/>
        <w:tabs>
          <w:tab w:leader="none" w:pos="893"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Without limitation on the rights of any Tax Indemnitee under any other indemnification provision of this Article XIII,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preceding sentence, the Lessee shall pay and assume liability for, and does hereby agree to indemnify, protect and defend the Leased Property and all Tax Indemnitees, and hold it and them harmless against, all Impositions on an After Tax Basis. It is expressly understood and agreed that the indemnities provided for in this Section 13.4 shall, except as otherwise provided herein, (i) survive the expiration or termination of and shall be separate and independent from any remedy under the Lease or any other Operative Document and (ii) continue to benefit a Participant that has been replaced pursuant to Section 14.9 hereof or a Lender whose interest is purchased pursuant to Section 2.10 of the Loan Agreement.</w:t>
      </w:r>
    </w:p>
    <w:p>
      <w:pPr>
        <w:spacing w:after="0" w:line="178" w:lineRule="exact"/>
        <w:rPr>
          <w:rFonts w:ascii="Arial" w:cs="Arial" w:eastAsia="Arial" w:hAnsi="Arial"/>
          <w:sz w:val="17"/>
          <w:szCs w:val="17"/>
          <w:color w:val="auto"/>
        </w:rPr>
      </w:pPr>
    </w:p>
    <w:p>
      <w:pPr>
        <w:ind w:firstLine="656"/>
        <w:spacing w:after="0" w:line="277" w:lineRule="auto"/>
        <w:tabs>
          <w:tab w:leader="none" w:pos="903"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Contests</w:t>
      </w:r>
      <w:r>
        <w:rPr>
          <w:rFonts w:ascii="Arial" w:cs="Arial" w:eastAsia="Arial" w:hAnsi="Arial"/>
          <w:sz w:val="18"/>
          <w:szCs w:val="18"/>
          <w:color w:val="auto"/>
        </w:rPr>
        <w:t>. If any claim shall be made against any Tax Indemnitee or if any proceeding shall be commenced against any Tax Indemnitee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 written notice of such proceeding) for any Imposition as to which the Lessee may have an indemnity obligation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6" w:name="page47"/>
    <w:bookmarkEnd w:id="46"/>
    <w:p>
      <w:pPr>
        <w:jc w:val="both"/>
        <w:spacing w:after="0" w:line="288" w:lineRule="auto"/>
        <w:rPr>
          <w:sz w:val="20"/>
          <w:szCs w:val="20"/>
          <w:color w:val="auto"/>
        </w:rPr>
      </w:pPr>
      <w:r>
        <w:rPr>
          <w:rFonts w:ascii="Arial" w:cs="Arial" w:eastAsia="Arial" w:hAnsi="Arial"/>
          <w:sz w:val="16"/>
          <w:szCs w:val="16"/>
          <w:color w:val="auto"/>
        </w:rPr>
        <w:t>pursuant to this Section 13.4, or if any Tax Indemnitee shall determine that any Imposition for which the Lessee may have an indemnity obligation pursuant to this Section 13.4 may be payable, such Tax Indemnitee shall promptly (and in any event, within twenty (20) days) notify the Lessee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failure to so notify the Lessee within twenty (20) days shall not alter such Tax Indemnitee’s rights under this Section 13.4, except to the extent such failure precludes or materially adversely affects the ability to conduct a contest of any indemnified Taxes) and shall not take any action with respect to such claim, proceeding or Imposition without the written consent of the Lessee (such consent not to be unreasonably withheld or unreasonably delayed) for thirty (30) days after the receipt of such notice by the Lessee;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any such claim or proceeding, if such Tax Indemnitee shall be required by law or regulation to take action prior to the end of such thirty (30) day period, such Tax Indemnitee shall in such notice to the Lessee, so inform the Lessee, and such Tax Indemnitee shall not take any action with respect to such claim, proceeding or Imposition without the consent of the Lessee (such consent not to be unreasonably withheld or unreasonably delayed) for ten (10) days after the receipt of such notice by the Lessee, unless the Tax Indemnitee shall be required by law or regulation to take action prior to the end of such ten (10) day period.</w:t>
      </w:r>
    </w:p>
    <w:p>
      <w:pPr>
        <w:spacing w:after="0" w:line="16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The Lessee shall be entitled for a period of thirty (30) days from receipt of such notice from the Tax Indemnitee (or such shorter period as the Tax Indemnitee has notified the Lessee is required by law or regulation for the Tax Indemnitee to commence such contest), to request in writing that such Tax Indemnitee contest the imposition of such Tax, at the Lessee’s expense. If (x) such contest can be pursued in the name of the Lessee and independently from any other proceeding involving a Tax liability of such Tax Indemnitee for which the Lessee has not agreed to indemnify such Tax Indemnitee, (y) such contest must be pursued in the name of the Tax Indemnitee, but can be pursued independently from any other proceeding involving a Tax liability of such Tax Indemnitee for which the Lessee has not agreed to indemnify such Tax Indemnitee or (z) the Tax Indemnitee so requests, then the Lessee shall be permitted to control the contest of such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contest described in any of clause (x), (y) or (z), if the Tax Indemnitee determines in good faith that such contest by the Lessee could have a material adverse impact on the business or operations of the Tax Indemnitee and provides a written explanation to the Lessee of such determination, the Tax Indemnitee may elect to control or reassert control of the contest,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by taking control of the contest, Lessee acknowledges that it is responsible for the Imposition ultimately determined to be due by reason of such claim,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determining the application of clauses (x) and (y) of the preceding sentence, each Tax Indemnitee shall take any and all reasonable steps to segregate claims for any Taxes for which the Lessee indemnifies hereunder from Taxes for which the Lessee is not obligated to indemnify hereunder, so that the Lessee can control the contest of the former. In all other claims requested to be contested by the Lessee, the Tax Indemnitee shall control the contest of such claim, acting through counsel reasonably acceptable to the Lessee. In no event shall the Lessee be permitted to contest (or the Tax Indemnitee required to contest) any claim, (A) if such Tax Indemnitee provides the Lessee with a legal opinion of independent counsel that such action, suit or proceeding involves a risk of imposition of criminal liability or will involve a material risk of the sale, forfeiture or loss of, or the creation of any Lien (other than a Permitted Lien) on the Leased Property or any part of any thereof unless the Lessee shall have posted and maintained a bond or other security reasonably satisfactory to the relevant Tax Indemnitee in respect to such risk, (B) if an Event of Default has occurred and is continuing,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7" w:name="page48"/>
    <w:bookmarkEnd w:id="47"/>
    <w:p>
      <w:pPr>
        <w:jc w:val="both"/>
        <w:spacing w:after="0" w:line="268" w:lineRule="auto"/>
        <w:rPr>
          <w:sz w:val="20"/>
          <w:szCs w:val="20"/>
          <w:color w:val="auto"/>
        </w:rPr>
      </w:pPr>
      <w:r>
        <w:rPr>
          <w:rFonts w:ascii="Arial" w:cs="Arial" w:eastAsia="Arial" w:hAnsi="Arial"/>
          <w:sz w:val="17"/>
          <w:szCs w:val="17"/>
          <w:color w:val="auto"/>
        </w:rPr>
        <w:t>unless the Lessee shall have posted and maintained a bond or other security reasonably satisfactory to the relevant Tax Indemnitee in respect of the Taxes subject to such claim and any and all expenses for which the Lessee is responsible hereunder reasonably foreseeable in connection with the contest of such claim, (C) unless the Lessee shall have agreed to pay and shall pay to such Tax Indemnitee on demand all reasonable out-of-pocket costs, losses and expenses that such Tax Indemnitee may incur in connection with contesting such Imposition, including all reasonable legal, accounting and investigatory fees and disbursements as well as the Impositions which are the subject of such claim to the extent the contest is unsuccessful, or (D) if such contest shall involve the payment of the Tax prior to the contest, unless the Lessee shall provide to the Tax Indemnitee an interest-free advance in an amount equal to the Imposition that the Indemnitee is required to pay (with no additional net after-tax costs (including Taxes) to such Tax Indemnitee). In addition for Tax Indemnitee controlled contests and claims contested in the name of the Tax Indemnitee in a public forum, no contest shall be required: (A) unless the amount of the potential indemnity (taking into account all similar or logically related claims that have been or could be raised in any audit involving such Tax Indemnitee for which the Lessee may be liable to pay an indemnity under this Section 13.4(b)) exceeds $50,000 and (B) unless, if requested by the Tax Indemnitee, the Lessee shall have provided to the Tax Indemnitee an opinion of counsel selected by the Lessee (which may be in-house counsel, except, in the case of income taxes indemnified hereunder, which opinion shall be that of independent tax counsel selected by the Tax Indemnitee and reasonably acceptable to the Lessee) that a reasonable basis exists to contest such claim. In no event shall a Tax Indemnitee be required to appeal an adverse judicial determination to the United States Supreme Court.</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party conducting the contest shall consult in good faith with the other party and its counsel with respect to the contest of such claim for Taxes (or claim for refund) but the decisions regarding what actions to be taken shall be made by the controlling party in its sole judgment;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Tax Indemnitee is the controlling party and the Lessee recommends the acceptance of a settlement offer made by the relevant Governmental Authority and such Tax Indemnitee rejects such settlement offer then the amount for which the Lessee will be required to indemnify such Tax Indemnitee with respect to the Taxes subject to such offer shall not exceed the amount which it would have owed if such settlement offer had been accepted. In addition, the controlling party shall keep the non-controlling party reasonably informed as to the progress of the contest, and shall provide the non-controlling party with a copy of (or appropriate excerpts from) any reports or claims issued by the relevant auditing agents or taxing authority to the controlling party thereof, in connection with such claim or the contest thereof.</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Tax Indemnitee shall supply the Lessee with such information and documents reasonably requested by the Lessee as are necessary or advisable for the Lessee to participate in any action, suit or proceeding to the extent permitted by this Section 13.4(b), and the Lessee shall promptly reimburse such Indemnitee for the reasonable out-of-pocket expenses of supplying such information and documents. Except during the occurrence of an Event of Default where Lessee and/or the Guarantors shall have failed to provide indemnity and, if requested by a Tax Indemnitee, collateral security, both in form, substance and in such amounts reasonably satisfactory to each Tax Indemnitee, no Tax Indemnitee shall enter into any settlement or other compromise or fail to appeal an adverse ruling with respect to any claim which is entitled to be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indemnified under this Section 13.4 (and with respect to which contest is required under this Section 13.4(b)) without the prior written consent of the Lessee, unless such Tax Indemnitee waives its right to be indemnified under this Section 13.4 with respect to such claim.</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anything contained herein to the contrary, a Tax Indemnitee will not be required to contest (and the Lessee shall not be permitted to contest) a claim with respect to the imposition of any Tax if (i) such Tax Indemnitee shall waive its right to indemnification under this Section 13.4 with respect to such claim (and any claim with respect to such year or any other taxable year, the contest of which is materially adversely affected as a result of such waiver) or (ii) such Tax is the sole result of a claim of a continuing and consistent nature, which claim has previously been resolved against the relevant Tax Indemnitee (unless a change in law or facts has occurred since such prior adverse resolution and Lessee provides an opinion of independent tax counsel to the effect it is more likely than not that such change in law or facts will result in a favorable resolution of the claim at issue).</w:t>
      </w:r>
    </w:p>
    <w:p>
      <w:pPr>
        <w:spacing w:after="0" w:line="165" w:lineRule="exact"/>
        <w:rPr>
          <w:sz w:val="20"/>
          <w:szCs w:val="20"/>
          <w:color w:val="auto"/>
        </w:rPr>
      </w:pPr>
    </w:p>
    <w:p>
      <w:pPr>
        <w:jc w:val="both"/>
        <w:ind w:firstLine="656"/>
        <w:spacing w:after="0" w:line="270" w:lineRule="auto"/>
        <w:tabs>
          <w:tab w:leader="none" w:pos="893"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Payments</w:t>
      </w:r>
      <w:r>
        <w:rPr>
          <w:rFonts w:ascii="Arial" w:cs="Arial" w:eastAsia="Arial" w:hAnsi="Arial"/>
          <w:sz w:val="17"/>
          <w:szCs w:val="17"/>
          <w:color w:val="auto"/>
        </w:rPr>
        <w:t>. (i)</w:t>
      </w:r>
      <w:r>
        <w:rPr>
          <w:rFonts w:ascii="Arial" w:cs="Arial" w:eastAsia="Arial" w:hAnsi="Arial"/>
          <w:sz w:val="17"/>
          <w:szCs w:val="17"/>
          <w:i w:val="1"/>
          <w:iCs w:val="1"/>
          <w:color w:val="auto"/>
        </w:rPr>
        <w:t xml:space="preserve"> To, or for the Account of, a Tax Indemnitee. </w:t>
      </w:r>
      <w:r>
        <w:rPr>
          <w:rFonts w:ascii="Arial" w:cs="Arial" w:eastAsia="Arial" w:hAnsi="Arial"/>
          <w:sz w:val="17"/>
          <w:szCs w:val="17"/>
          <w:color w:val="auto"/>
        </w:rPr>
        <w:t>Any Imposition indemnifiable under this Section 13.4 shall be paid directly when due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applicable taxing authority if direct payment is practicable and permitted. If direct payment to the applicable taxing authority is not permitted or is otherwise not made, any amount payable to a Tax Indemnitee pursuant to this Section 13.4 shall be paid within thirty (30) days after receipt of a written demand therefor from such Tax Indemnitee, accompanied by a written statement describing in reasonable detail the amount so payable, but not before two (2) Business Days prior to the date that the relevant Taxes are due. Any indemnification payments made pursuant to this Section 13.4 shall be made directly to the Tax Indemnitee entitled thereto in immediately available funds at such bank or to such account as specified by the Tax Indemnitee in written directions to the Lessee, or, if no such direction shall have been given, by check of the Lessee payable to the order of the Tax Indemnitee by certified mail, postage prepaid at its address as set forth in this Participation Agreement. Upon the request of any Tax Indemnitee with respect to a Tax that the Lessee is required to pay, the Lessee shall furnish to such Tax Indemnitee the original or a certified copy of a receipt for the Lessee’s payment of such Tax or such other evidence of payment as is reasonably acceptable to such Tax Indemnitee.</w:t>
      </w:r>
    </w:p>
    <w:p>
      <w:pPr>
        <w:spacing w:after="0" w:line="177" w:lineRule="exact"/>
        <w:rPr>
          <w:rFonts w:ascii="Arial" w:cs="Arial" w:eastAsia="Arial" w:hAnsi="Arial"/>
          <w:sz w:val="17"/>
          <w:szCs w:val="17"/>
          <w:color w:val="auto"/>
        </w:rPr>
      </w:pPr>
    </w:p>
    <w:p>
      <w:pPr>
        <w:jc w:val="both"/>
        <w:ind w:left="660" w:firstLine="645"/>
        <w:spacing w:after="0" w:line="270" w:lineRule="auto"/>
        <w:tabs>
          <w:tab w:leader="none" w:pos="1587" w:val="left"/>
        </w:tabs>
        <w:numPr>
          <w:ilvl w:val="1"/>
          <w:numId w:val="53"/>
        </w:numPr>
        <w:rPr>
          <w:rFonts w:ascii="Arial" w:cs="Arial" w:eastAsia="Arial" w:hAnsi="Arial"/>
          <w:sz w:val="17"/>
          <w:szCs w:val="17"/>
          <w:color w:val="auto"/>
        </w:rPr>
      </w:pPr>
      <w:r>
        <w:rPr>
          <w:rFonts w:ascii="Arial" w:cs="Arial" w:eastAsia="Arial" w:hAnsi="Arial"/>
          <w:sz w:val="17"/>
          <w:szCs w:val="17"/>
          <w:i w:val="1"/>
          <w:iCs w:val="1"/>
          <w:color w:val="auto"/>
        </w:rPr>
        <w:t>To the Lessee</w:t>
      </w:r>
      <w:r>
        <w:rPr>
          <w:rFonts w:ascii="Arial" w:cs="Arial" w:eastAsia="Arial" w:hAnsi="Arial"/>
          <w:sz w:val="17"/>
          <w:szCs w:val="17"/>
          <w:color w:val="auto"/>
        </w:rPr>
        <w:t>. (x) If any Tax Indemnitee actually shall realize a Tax benefit (whether by way of deduction, or use of a credit)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a Tax not indemnifiable hereunder which, in the Tax Indemnitee’s reasonable determination, would not have been realized but for any Tax with respect to which the Lessee has reimbursed or indemnified such Tax Indemnitee pursuant to the Operative Documents, which benefit was not previously taken into account in determining the amount of the Lessee’s payment to such Tax Indemnitee, such Tax Indemnitee shall pay to the Lessee an amount equal to the amount of such Tax benefit, increased by any actual Tax savings realized by such Tax Indemnitee and net of any additional Taxes and any expenses related to obtaining the Tax benefit actually borne by such Tax Indemnitee as a result of such payment (a “</w:t>
      </w:r>
      <w:r>
        <w:rPr>
          <w:rFonts w:ascii="Arial" w:cs="Arial" w:eastAsia="Arial" w:hAnsi="Arial"/>
          <w:sz w:val="17"/>
          <w:szCs w:val="17"/>
          <w:i w:val="1"/>
          <w:iCs w:val="1"/>
          <w:color w:val="auto"/>
        </w:rPr>
        <w:t>Grossed-Up Basis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as long as an Event of Default is continuing any such amounts may be applied against any amounts due and owing by Lessee under the Lease;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Tax Indemnitee shall be required to pay to the Lessee any Tax benefit to the extent such payment would be greater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9" w:name="page50"/>
    <w:bookmarkEnd w:id="49"/>
    <w:p>
      <w:pPr>
        <w:jc w:val="both"/>
        <w:ind w:left="660"/>
        <w:spacing w:after="0" w:line="257" w:lineRule="auto"/>
        <w:rPr>
          <w:sz w:val="20"/>
          <w:szCs w:val="20"/>
          <w:color w:val="auto"/>
        </w:rPr>
      </w:pPr>
      <w:r>
        <w:rPr>
          <w:rFonts w:ascii="Arial" w:cs="Arial" w:eastAsia="Arial" w:hAnsi="Arial"/>
          <w:sz w:val="18"/>
          <w:szCs w:val="18"/>
          <w:color w:val="auto"/>
        </w:rPr>
        <w:t>than the amount of such Taxes in respect of which the reimbursement or indemnification was paid by the Lessee, reduced by all prior payments by such Tax Indemnitee under this Section 13.4(c)(ii)(x) in respect of such amount; any payment to the Lessee which is so limited shall, to the extent of such unpaid excess, be carried over and shall be available to offset any future obligations of the Lessee under this Section 13.4. If such repaid Tax benefit is thereafter lost, the additional Tax payable shall be treated as a Tax indemnifiable hereunder without regard to the exclusions set forth in clauses (i) through (xi) of the definition of Impositions.</w:t>
      </w:r>
    </w:p>
    <w:p>
      <w:pPr>
        <w:spacing w:after="0" w:line="188" w:lineRule="exact"/>
        <w:rPr>
          <w:sz w:val="20"/>
          <w:szCs w:val="20"/>
          <w:color w:val="auto"/>
        </w:rPr>
      </w:pPr>
    </w:p>
    <w:p>
      <w:pPr>
        <w:jc w:val="both"/>
        <w:ind w:left="1300" w:firstLine="653"/>
        <w:spacing w:after="0" w:line="288" w:lineRule="auto"/>
        <w:tabs>
          <w:tab w:leader="none" w:pos="2206" w:val="left"/>
        </w:tabs>
        <w:numPr>
          <w:ilvl w:val="2"/>
          <w:numId w:val="54"/>
        </w:numPr>
        <w:rPr>
          <w:rFonts w:ascii="Arial" w:cs="Arial" w:eastAsia="Arial" w:hAnsi="Arial"/>
          <w:sz w:val="16"/>
          <w:szCs w:val="16"/>
          <w:color w:val="auto"/>
        </w:rPr>
      </w:pPr>
      <w:r>
        <w:rPr>
          <w:rFonts w:ascii="Arial" w:cs="Arial" w:eastAsia="Arial" w:hAnsi="Arial"/>
          <w:sz w:val="16"/>
          <w:szCs w:val="16"/>
          <w:color w:val="auto"/>
        </w:rPr>
        <w:t xml:space="preserve">Upon receipt by a Tax Indemnitee of a refund or the benefit of a credit which in the Tax Indemnitee’s reasonable determination was derived all or in part from any Taxes paid or indemnified against by the Lessee, which refund or credit was not previously taken into account in determining the amount of the Lessee’s payment to such Tax Indemnitee, such Tax Indemnitee shall pay to the Lessee, on a Grossed-Up Basis, an amount equal to the amount of such refund, plus any interest received by or credited to such Tax Indemnitee with respect to such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as long as an Event of Default is continuing any such amounts may be applied against any amounts due and owing by Lessee under the Lease;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Tax Indemnitee shall be required to pay to the Lessee any refund or credit to the extent such refund or credit is greater than the amount of Taxes in respect of which payment or indemnification was made by the Lessee, reduced by all prior payments by such Tax Indemnitee under this Section 13.4(c)(ii)(y) in respect of such amount. If such repaid refund or credit is thereafter lost, the additional Tax payable shall be treated as a Tax indemnifiable hereunder without regard to the exclusions set forth in clauses (i) through (x) of the definition of Impositions.</w:t>
      </w:r>
    </w:p>
    <w:p>
      <w:pPr>
        <w:spacing w:after="0" w:line="169" w:lineRule="exact"/>
        <w:rPr>
          <w:rFonts w:ascii="Arial" w:cs="Arial" w:eastAsia="Arial" w:hAnsi="Arial"/>
          <w:sz w:val="16"/>
          <w:szCs w:val="16"/>
          <w:color w:val="auto"/>
        </w:rPr>
      </w:pPr>
    </w:p>
    <w:p>
      <w:pPr>
        <w:jc w:val="both"/>
        <w:ind w:firstLine="656"/>
        <w:spacing w:after="0" w:line="291" w:lineRule="auto"/>
        <w:tabs>
          <w:tab w:leader="none" w:pos="903" w:val="left"/>
        </w:tabs>
        <w:numPr>
          <w:ilvl w:val="1"/>
          <w:numId w:val="55"/>
        </w:numPr>
        <w:rPr>
          <w:rFonts w:ascii="Arial" w:cs="Arial" w:eastAsia="Arial" w:hAnsi="Arial"/>
          <w:sz w:val="16"/>
          <w:szCs w:val="16"/>
          <w:color w:val="auto"/>
        </w:rPr>
      </w:pPr>
      <w:r>
        <w:rPr>
          <w:rFonts w:ascii="Arial" w:cs="Arial" w:eastAsia="Arial" w:hAnsi="Arial"/>
          <w:sz w:val="16"/>
          <w:szCs w:val="16"/>
          <w:i w:val="1"/>
          <w:iCs w:val="1"/>
          <w:color w:val="auto"/>
        </w:rPr>
        <w:t>Reports</w:t>
      </w:r>
      <w:r>
        <w:rPr>
          <w:rFonts w:ascii="Arial" w:cs="Arial" w:eastAsia="Arial" w:hAnsi="Arial"/>
          <w:sz w:val="16"/>
          <w:szCs w:val="16"/>
          <w:color w:val="auto"/>
        </w:rPr>
        <w:t>. In the case of any report, return or statement required to be filed with respect to any Taxes that are subject to indemnification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13.4 and of which the Lessee has knowledge, the Lessee shall promptly notify the Tax Indemnitee of such requirement and, at the Lessee’s expense</w:t>
      </w:r>
    </w:p>
    <w:p>
      <w:pPr>
        <w:jc w:val="both"/>
        <w:ind w:firstLine="8"/>
        <w:spacing w:after="0" w:line="252" w:lineRule="auto"/>
        <w:tabs>
          <w:tab w:leader="none" w:pos="2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Lessee is permitted (unless otherwise requested by the Tax Indemnitee) by Applicable Laws, timely file such report, return or statement in its own name or (ii) if such report, return or statement is required to be in the name of or filed by such Tax Indemnitee or the Tax Indemnitee otherwise requests that such report, return or statement be filed in the name of or by such Tax Indemnitee, the Lessee shall prepare such report, return or statement for filing by such Tax Indemnitee in such manner as shall be satisfactory to such Tax Indemnitee and send the same to the Tax Indemnitee for filing no later than fifteen (15) days prior to the due date therefor. In any case in which the Tax Indemnitee will file any such report, return or statement, the Lessee shall, upon written request of such Tax Indemnitee, provide such Tax Indemnitee with such information as is reasonably necessary to allow the Tax Indemnitee to file such report, return or statement.</w:t>
      </w:r>
    </w:p>
    <w:p>
      <w:pPr>
        <w:spacing w:after="0" w:line="193" w:lineRule="exact"/>
        <w:rPr>
          <w:rFonts w:ascii="Arial" w:cs="Arial" w:eastAsia="Arial" w:hAnsi="Arial"/>
          <w:sz w:val="18"/>
          <w:szCs w:val="18"/>
          <w:color w:val="auto"/>
        </w:rPr>
      </w:pPr>
    </w:p>
    <w:p>
      <w:pPr>
        <w:jc w:val="both"/>
        <w:ind w:firstLine="656"/>
        <w:spacing w:after="0" w:line="264" w:lineRule="auto"/>
        <w:tabs>
          <w:tab w:leader="none" w:pos="893"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Withholding Taxes</w:t>
      </w:r>
      <w:r>
        <w:rPr>
          <w:rFonts w:ascii="Arial" w:cs="Arial" w:eastAsia="Arial" w:hAnsi="Arial"/>
          <w:sz w:val="18"/>
          <w:szCs w:val="18"/>
          <w:color w:val="auto"/>
        </w:rPr>
        <w:t>. (i) Except as otherwise required by law, each payment to an Indemnitee under or contemplated by any Operative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free of Withholding Taxes (including any Withholding Taxes in respect of payments pursuant to this Section 13.4) and the Lessee agrees to indemnify, protect, defend and hold harmless the Tax Indemnitees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0" w:name="page51"/>
    <w:bookmarkEnd w:id="50"/>
    <w:p>
      <w:pPr>
        <w:jc w:val="both"/>
        <w:spacing w:after="0" w:line="276" w:lineRule="auto"/>
        <w:rPr>
          <w:sz w:val="20"/>
          <w:szCs w:val="20"/>
          <w:color w:val="auto"/>
        </w:rPr>
      </w:pPr>
      <w:r>
        <w:rPr>
          <w:rFonts w:ascii="Arial" w:cs="Arial" w:eastAsia="Arial" w:hAnsi="Arial"/>
          <w:sz w:val="17"/>
          <w:szCs w:val="17"/>
          <w:color w:val="auto"/>
        </w:rPr>
        <w:t>against all such Withholding Taxes. If any such withholding is so required, the Lessee shall make the withholding and pay the amount withheld to the appropriate taxing authority before penalties attach thereto or interest accrues thereon. The Lessee shall forthwith pay the relevant Tax Indemnitee an amount that, after making all required deductions (including deductions applicable to additional sums payable under this Section), equals the amount that would have been paid if such withholding had not been required. Notwithstanding the first sentence of this Section 13.4(e), the Lessee shall not be required to make any additional payment to or on behalf of a Tax Indemnitee pursuant to this paragraph on account of:</w:t>
      </w:r>
    </w:p>
    <w:p>
      <w:pPr>
        <w:spacing w:after="0" w:line="173" w:lineRule="exact"/>
        <w:rPr>
          <w:sz w:val="20"/>
          <w:szCs w:val="20"/>
          <w:color w:val="auto"/>
        </w:rPr>
      </w:pPr>
    </w:p>
    <w:p>
      <w:pPr>
        <w:ind w:left="1300" w:firstLine="653"/>
        <w:spacing w:after="0" w:line="277" w:lineRule="auto"/>
        <w:tabs>
          <w:tab w:leader="none" w:pos="22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Withholding Taxes while they are being contested in accordance with Section 13.4(b), so long as such Tax Indemnitee shall be receiving all payments required to be made to it without reduction for any such Withholding Taxes;</w:t>
      </w:r>
    </w:p>
    <w:p>
      <w:pPr>
        <w:spacing w:after="0" w:line="170" w:lineRule="exact"/>
        <w:rPr>
          <w:rFonts w:ascii="Arial" w:cs="Arial" w:eastAsia="Arial" w:hAnsi="Arial"/>
          <w:sz w:val="18"/>
          <w:szCs w:val="18"/>
          <w:color w:val="auto"/>
        </w:rPr>
      </w:pPr>
    </w:p>
    <w:p>
      <w:pPr>
        <w:jc w:val="both"/>
        <w:ind w:left="1300" w:firstLine="653"/>
        <w:spacing w:after="0" w:line="264" w:lineRule="auto"/>
        <w:tabs>
          <w:tab w:leader="none" w:pos="2238"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Withholding Taxes imposed on an assignee or transferee on the day of the assignment or transfer to the extent of the excess of such Withholding Taxes over the total amount of Withholding Taxes that would have been imposed on the transferor on the date of the transfer had there not been an assignment or transfer;</w:t>
      </w:r>
    </w:p>
    <w:p>
      <w:pPr>
        <w:spacing w:after="0" w:line="181" w:lineRule="exact"/>
        <w:rPr>
          <w:rFonts w:ascii="Arial" w:cs="Arial" w:eastAsia="Arial" w:hAnsi="Arial"/>
          <w:sz w:val="18"/>
          <w:szCs w:val="18"/>
          <w:color w:val="auto"/>
        </w:rPr>
      </w:pPr>
    </w:p>
    <w:p>
      <w:pPr>
        <w:jc w:val="both"/>
        <w:ind w:left="1300" w:firstLine="653"/>
        <w:spacing w:after="0" w:line="264" w:lineRule="auto"/>
        <w:tabs>
          <w:tab w:leader="none" w:pos="2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Withholding Taxes imposed on a Recipient to the extent of the excess of such Withholding Taxes over the total amount of the Withholding Taxes that would have been imposed had such Recipient not relocated its Applicable Lending Office after the date on which it became a Recipient;</w:t>
      </w:r>
    </w:p>
    <w:p>
      <w:pPr>
        <w:spacing w:after="0" w:line="181" w:lineRule="exact"/>
        <w:rPr>
          <w:rFonts w:ascii="Arial" w:cs="Arial" w:eastAsia="Arial" w:hAnsi="Arial"/>
          <w:sz w:val="18"/>
          <w:szCs w:val="18"/>
          <w:color w:val="auto"/>
        </w:rPr>
      </w:pPr>
    </w:p>
    <w:p>
      <w:pPr>
        <w:jc w:val="both"/>
        <w:ind w:left="1300" w:firstLine="653"/>
        <w:spacing w:after="0" w:line="264" w:lineRule="auto"/>
        <w:tabs>
          <w:tab w:leader="none" w:pos="22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Withholding Taxes resulting from the gross negligence, willful misconduct, or fraud of the Tax Indemnitee or any of its Affiliates or the breach of the Operative Documents by the Tax Indemnitee including directing the Lessor to engage in any activity not permitted under the Operative Documents;</w:t>
      </w:r>
    </w:p>
    <w:p>
      <w:pPr>
        <w:spacing w:after="0" w:line="181" w:lineRule="exact"/>
        <w:rPr>
          <w:rFonts w:ascii="Arial" w:cs="Arial" w:eastAsia="Arial" w:hAnsi="Arial"/>
          <w:sz w:val="18"/>
          <w:szCs w:val="18"/>
          <w:color w:val="auto"/>
        </w:rPr>
      </w:pPr>
    </w:p>
    <w:p>
      <w:pPr>
        <w:ind w:left="1300" w:right="20" w:firstLine="653"/>
        <w:spacing w:after="0" w:line="342" w:lineRule="auto"/>
        <w:tabs>
          <w:tab w:leader="none" w:pos="22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Withholding Taxes imposed under the laws of any jurisdiction other than the United States, or any state or local jurisdiction thereof, or any jurisdiction where such Tax is imposed solely as a result of the Lessee making the payment from such jurisdiction;</w:t>
      </w:r>
    </w:p>
    <w:p>
      <w:pPr>
        <w:spacing w:after="0" w:line="123" w:lineRule="exact"/>
        <w:rPr>
          <w:rFonts w:ascii="Arial" w:cs="Arial" w:eastAsia="Arial" w:hAnsi="Arial"/>
          <w:sz w:val="16"/>
          <w:szCs w:val="16"/>
          <w:color w:val="auto"/>
        </w:rPr>
      </w:pPr>
    </w:p>
    <w:p>
      <w:pPr>
        <w:ind w:left="2220" w:hanging="267"/>
        <w:spacing w:after="0"/>
        <w:tabs>
          <w:tab w:leader="none" w:pos="22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Withholding Taxes imposed under FATCA due to the failure of a Recipient to comply with the provisions of Section 12.3; and</w:t>
      </w:r>
    </w:p>
    <w:p>
      <w:pPr>
        <w:spacing w:after="0" w:line="248" w:lineRule="exact"/>
        <w:rPr>
          <w:rFonts w:ascii="Arial" w:cs="Arial" w:eastAsia="Arial" w:hAnsi="Arial"/>
          <w:sz w:val="16"/>
          <w:szCs w:val="16"/>
          <w:color w:val="auto"/>
        </w:rPr>
      </w:pPr>
    </w:p>
    <w:p>
      <w:pPr>
        <w:ind w:left="1300" w:right="20" w:firstLine="653"/>
        <w:spacing w:after="0" w:line="277" w:lineRule="auto"/>
        <w:tabs>
          <w:tab w:leader="none" w:pos="22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Withholding Taxes imposed on any Recipient that would have been imposed under then Applicable Law as of the date such Person becomes a Recipient.</w:t>
      </w:r>
    </w:p>
    <w:p>
      <w:pPr>
        <w:spacing w:after="0" w:line="170"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 xml:space="preserve">If the Lessee pays any amount to a Tax Indemnitee with respect to Withholding Taxes required to be withheld by law but not subject to indemnity pursuant to this Section 13.4, such Tax Indemnitee shall reimburse the Lessee within thirty (30) days of written demand therefor for the amount so paid by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1" w:name="page52"/>
    <w:bookmarkEnd w:id="51"/>
    <w:p>
      <w:pPr>
        <w:jc w:val="both"/>
        <w:ind w:left="1060"/>
        <w:spacing w:after="0" w:line="264" w:lineRule="auto"/>
        <w:rPr>
          <w:sz w:val="20"/>
          <w:szCs w:val="20"/>
          <w:color w:val="auto"/>
        </w:rPr>
      </w:pPr>
      <w:r>
        <w:rPr>
          <w:rFonts w:ascii="Arial" w:cs="Arial" w:eastAsia="Arial" w:hAnsi="Arial"/>
          <w:sz w:val="18"/>
          <w:szCs w:val="18"/>
          <w:color w:val="auto"/>
        </w:rPr>
        <w:t>such Tax Indemnitee fails to reimburse the Lessee within such thirty (30) days, such Tax Indemnitee shall thereafter be obligated to reimburse the Lessee for such amount together with interest on such amount at the Overdue Rate from the date such reimbursement was due until the date it is paid.</w:t>
      </w:r>
    </w:p>
    <w:p>
      <w:pPr>
        <w:spacing w:after="0" w:line="181" w:lineRule="exact"/>
        <w:rPr>
          <w:sz w:val="20"/>
          <w:szCs w:val="20"/>
          <w:color w:val="auto"/>
        </w:rPr>
      </w:pPr>
    </w:p>
    <w:p>
      <w:pPr>
        <w:ind w:left="660" w:firstLine="645"/>
        <w:spacing w:after="0" w:line="277" w:lineRule="auto"/>
        <w:tabs>
          <w:tab w:leader="none" w:pos="1577" w:val="left"/>
        </w:tabs>
        <w:numPr>
          <w:ilvl w:val="1"/>
          <w:numId w:val="58"/>
        </w:numPr>
        <w:rPr>
          <w:rFonts w:ascii="Arial" w:cs="Arial" w:eastAsia="Arial" w:hAnsi="Arial"/>
          <w:sz w:val="18"/>
          <w:szCs w:val="18"/>
          <w:color w:val="auto"/>
        </w:rPr>
      </w:pPr>
      <w:r>
        <w:rPr>
          <w:rFonts w:ascii="Arial" w:cs="Arial" w:eastAsia="Arial" w:hAnsi="Arial"/>
          <w:sz w:val="18"/>
          <w:szCs w:val="18"/>
          <w:color w:val="auto"/>
        </w:rPr>
        <w:t>For purposes of this Section 13.4, it shall be assumed that the Lease constitutes a loan for United States federal income tax purposes (as is the parties’ intention).</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73"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Disclosure</w:t>
      </w:r>
      <w:r>
        <w:rPr>
          <w:rFonts w:ascii="Arial" w:cs="Arial" w:eastAsia="Arial" w:hAnsi="Arial"/>
          <w:sz w:val="18"/>
          <w:szCs w:val="18"/>
          <w:color w:val="auto"/>
        </w:rPr>
        <w:t>. The parties agree that any party to this Participation Agreement (and each employee, representative, or other agent of such party) may</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the tax aspects of the transactions contemplated by this Participation Agreement and the structural aspects of these transactions as they relate to such tax aspects without limitation of any kind on such disclosure.</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13.5. After Tax Basis</w:t>
      </w:r>
      <w:r>
        <w:rPr>
          <w:rFonts w:ascii="Arial" w:cs="Arial" w:eastAsia="Arial" w:hAnsi="Arial"/>
          <w:sz w:val="18"/>
          <w:szCs w:val="18"/>
          <w:color w:val="auto"/>
        </w:rPr>
        <w:t>. If an Indemnitee shall not be entitled to a corresponding and equal deduction with respect to any payment or Tax which</w:t>
      </w:r>
      <w:r>
        <w:rPr>
          <w:rFonts w:ascii="Arial" w:cs="Arial" w:eastAsia="Arial" w:hAnsi="Arial"/>
          <w:sz w:val="18"/>
          <w:szCs w:val="18"/>
          <w:i w:val="1"/>
          <w:iCs w:val="1"/>
          <w:color w:val="auto"/>
        </w:rPr>
        <w:t xml:space="preserve"> </w:t>
      </w:r>
      <w:r>
        <w:rPr>
          <w:rFonts w:ascii="Arial" w:cs="Arial" w:eastAsia="Arial" w:hAnsi="Arial"/>
          <w:sz w:val="18"/>
          <w:szCs w:val="18"/>
          <w:color w:val="auto"/>
        </w:rPr>
        <w:t>Lessee is required to pay or reimburse under any other provision of this Article XIII (each such payment or reimbursement under this Article XIII, an “</w:t>
      </w:r>
      <w:r>
        <w:rPr>
          <w:rFonts w:ascii="Arial" w:cs="Arial" w:eastAsia="Arial" w:hAnsi="Arial"/>
          <w:sz w:val="18"/>
          <w:szCs w:val="18"/>
          <w:i w:val="1"/>
          <w:iCs w:val="1"/>
          <w:color w:val="auto"/>
        </w:rPr>
        <w:t>original payment</w:t>
      </w:r>
      <w:r>
        <w:rPr>
          <w:rFonts w:ascii="Arial" w:cs="Arial" w:eastAsia="Arial" w:hAnsi="Arial"/>
          <w:sz w:val="18"/>
          <w:szCs w:val="18"/>
          <w:color w:val="auto"/>
        </w:rPr>
        <w:t>”) and which original payment constitutes income to such Indemnitee when accrued or received, then Lessee shall pay to, or for the account of, such Indemnitee on demand the amount of such original payment on an After Tax Basis.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13.6. [Reserved.]</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Section 13.7. Environmental Indemnity</w:t>
      </w:r>
      <w:r>
        <w:rPr>
          <w:rFonts w:ascii="Arial" w:cs="Arial" w:eastAsia="Arial" w:hAnsi="Arial"/>
          <w:sz w:val="18"/>
          <w:szCs w:val="18"/>
          <w:color w:val="auto"/>
        </w:rPr>
        <w:t>. Without limitation of the other provisions of this Article XIII, Lessee hereby agrees to indemnify, hold harmless</w:t>
      </w:r>
      <w:r>
        <w:rPr>
          <w:rFonts w:ascii="Arial" w:cs="Arial" w:eastAsia="Arial" w:hAnsi="Arial"/>
          <w:sz w:val="18"/>
          <w:szCs w:val="18"/>
          <w:i w:val="1"/>
          <w:iCs w:val="1"/>
          <w:color w:val="auto"/>
        </w:rPr>
        <w:t xml:space="preserve"> </w:t>
      </w:r>
      <w:r>
        <w:rPr>
          <w:rFonts w:ascii="Arial" w:cs="Arial" w:eastAsia="Arial" w:hAnsi="Arial"/>
          <w:sz w:val="18"/>
          <w:szCs w:val="18"/>
          <w:color w:val="auto"/>
        </w:rPr>
        <w:t>and defend each Indemnitee, in each case, from and against any and all Claims, losses, damages, liabilities, fines, penalties, charges, administrative and judicial proceedings (including informal proceedings) and orders, judgments, remedial action, requirements, enforcement actions of any kind, and all reasonable and documented costs and expenses incurred in connection therewith (including reasonable and documented attorneys’ and/or paralegals’ fees and expenses), including all costs incurred in connection with any investigation or monitoring of the condition of the Leased Property or any clean-up, remedial, removal or restoration work required or conducted by any Governmental Authority or required by Environmental Laws (collectively, “</w:t>
      </w:r>
      <w:r>
        <w:rPr>
          <w:rFonts w:ascii="Arial" w:cs="Arial" w:eastAsia="Arial" w:hAnsi="Arial"/>
          <w:sz w:val="18"/>
          <w:szCs w:val="18"/>
          <w:i w:val="1"/>
          <w:iCs w:val="1"/>
          <w:color w:val="auto"/>
        </w:rPr>
        <w:t>Environmental</w:t>
      </w:r>
      <w:r>
        <w:rPr>
          <w:rFonts w:ascii="Arial" w:cs="Arial" w:eastAsia="Arial" w:hAnsi="Arial"/>
          <w:sz w:val="18"/>
          <w:szCs w:val="18"/>
          <w:color w:val="auto"/>
        </w:rPr>
        <w:t xml:space="preserve"> </w:t>
      </w:r>
      <w:r>
        <w:rPr>
          <w:rFonts w:ascii="Arial" w:cs="Arial" w:eastAsia="Arial" w:hAnsi="Arial"/>
          <w:sz w:val="18"/>
          <w:szCs w:val="18"/>
          <w:i w:val="1"/>
          <w:iCs w:val="1"/>
          <w:color w:val="auto"/>
        </w:rPr>
        <w:t>Claims</w:t>
      </w:r>
      <w:r>
        <w:rPr>
          <w:rFonts w:ascii="Arial" w:cs="Arial" w:eastAsia="Arial" w:hAnsi="Arial"/>
          <w:sz w:val="18"/>
          <w:szCs w:val="18"/>
          <w:color w:val="auto"/>
        </w:rPr>
        <w:t>”), arising in whole or in part, out of:</w:t>
      </w:r>
    </w:p>
    <w:p>
      <w:pPr>
        <w:spacing w:after="0" w:line="189" w:lineRule="exact"/>
        <w:rPr>
          <w:sz w:val="20"/>
          <w:szCs w:val="20"/>
          <w:color w:val="auto"/>
        </w:rPr>
      </w:pPr>
    </w:p>
    <w:p>
      <w:pPr>
        <w:ind w:left="660" w:firstLine="645"/>
        <w:spacing w:after="0" w:line="277" w:lineRule="auto"/>
        <w:tabs>
          <w:tab w:leader="none" w:pos="158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presence on, under or around the Leased Property or any portion thereof of any Hazardous Substance, or any Release of any Hazardous Substance on, under, from, onto or around the Leased Property or any portion thereof,</w:t>
      </w:r>
    </w:p>
    <w:p>
      <w:pPr>
        <w:spacing w:after="0" w:line="170" w:lineRule="exact"/>
        <w:rPr>
          <w:rFonts w:ascii="Arial" w:cs="Arial" w:eastAsia="Arial" w:hAnsi="Arial"/>
          <w:sz w:val="18"/>
          <w:szCs w:val="18"/>
          <w:color w:val="auto"/>
        </w:rPr>
      </w:pPr>
    </w:p>
    <w:p>
      <w:pPr>
        <w:jc w:val="both"/>
        <w:ind w:left="660" w:firstLine="645"/>
        <w:spacing w:after="0" w:line="257" w:lineRule="auto"/>
        <w:tabs>
          <w:tab w:leader="none" w:pos="15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activity, including, without limitation, construction, carried on or undertaken on the Leased Property or any portion thereof or off the Leased Property, and whether by Lessee or any of its Affiliates or any predecessor in title or any employees, agents, sublessees, contractors or subcontractors of Lessee, any of its Affiliates or any predecessor in title, or any other Persons (including such Indemnitee), in connection with the investigation, handling, treatment, remediation, removal, storage, decontamination, clean-up, transport or disposal of any Hazardous Substance that at any time has been or 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2" w:name="page53"/>
    <w:bookmarkEnd w:id="52"/>
    <w:p>
      <w:pPr>
        <w:jc w:val="both"/>
        <w:ind w:left="660"/>
        <w:spacing w:after="0" w:line="264" w:lineRule="auto"/>
        <w:rPr>
          <w:sz w:val="20"/>
          <w:szCs w:val="20"/>
          <w:color w:val="auto"/>
        </w:rPr>
      </w:pPr>
      <w:r>
        <w:rPr>
          <w:rFonts w:ascii="Arial" w:cs="Arial" w:eastAsia="Arial" w:hAnsi="Arial"/>
          <w:sz w:val="18"/>
          <w:szCs w:val="18"/>
          <w:color w:val="auto"/>
        </w:rPr>
        <w:t>Released, located or present on, under or around, or that at any time has or may migrate, flow, percolate, diffuse or in any way move onto or under the Leased Property or any portion thereof, or any activity that aggravates, contributes to or exacerbates existing environmental conditions or results in a violation of existing deed restrictions,</w:t>
      </w:r>
    </w:p>
    <w:p>
      <w:pPr>
        <w:spacing w:after="0" w:line="181" w:lineRule="exact"/>
        <w:rPr>
          <w:sz w:val="20"/>
          <w:szCs w:val="20"/>
          <w:color w:val="auto"/>
        </w:rPr>
      </w:pPr>
    </w:p>
    <w:p>
      <w:pPr>
        <w:jc w:val="both"/>
        <w:ind w:left="660" w:firstLine="645"/>
        <w:spacing w:after="0" w:line="255" w:lineRule="auto"/>
        <w:tabs>
          <w:tab w:leader="none" w:pos="15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loss of or damage to any property or the environment arising from, or in any way related to, the Leased Property or Lessee or any of its Affiliates (including, without limitation, investigation costs, clean-up costs, response costs, remediation, restoration and removal costs, cost of corrective action, costs of financial assurance, fines and penalties and natural resource damages), or death or injury to any Person, and all expenses associated with the protection of wildlife, aquatic species, vegetation, flora and fauna, and any mitigating action required by or under Environmental Laws, in each case arising from, or in any way related to, the Leased Property, Lessee, any of its Affiliates or the Overall Transaction or any portion thereof,</w:t>
      </w:r>
    </w:p>
    <w:p>
      <w:pPr>
        <w:spacing w:after="0" w:line="193" w:lineRule="exact"/>
        <w:rPr>
          <w:rFonts w:ascii="Arial" w:cs="Arial" w:eastAsia="Arial" w:hAnsi="Arial"/>
          <w:sz w:val="18"/>
          <w:szCs w:val="18"/>
          <w:color w:val="auto"/>
        </w:rPr>
      </w:pPr>
    </w:p>
    <w:p>
      <w:pPr>
        <w:jc w:val="both"/>
        <w:ind w:left="660" w:firstLine="645"/>
        <w:spacing w:after="0" w:line="264" w:lineRule="auto"/>
        <w:tabs>
          <w:tab w:leader="none" w:pos="15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claim concerning lack of compliance with Environmental Laws in connection with the Leased Property, or any act or omission causing an environmental condition that requires remediation or would allow any Governmental Authority to record a Lien against the Leased Property or any portion thereof, or</w:t>
      </w:r>
    </w:p>
    <w:p>
      <w:pPr>
        <w:spacing w:after="0" w:line="181" w:lineRule="exact"/>
        <w:rPr>
          <w:rFonts w:ascii="Arial" w:cs="Arial" w:eastAsia="Arial" w:hAnsi="Arial"/>
          <w:sz w:val="18"/>
          <w:szCs w:val="18"/>
          <w:color w:val="auto"/>
        </w:rPr>
      </w:pPr>
    </w:p>
    <w:p>
      <w:pPr>
        <w:jc w:val="both"/>
        <w:ind w:left="660" w:firstLine="645"/>
        <w:spacing w:after="0" w:line="302" w:lineRule="auto"/>
        <w:tabs>
          <w:tab w:leader="none" w:pos="1569"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residual contamination on or under any of the Leased Property, or affecting any natural resources, and any contamination of any property or natural resources arising in connection with the generation, use, handling, storage, transport or disposal of any such Hazardous Substance, in each case arising from, or in any way related to, the Leased Property, Lessee, any of its Affiliates, or the Overall Transaction or any portion thereof, and irrespective of whether any of such activities were or will be undertaken in accordance with Applicable Laws.</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Notwithstanding the foregoing provisions of this Section 13.7, Lessee shall not be obligated to indemnify an Indemnitee under this Section 13.7 for any Claim (i) to the extent that such Claim is attributable to the gross negligence or willful misconduct of such Indemnitee, (ii) to the extent attributable to acts occurring after any sale or taking possession pursuant to Section 16.2 of the Lease or (iii) to the extent attributable to acts occurring after the expiration or earlier termination of the Term, but, in the case of this clause (iii), only to the extent not attributable to, arising from, or relating to, the Lessor’s ownership interests in the Leased Property. It is expressly understood and agreed that the indemnities provided for in this Section 13.7 shall, except as otherwise provided herein, (i) survive the expiration or termination of and shall be separate and independent from any remedy under the Lease or any other Operative Document and (ii) continue to benefit a Participant that has been replaced pursuant to Section 14.9 hereof or a Lender whose interest is purchased pursuant to Section 2.10 of the Loan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ONTINGENT</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IBOR AND</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OSTS</w:t>
      </w:r>
    </w:p>
    <w:p>
      <w:pPr>
        <w:spacing w:after="0" w:line="19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Section 14.1. LIBO Rate Lending Unlawful</w:t>
      </w:r>
      <w:r>
        <w:rPr>
          <w:rFonts w:ascii="Arial" w:cs="Arial" w:eastAsia="Arial" w:hAnsi="Arial"/>
          <w:sz w:val="18"/>
          <w:szCs w:val="18"/>
          <w:color w:val="auto"/>
        </w:rPr>
        <w:t>. If any Participant shall reasonably determine (which determination shall, upon notice thereof to the Lessee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Participants, be conclusive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3" w:name="page54"/>
    <w:bookmarkEnd w:id="53"/>
    <w:p>
      <w:pPr>
        <w:jc w:val="both"/>
        <w:spacing w:after="0" w:line="268" w:lineRule="auto"/>
        <w:rPr>
          <w:sz w:val="20"/>
          <w:szCs w:val="20"/>
          <w:color w:val="auto"/>
        </w:rPr>
      </w:pPr>
      <w:r>
        <w:rPr>
          <w:rFonts w:ascii="Arial" w:cs="Arial" w:eastAsia="Arial" w:hAnsi="Arial"/>
          <w:sz w:val="17"/>
          <w:szCs w:val="17"/>
          <w:color w:val="auto"/>
        </w:rPr>
        <w:t>and binding on the Lessee and which notice shall be withdrawn whenever the applicable circumstances no longer exist) that the introduction of or any change in or in the interpretation of any law makes it unlawful, or any central bank or other Governmental Authority asserts that it is unlawful, for such Participant to make available, continue or maintain any Loan or Lessor Amount that bears Interest or Yield based upon the LIBO Rate, as the case may be, the obligation of such Participant to make available, continue or maintain any such Loan or Lessor Amount, as the case may be, on a LIBO Rate basis shall, upon such determination, forthwith be suspended (unless such Participant determines in its sole discretion that it can continue to make any Loan or Lessor Amount based upon the LIBO Rate at one of its lending offices where such action would not be deemed unlawful) until such Participant shall notify the Lessee and Lessor that the circumstances causing such suspension no longer exist and, to the extent required by any such introduction of or change in or in the interpretation of any law, all Loans and Lessor Amount, as the case may be, of such Participant shall automatically bear Interest or accrue Yield at the Alternate Base Rate either (a) on the last day of the then current Interest Period applicable to such Loan or Lessor Amount, as the case may be, if such Participant may lawfully continue to maintain and fund such Loan or Lessor Amount, or (b) immediately if such Participant shall determine that it may not lawfully continue to maintain and fund such Loan or Lessor Amount, as the case may be, to such day thereto or sooner, if required by such law or assertion. It is hereby understood and agreed that, notwithstanding anything to the foregoing set forth in this Section 14.1, if at any time the conditions set forth in Section 14.2(b)(i) or (ii) are in effect, the provisions of this Section 14.1 shall no longer be applicable for any purpose of determining any alternative rate of Interest or Yield under this Participation Agreement and Section 14.2(b) shall instead be applicable for all purposes of determining any alternative rate of Interest or Yield, as the case may be, under this Participation Agreement.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14.2. Deposits Unavailable</w:t>
      </w:r>
      <w:r>
        <w:rPr>
          <w:rFonts w:ascii="Arial" w:cs="Arial" w:eastAsia="Arial" w:hAnsi="Arial"/>
          <w:sz w:val="18"/>
          <w:szCs w:val="18"/>
          <w:color w:val="auto"/>
        </w:rPr>
        <w:t>.</w:t>
      </w:r>
    </w:p>
    <w:p>
      <w:pPr>
        <w:spacing w:after="0" w:line="225" w:lineRule="exact"/>
        <w:rPr>
          <w:sz w:val="20"/>
          <w:szCs w:val="20"/>
          <w:color w:val="auto"/>
        </w:rPr>
      </w:pPr>
    </w:p>
    <w:p>
      <w:pPr>
        <w:ind w:left="1540" w:hanging="235"/>
        <w:spacing w:after="0"/>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any Participant shall have determined that:</w:t>
      </w:r>
    </w:p>
    <w:p>
      <w:pPr>
        <w:spacing w:after="0" w:line="225" w:lineRule="exact"/>
        <w:rPr>
          <w:rFonts w:ascii="Arial" w:cs="Arial" w:eastAsia="Arial" w:hAnsi="Arial"/>
          <w:sz w:val="18"/>
          <w:szCs w:val="18"/>
          <w:color w:val="auto"/>
        </w:rPr>
      </w:pPr>
    </w:p>
    <w:p>
      <w:pPr>
        <w:ind w:left="2180" w:hanging="227"/>
        <w:spacing w:after="0"/>
        <w:tabs>
          <w:tab w:leader="none" w:pos="21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Dollar deposits in the relevant amount and for the relevant Interest Period are not available to such Participant in its relevant</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market; or</w:t>
      </w:r>
    </w:p>
    <w:p>
      <w:pPr>
        <w:spacing w:after="0" w:line="210" w:lineRule="exact"/>
        <w:rPr>
          <w:rFonts w:ascii="Arial" w:cs="Arial" w:eastAsia="Arial" w:hAnsi="Arial"/>
          <w:sz w:val="16"/>
          <w:szCs w:val="16"/>
          <w:color w:val="auto"/>
        </w:rPr>
      </w:pPr>
    </w:p>
    <w:p>
      <w:pPr>
        <w:ind w:left="1300" w:firstLine="653"/>
        <w:spacing w:after="0" w:line="277" w:lineRule="auto"/>
        <w:tabs>
          <w:tab w:leader="none" w:pos="2216" w:val="left"/>
        </w:tabs>
        <w:numPr>
          <w:ilvl w:val="1"/>
          <w:numId w:val="62"/>
        </w:numPr>
        <w:rPr>
          <w:rFonts w:ascii="Arial" w:cs="Arial" w:eastAsia="Arial" w:hAnsi="Arial"/>
          <w:sz w:val="18"/>
          <w:szCs w:val="18"/>
          <w:color w:val="auto"/>
        </w:rPr>
      </w:pPr>
      <w:r>
        <w:rPr>
          <w:rFonts w:ascii="Arial" w:cs="Arial" w:eastAsia="Arial" w:hAnsi="Arial"/>
          <w:sz w:val="18"/>
          <w:szCs w:val="18"/>
          <w:color w:val="auto"/>
        </w:rPr>
        <w:t>by reason of circumstances affecting such Participant’s relevant market, adequate means do not exist for ascertaining the LIBO Rate applicable to such Participant’s Loans or Lessor Amount,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then, upon notice from such Participant to the Lessee and the other Participants, (x) the obligations of the Participants to make available Loans or Lessor Amount on a LIBO Rate basis, as the case may be, shall be suspended and (y) each outstanding Loan and Lessor Amount, as the case may be, of the affected Participant shall begin to bear Interest or accrue Yield at the Alternate Base Rate on the last day of the then current Interest Period applicable thereto.</w:t>
      </w:r>
    </w:p>
    <w:p>
      <w:pPr>
        <w:spacing w:after="0" w:line="147" w:lineRule="exact"/>
        <w:rPr>
          <w:sz w:val="20"/>
          <w:szCs w:val="20"/>
          <w:color w:val="auto"/>
        </w:rPr>
      </w:pPr>
    </w:p>
    <w:p>
      <w:pPr>
        <w:jc w:val="both"/>
        <w:ind w:left="660" w:firstLine="645"/>
        <w:spacing w:after="0" w:line="264" w:lineRule="auto"/>
        <w:tabs>
          <w:tab w:leader="none" w:pos="15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the foregoing, if at any time the Administrative Agent determines (which determination shall be conclusive absent manifest error), or the Lessee or Parent Guarantor notifies the Administrative Agent that it has determined, that (i) adequate and reasonable means do not exist for ascertaining the LIBO Rate (including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4" w:name="page55"/>
    <w:bookmarkEnd w:id="54"/>
    <w:p>
      <w:pPr>
        <w:jc w:val="both"/>
        <w:ind w:left="660"/>
        <w:spacing w:after="0" w:line="284" w:lineRule="auto"/>
        <w:rPr>
          <w:sz w:val="20"/>
          <w:szCs w:val="20"/>
          <w:color w:val="auto"/>
        </w:rPr>
      </w:pPr>
      <w:r>
        <w:rPr>
          <w:rFonts w:ascii="Arial" w:cs="Arial" w:eastAsia="Arial" w:hAnsi="Arial"/>
          <w:sz w:val="16"/>
          <w:szCs w:val="16"/>
          <w:color w:val="auto"/>
        </w:rPr>
        <w:t>because the LIBOR Screen Rate is not available or published on a current basis), for a Loan or Lessor Amount or for the applicable Interest Period and such circumstances are unlikely to be temporary or (ii) the circumstances set forth in subclause (i) above have not arisen but any of (w) the supervisor for the administrator of the LIBOR Screen Rate has made a public statement that the administrator of the LIBOR Screen Rate is insolvent (and there is no successor administrator that will continue publication of the LIBOR Screen Rate), (x) the administrator of the LIBOR Screen Rate has made a public statement identifying a specific date after which the LIBOR Screen Rate will permanently or indefinitely cease to be published by it (and there is no successor administrator that will continue publication of the LIBOR Screen Rate), (y) the supervisor for the administrator of the LIBOR Screen Rate has made a public statement identifying a specific date after which the LIBOR Screen Rate will permanently or indefinitely cease to be published or (z) the supervisor for the administrator of the LIBOR Screen Rate or a Governmental Authority having jurisdiction over the Administrative Agent has made a public statement identifying a specific date after which the LIBOR Screen Rate may no longer be used for determining interest rates for loans, then the Administrative Agent and the Lessee shall endeavor to establish an alternate rate of interest or yield to the LIBO Rate that gives due consideration to the then prevailing market convention for determining a rate of interest for syndicated loans in the United States at such time, and shall enter into an amendment to this Participation Agreement to reflect such alternate rate of interest or yield and such other related changes (including any mathematical or other adjustments to the benchmark (if any) incorporated therein) to this Participation Agreement as may be applicable; provided that, if such alternate rate of interest or yield as so determined would be less than zero, such rate shall be deemed to be zero for the purposes of this Participation Agreement. Notwithstanding anything to the contrary in Section 15.5, such amendment shall become effective without any further action or consent of any other party to this Participation Agreement so long as the Administrative Agent shall not have received, within five (5) Business Days of the date notice of such alternate rate of interest or yield, as applicable, is provided to the Participants, a written notice from the Required Participants stating that such Required Participants object to such amendment. Until an alternate rate of interest or yield, as applicable, shall be determined in accordance with this Section 14.2(b) (but, in the case of the circumstances described in subclause (ii)(w), subclause (ii)(x) or subclause (ii)(y) of the first sentence of this Section 14.2(b), only to the extent the LIBOR Screen Rate for such Interest Period is not available or published at such time on a current basis), (A) the obligations of the Participants to make available Loans or Lessor Amount on a LIBO Rate basis, as the case may be, shall be suspended and (B) each outstanding Loan and Lessor Amount, as the case may be, of the affected Participant shall begin to bear Interest or accrue Yield at the Alternate Base Rate on the last day of the then current Interest Period applicable thereto.</w:t>
      </w:r>
    </w:p>
    <w:p>
      <w:pPr>
        <w:spacing w:after="0" w:line="395"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i w:val="1"/>
          <w:iCs w:val="1"/>
          <w:color w:val="auto"/>
        </w:rPr>
        <w:t>Section 14.3. Increased Costs, etc</w:t>
      </w:r>
      <w:r>
        <w:rPr>
          <w:rFonts w:ascii="Arial" w:cs="Arial" w:eastAsia="Arial" w:hAnsi="Arial"/>
          <w:sz w:val="16"/>
          <w:szCs w:val="16"/>
          <w:color w:val="auto"/>
        </w:rPr>
        <w:t>. If any change in, or the introduction, adoption, effectiveness, interpretation, reinterpretation or phase-in of any law or</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directive, guideline, decision or request (whether or not having the force of law) of any court, central bank, regulator or other Governmental Authority after the Original Closing Date increases or would increase the cost other than in respect of Taxes, except for withholding taxes imposed as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5" w:name="page56"/>
    <w:bookmarkEnd w:id="55"/>
    <w:p>
      <w:pPr>
        <w:jc w:val="both"/>
        <w:spacing w:after="0" w:line="267" w:lineRule="auto"/>
        <w:rPr>
          <w:sz w:val="20"/>
          <w:szCs w:val="20"/>
          <w:color w:val="auto"/>
        </w:rPr>
      </w:pPr>
      <w:r>
        <w:rPr>
          <w:rFonts w:ascii="Arial" w:cs="Arial" w:eastAsia="Arial" w:hAnsi="Arial"/>
          <w:sz w:val="17"/>
          <w:szCs w:val="17"/>
          <w:color w:val="auto"/>
        </w:rPr>
        <w:t xml:space="preserve">result of any change in law, regulation or treaty first enacted, promulgated or signed after the Original Closing Date (and without limiting Lessee’s obligations pursuant to Sections 13.4, 13.5 or 14.6 hereof), to any Participant of, or reduces or would reduce the amount of any sum receivable by, such Participant in respect of making available, continuing or maintaining (or of its obligation to make available, continue or maintain) or prevents or would prevent any Participant from being legally entitled to a complete exemption from withholding as described in Section 12.3 with respect to, any Loans or Lessor Amount, as the case may be, then the Lessee shall from time to time, within thirty (30) days of demand by such Participant together with the certificate referred to below (with a copy of such demand and certificate to the Administrative Agent), pay to the Administrative Agent for the account of such Participant additional amounts sufficient to compensate such Participant for such increased cost;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Participant shall be entitled to demand such compensation more than ninety (90) days following the later of such Participant’s incurrence or sufferance thereof and such Participant’s actual knowledge of the event giving rise to such Participant’s rights under this section;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provision shall in no way limit the right of any Participant to demand or receive such compensation to the extent that such compensation relates to the retroactive application of any law, regulation, guideline or request if such demand is made within ninety (90) days after the implementation of such retroactive law, interpretation, guideline or request. A reasonably detailed certificate as to the nature and amount of such increased cost, submitted to the Lessee and the Administrative Agent by such Participant in good faith, shall be conclusive and binding for all purposes, absent manifest error.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14.4. Funding Losses</w:t>
      </w:r>
      <w:r>
        <w:rPr>
          <w:rFonts w:ascii="Arial" w:cs="Arial" w:eastAsia="Arial" w:hAnsi="Arial"/>
          <w:sz w:val="18"/>
          <w:szCs w:val="18"/>
          <w:color w:val="auto"/>
        </w:rPr>
        <w:t>. In the event any Participant shall incur any loss or out-of-pocket expense (including any Break Costs and any loss or out-of-pocket expense incurred by reason of the liquidation or reemployment of deposits or other funds acquired by such Participant to make available, continue or maintain any portion of the principal amount of any Loan or Lessor Amount, as the case may be, but in any such case excluding loss of anticipated profits) as a result of:</w:t>
      </w:r>
    </w:p>
    <w:p>
      <w:pPr>
        <w:spacing w:after="0" w:line="187" w:lineRule="exact"/>
        <w:rPr>
          <w:sz w:val="20"/>
          <w:szCs w:val="20"/>
          <w:color w:val="auto"/>
        </w:rPr>
      </w:pPr>
    </w:p>
    <w:p>
      <w:pPr>
        <w:ind w:left="660" w:firstLine="645"/>
        <w:spacing w:after="0" w:line="277" w:lineRule="auto"/>
        <w:tabs>
          <w:tab w:leader="none" w:pos="15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conversion or repayment or prepayment of the principal amount of any Loans or Lessor Amount, as the case may be, on a date other than the scheduled last day of the Interest Period applicable thereto, or</w:t>
      </w:r>
    </w:p>
    <w:p>
      <w:pPr>
        <w:spacing w:after="0" w:line="170" w:lineRule="exact"/>
        <w:rPr>
          <w:rFonts w:ascii="Arial" w:cs="Arial" w:eastAsia="Arial" w:hAnsi="Arial"/>
          <w:sz w:val="18"/>
          <w:szCs w:val="18"/>
          <w:color w:val="auto"/>
        </w:rPr>
      </w:pPr>
    </w:p>
    <w:p>
      <w:pPr>
        <w:ind w:left="660" w:firstLine="645"/>
        <w:spacing w:after="0" w:line="342" w:lineRule="auto"/>
        <w:tabs>
          <w:tab w:leader="none" w:pos="157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Loans or Lessor Amount, as the case may be, not made in accordance with the Advance Request (unless such failure to make such Loans or fund such Lessor Amount, as the case may be, constitutes a breach by the applicable Participant of its obligations under Article III),</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 upon the written notice of such Participant to the Lessee (with a copy to Lessor), the Lessee shall, within thirty (30) days after its receipt thereof, pay directly to such Participant as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6" w:name="page57"/>
    <w:bookmarkEnd w:id="56"/>
    <w:p>
      <w:pPr>
        <w:jc w:val="both"/>
        <w:spacing w:after="0" w:line="297" w:lineRule="auto"/>
        <w:rPr>
          <w:sz w:val="20"/>
          <w:szCs w:val="20"/>
          <w:color w:val="auto"/>
        </w:rPr>
      </w:pPr>
      <w:r>
        <w:rPr>
          <w:rFonts w:ascii="Arial" w:cs="Arial" w:eastAsia="Arial" w:hAnsi="Arial"/>
          <w:sz w:val="16"/>
          <w:szCs w:val="16"/>
          <w:color w:val="auto"/>
        </w:rPr>
        <w:t>Supplemental Rent such amount (determined on the basis of such Participant’s standard practices) as will reimburse such Participant for such loss or out-of-pocket expense. Such written notice (which shall include calculations in sufficiently reasonable detail to indicate the incurrence and amount of such loss and out-of-pocket expense) shall be presumed correct and binding on the Lessee absent demonstrable error. Notwithstanding anything herein to the contrary, Lessee shall not be required to compensate a Participant pursuant to this Section for any amounts under this Section 14.4 incurred more than one hundred twenty (120) days prior to the date that such Participant notifies Lessee of such amount and of such Participant’s intention to claim compensation therefor.</w:t>
      </w:r>
    </w:p>
    <w:p>
      <w:pPr>
        <w:spacing w:after="0" w:line="158"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i w:val="1"/>
          <w:iCs w:val="1"/>
          <w:color w:val="auto"/>
        </w:rPr>
        <w:t>Section 14.5. Increased Capital Costs</w:t>
      </w:r>
      <w:r>
        <w:rPr>
          <w:rFonts w:ascii="Arial" w:cs="Arial" w:eastAsia="Arial" w:hAnsi="Arial"/>
          <w:sz w:val="17"/>
          <w:szCs w:val="17"/>
          <w:color w:val="auto"/>
        </w:rPr>
        <w:t>. If any Participant reasonably determines that compliance with any law or regulation or any guideline or request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any central bank or other Governmental Authority (whether or not having the force of law) issued, promulgated or made, as the case may be, after the Original Closing Date affects or would affect the amount or liquidity of capital required or expected to be maintained by such Participant or any corporation controlling such Participant and that the amount or liquidity of such capital is increased by or based upon the existence of such Participant’s Commitment hereunder and other commitments of this type then, within thirty (30) days of demand by such Participant together with the certificate referred to below (with a copy of such demand and certificate to the Administrative Agent), the Lessee shall pay to the Administrative Agent for the account of such Participant, from time to time as specified by such Participant, additional amounts sufficient to compensate such Participant or such corporation in the light of such circumstances, to the extent that such Participant determines such increase in capital to be allocable to the existence of such Participant’s Commitment hereunder or the Fundings made by such Participant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Participant shall be entitled to demand such compensation if more than ninety (90) days following the later of such Participant’s incurrence or sufferance thereof and such Participant’s actual knowledge of the event giving rise to such Participant’s rights under this section;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proviso shall in no way limit the right of any Participant to demand or receive such compensation to the extent that such compensation relates to the retroactive application of any law, regulation, guideline or request described above if such demand is made within one hundred twenty (120) days after the implementation of such retroactive law, interpretation, guidelines or request. A reasonably detailed certificate as to such amounts submitted to the Lessee and the Administrative Agent by such Participant in good faith shall be conclusive and binding for all purposes, absent manifest error.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14.6. After Tax Basis</w:t>
      </w:r>
      <w:r>
        <w:rPr>
          <w:rFonts w:ascii="Arial" w:cs="Arial" w:eastAsia="Arial" w:hAnsi="Arial"/>
          <w:sz w:val="18"/>
          <w:szCs w:val="18"/>
          <w:color w:val="auto"/>
        </w:rPr>
        <w:t>. Lessee shall pay all amounts owing under this Article XIV on an After Tax Basis.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14.7. Applicability of Certain Sections</w:t>
      </w:r>
      <w:r>
        <w:rPr>
          <w:rFonts w:ascii="Arial" w:cs="Arial" w:eastAsia="Arial" w:hAnsi="Arial"/>
          <w:sz w:val="18"/>
          <w:szCs w:val="18"/>
          <w:color w:val="auto"/>
        </w:rPr>
        <w:t>. The provisions of Sections 14.1 through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7" w:name="page58"/>
    <w:bookmarkEnd w:id="57"/>
    <w:p>
      <w:pPr>
        <w:jc w:val="both"/>
        <w:ind w:right="20"/>
        <w:spacing w:after="0" w:line="277" w:lineRule="auto"/>
        <w:rPr>
          <w:sz w:val="20"/>
          <w:szCs w:val="20"/>
          <w:color w:val="auto"/>
        </w:rPr>
      </w:pPr>
      <w:r>
        <w:rPr>
          <w:rFonts w:ascii="Arial" w:cs="Arial" w:eastAsia="Arial" w:hAnsi="Arial"/>
          <w:sz w:val="18"/>
          <w:szCs w:val="18"/>
          <w:color w:val="auto"/>
        </w:rPr>
        <w:t>14.6 are applicable to the Lessor and the Participants in connection with any funding or maintenance thereof by reference to the LIBO Rate, and not otherwise.</w:t>
      </w:r>
    </w:p>
    <w:p>
      <w:pPr>
        <w:spacing w:after="0" w:line="17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Section 14.8. Funding Office</w:t>
      </w:r>
      <w:r>
        <w:rPr>
          <w:rFonts w:ascii="Arial" w:cs="Arial" w:eastAsia="Arial" w:hAnsi="Arial"/>
          <w:sz w:val="16"/>
          <w:szCs w:val="16"/>
          <w:color w:val="auto"/>
        </w:rPr>
        <w:t>. If the Lessee is required to pay additional amounts to or for the account of any Participant pursuant to Sections 13.4, 14.1</w:t>
      </w:r>
      <w:r>
        <w:rPr>
          <w:rFonts w:ascii="Arial" w:cs="Arial" w:eastAsia="Arial" w:hAnsi="Arial"/>
          <w:sz w:val="16"/>
          <w:szCs w:val="16"/>
          <w:i w:val="1"/>
          <w:iCs w:val="1"/>
          <w:color w:val="auto"/>
        </w:rPr>
        <w:t xml:space="preserve"> </w:t>
      </w:r>
      <w:r>
        <w:rPr>
          <w:rFonts w:ascii="Arial" w:cs="Arial" w:eastAsia="Arial" w:hAnsi="Arial"/>
          <w:sz w:val="16"/>
          <w:szCs w:val="16"/>
          <w:color w:val="auto"/>
        </w:rPr>
        <w:t>to 14.3 or Section 14.5, to the extent applicable, then such Participant will agree to use reasonable efforts to reduce or eliminate any claim for compensation thereunder, including, without limitation, to change the jurisdiction of its Applicable Lending Office so as to eliminate or reduce any such additional payment which may thereafter accrue if such change, in the sole judgment of such Participant, is not otherwise disadvantageous to such Participant.</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i w:val="1"/>
          <w:iCs w:val="1"/>
          <w:color w:val="auto"/>
        </w:rPr>
        <w:t>Section 14.9. Replacement of Participants</w:t>
      </w:r>
      <w:r>
        <w:rPr>
          <w:rFonts w:ascii="Arial" w:cs="Arial" w:eastAsia="Arial" w:hAnsi="Arial"/>
          <w:sz w:val="16"/>
          <w:szCs w:val="16"/>
          <w:color w:val="auto"/>
        </w:rPr>
        <w:t>. (a) If (i) any Participant shall make demand for payment under Section 14.3 or 14.5, or shall deliver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notice to the Administrative Agent pursuant to Section 14.1 resulting in the suspension of certain obligations of the Participants with respect to LIBO Rate Advances, (ii) any Participant is a Non-Renewing Participant, (iii) any Participant shall refuse to consent to any amendment, modification or waiver which has been approved by the Required Participants but can only become effective upon the consent of all Participants, all Lenders, each Participant affected thereby or each Lender affected thereby, as the case may be, or (iv) any Recipient becomes subject to a Withholding Tax or any other Tax in respect of which Lessee is required to pay additional amounts pursuant to Section 13.4, then within sixty (60) days of such demand, failure to consent or refusal, Lessee may elect to replace such Participant as a party to this Participation Agreement (or, if later with respect to any Non-Renewing Participant, prior to the Renewal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concurrently with such replacement, (1) another Eligible Assignee designated by the Lessee shall agree, as of such date, to (x) purchase for cash all (but not less than all) of the outstanding Participant Balance of such Participant being replaced (other than amounts, if any, paid by the Lessee pursuant to subclause (2) below) pursuant to an Assignment Agreement and (y) become a Participant for all purposes under this Participation Agreement and to comply with the requirements of Section 12.1, and (2) Lessee shall pay to such Participant being replaced in same day funds on the day of such replacement (x) all interest, fees and other amounts then accrued but unpaid to such Participant by Lessee hereunder to and including the date of termination (other than amounts, if any, paid by the replacement Participant pursuant to subclause (1) above), and (y) an amount, if any, which would have been due to such Participant under Section 14.4 hereof if such Participant’s Loans and/or Lessor Amount had been prepaid rather than assigned.</w:t>
      </w:r>
    </w:p>
    <w:p>
      <w:pPr>
        <w:spacing w:after="0" w:line="172" w:lineRule="exact"/>
        <w:rPr>
          <w:sz w:val="20"/>
          <w:szCs w:val="20"/>
          <w:color w:val="auto"/>
        </w:rPr>
      </w:pPr>
    </w:p>
    <w:p>
      <w:pPr>
        <w:ind w:firstLine="656"/>
        <w:spacing w:after="0" w:line="277" w:lineRule="auto"/>
        <w:tabs>
          <w:tab w:leader="none" w:pos="9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Administrative Agent and the Lessor hereby agree to reasonably cooperate with the Lessee, at Lessee’s sole cost and expense, in Lessee’s efforts to arrange one or more replacement Participants as contemplated by this Section 14.9.</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22"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party hereto agrees that an assignment required pursuant to this Section 14.9 may be effected pursuant to an Assignment Agreement executed by the Lessee, the Administrative Agent and the assignee, and the Participant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Participant, provided that any such documents shall be without recourse to or warranty by the parties thereto.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p>
    <w:p>
      <w:pPr>
        <w:spacing w:after="0" w:line="19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Section 15.1. Survival of Agreements</w:t>
      </w:r>
      <w:r>
        <w:rPr>
          <w:rFonts w:ascii="Arial" w:cs="Arial" w:eastAsia="Arial" w:hAnsi="Arial"/>
          <w:sz w:val="17"/>
          <w:szCs w:val="17"/>
          <w:color w:val="auto"/>
        </w:rPr>
        <w:t>. All covenants, agreements, representations and warranties in the Operative Documents made by the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thereto and in the certificates or other instruments delivered in connection with or pursuant to any Operative Document shall be considered to have been relied upon by the other parties hereto and thereto and shall survive the execution and delivery of the Operative Documents and the making of the Advance, regardless of any investigation made by any such other party or on its behalf and notwithstanding that any party hereto or thereto may have had notice or knowledge of any default or incorrect representation or warranty at the time any credit is extended hereunder or thereunder, and shall continue in full force and effect until the Lease Balance has been paid in full and the Commitments have expired or been terminated. The provisions of Article XIII and Sections 14.3, 14.4, 14.5, 15.15, 15.16 and 15.17 shall survive and remain in full force and effect regardless of the consummation of the transactions contemplated hereby, the repayment of the Lease Balance, the expiration or termination of the Commitments or the termination of this Participation Agreement or any other Operative Document or any provision hereof or thereof.</w:t>
      </w:r>
    </w:p>
    <w:p>
      <w:pPr>
        <w:spacing w:after="0" w:line="18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Section 15.2. No Broker, Etc</w:t>
      </w:r>
      <w:r>
        <w:rPr>
          <w:rFonts w:ascii="Arial" w:cs="Arial" w:eastAsia="Arial" w:hAnsi="Arial"/>
          <w:sz w:val="18"/>
          <w:szCs w:val="18"/>
          <w:color w:val="auto"/>
        </w:rPr>
        <w:t>. Except for Lessee’s and the Guarantors’ dealing with Banc of America Leasing &amp; Capital, LLC, as the Arranger,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parties hereto represents to the others that it has not retained or employed the Arranger, or any broker, finder or financial advisor to act on its behalf in connection with this Participation Agreement, nor has it authorized the Arranger, or any broker, finder or financial adviser retained or employed by any other Person so to act, nor has it incurred any fees or commissions to which Lessor, Administrative Agent or any Participant might be subjected by virtue of their entering into the Overall Transaction. Any party who is in breach of this representation shall indemnify and hold the other parties harmless from and against any liability arising out of such breach of this representation.</w:t>
      </w:r>
    </w:p>
    <w:p>
      <w:pPr>
        <w:spacing w:after="0" w:line="19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Section 15.3. Notices</w:t>
      </w:r>
      <w:r>
        <w:rPr>
          <w:rFonts w:ascii="Arial" w:cs="Arial" w:eastAsia="Arial" w:hAnsi="Arial"/>
          <w:sz w:val="16"/>
          <w:szCs w:val="16"/>
          <w:color w:val="auto"/>
        </w:rPr>
        <w:t>. (a) Unless otherwise specified herein, all notices, requests, demands or other communications to or upon the respective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hereto shall be in writing and shall be deemed to have been duly given and shall be effective: (i) in the case of notice by letter, the earlier of when delivered to the addressee by hand or courier if delivered on a Business Day and, if not delivered on a Business Day, the first Business Day thereafter or on the third Business Day after depositing the same in the mails, registered or certified mail, postage prepaid, return receipt requested, (ii) in the case of a prepaid delivery to a reputable national overnight air courier service, on the Business Day following such date of delivery, and (iii) in the case of notice by facsimile or bank wire, when receipt is confirmed if delivered on a Business Day and, if not delivered on a Business Day, the first Business Day thereafter, addressed as provided on Schedule III hereto, or to such other address as any of the parties hereto may designate by written notice. Notices and other communications delivered through Electronic Systems, to the extent provided in Section 15.3(b) below, shall be effective as provided in such Section 15.3(b).</w:t>
      </w:r>
    </w:p>
    <w:p>
      <w:pPr>
        <w:spacing w:after="0" w:line="166" w:lineRule="exact"/>
        <w:rPr>
          <w:sz w:val="20"/>
          <w:szCs w:val="20"/>
          <w:color w:val="auto"/>
        </w:rPr>
      </w:pPr>
    </w:p>
    <w:p>
      <w:pPr>
        <w:ind w:left="5620" w:right="4540" w:hanging="4315"/>
        <w:spacing w:after="0" w:line="496" w:lineRule="auto"/>
        <w:tabs>
          <w:tab w:leader="none" w:pos="1556"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Notices and other communications to the Participants under the Operative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9" w:name="page60"/>
    <w:bookmarkEnd w:id="59"/>
    <w:p>
      <w:pPr>
        <w:jc w:val="both"/>
        <w:spacing w:after="0" w:line="270" w:lineRule="auto"/>
        <w:rPr>
          <w:sz w:val="20"/>
          <w:szCs w:val="20"/>
          <w:color w:val="auto"/>
        </w:rPr>
      </w:pPr>
      <w:r>
        <w:rPr>
          <w:rFonts w:ascii="Arial" w:cs="Arial" w:eastAsia="Arial" w:hAnsi="Arial"/>
          <w:sz w:val="17"/>
          <w:szCs w:val="17"/>
          <w:color w:val="auto"/>
        </w:rPr>
        <w:t xml:space="preserve">Documents may be delivered or furnished by using Electronic Systems pursuant to procedures approved by the Administrative Agent. The Administrative Agent, the Lessee or any Guarantor may, in its discretion, agree to accept notices and other communications to such party under the Operative Documents by electronic communications pursuant to procedures approved by such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78" w:lineRule="exact"/>
        <w:rPr>
          <w:sz w:val="20"/>
          <w:szCs w:val="20"/>
          <w:color w:val="auto"/>
        </w:rPr>
      </w:pPr>
    </w:p>
    <w:p>
      <w:pPr>
        <w:jc w:val="both"/>
        <w:ind w:firstLine="1305"/>
        <w:spacing w:after="0" w:line="273" w:lineRule="auto"/>
        <w:tabs>
          <w:tab w:leader="none" w:pos="155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Participant agrees that notice to it (as provided in the next sentence) (a “</w:t>
      </w:r>
      <w:r>
        <w:rPr>
          <w:rFonts w:ascii="Arial" w:cs="Arial" w:eastAsia="Arial" w:hAnsi="Arial"/>
          <w:sz w:val="17"/>
          <w:szCs w:val="17"/>
          <w:u w:val="single" w:color="auto"/>
          <w:color w:val="auto"/>
        </w:rPr>
        <w:t>Notice</w:t>
      </w:r>
      <w:r>
        <w:rPr>
          <w:rFonts w:ascii="Arial" w:cs="Arial" w:eastAsia="Arial" w:hAnsi="Arial"/>
          <w:sz w:val="17"/>
          <w:szCs w:val="17"/>
          <w:color w:val="auto"/>
        </w:rPr>
        <w:t>”) specifying that any Communications have been posted to the Approved Electronic Platform shall constitute effective delivery of the Communications to such Participant for purposes of this Participation Agreement and other applicable Operative Documents. Each Participant agrees (i) to notify the Administrative Agent in writing of such Participant’s e-mail address to which a Notice may be sent by electronic transmission (including by electronic communication) on or before the date such Participant becomes a party to this Participation Agreement (and from time to time thereafter to ensure that the Administrative Agent has on record an effective e-mail address for such Participant) and (ii) that any Notice may be sent to such e-mail address.</w:t>
      </w:r>
    </w:p>
    <w:p>
      <w:pPr>
        <w:spacing w:after="0" w:line="178" w:lineRule="exact"/>
        <w:rPr>
          <w:rFonts w:ascii="Arial" w:cs="Arial" w:eastAsia="Arial" w:hAnsi="Arial"/>
          <w:sz w:val="17"/>
          <w:szCs w:val="17"/>
          <w:color w:val="auto"/>
        </w:rPr>
      </w:pPr>
    </w:p>
    <w:p>
      <w:pPr>
        <w:jc w:val="both"/>
        <w:ind w:firstLine="1305"/>
        <w:spacing w:after="0" w:line="312" w:lineRule="auto"/>
        <w:tabs>
          <w:tab w:leader="none" w:pos="158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Lessee agrees that the Administrative Agent may, but shall not be obligated to, make any Communications available to the Participants by posting the Communications on IntraLinks™, DebtDomain, SyndTrak, ClearPar or any other electronic platform chosen by the Administrative Agent to be its electronic transmission system in connection with the transactions contemplated hereby (the “</w:t>
      </w:r>
      <w:r>
        <w:rPr>
          <w:rFonts w:ascii="Arial" w:cs="Arial" w:eastAsia="Arial" w:hAnsi="Arial"/>
          <w:sz w:val="16"/>
          <w:szCs w:val="16"/>
          <w:i w:val="1"/>
          <w:iCs w:val="1"/>
          <w:color w:val="auto"/>
        </w:rPr>
        <w:t>Approved Electronic Platform</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jc w:val="both"/>
        <w:ind w:firstLine="1305"/>
        <w:spacing w:after="0" w:line="254" w:lineRule="auto"/>
        <w:tabs>
          <w:tab w:leader="none" w:pos="155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Although the Approved Electronic Platform and its primary web portal are secured with generally-applicable security procedures and policies implemented or modified by the Administrative Agent from time to time (including, as of the Original Closing Date, a user ID/password authorization system) and the Approved Electronic Platform is secured through a per-deal authorization method whereby each user may access the Approved Electronic Platform only on a deal-by-deal basis, each of the Participants and the Lessee acknowledge and agree that the distribution of material through an electronic medium is not necessarily secure, that the Administrative Agent is not responsible for approving or vetting the representatives or contacts of any Participant that are added to the Approved Electronic Platform, and that there are confidentiality and other risks associated with such distribution. Each of the Participants and the Lessee hereby approve distribution of the Communications through the Approved Electronic Platform and understands and assumes the risks of such distribution.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0" w:name="page61"/>
    <w:bookmarkEnd w:id="60"/>
    <w:p>
      <w:pPr>
        <w:jc w:val="both"/>
        <w:ind w:firstLine="1305"/>
        <w:spacing w:after="0" w:line="251" w:lineRule="auto"/>
        <w:tabs>
          <w:tab w:leader="none" w:pos="1562"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OR ANY OF ITS RELATED PARTIES (COLLECTIVELY, “APPLICABLE PARTIES”) HAVE ANY LIABILITY TO THE LESSEE, ANY GUARANTOR, ANY PARTICIPANT OR ANY OTHER PERSON OR ENTITY FOR DAMAGES OF ANY KIND, INCLUDING DIRECT OR INDIRECT, SPECIAL, INCIDENTAL OR CONSEQUENTIAL DAMAGES, LOSSES OR EXPENSES (WHETHER IN TORT, CONTRACT OR OTHERWISE) ARISING OUT OF TRANSMISSION OF COMMUNICATIONS BY THE LESSEE, ANY GUARANTOR, THE LESSOR OR THE ADMINISTRATIVE AGENT THROUGH THE INTERNET OR THE APPROVED ELECTRONIC PLATFORM EXCEPT WITH RESPECT TO ACTUAL OR DIRECT DAMAGES TO THE EXTENT DETERMINED BY A COURT OF COMPETENT JURISDICTION BY FINAL AND NONAPPEALABLE JUDGMENT TO HAVE RESULTED FROM THE WILLFUL MISCONDUCT OR GROSS NEGLIGENCE OF ANY APPLICABLE PARTY; PROVIDED THAT ANY COMMUNICATION OR ANY OTHER DISSEMINATION OR DISCLOSURE OF ANY INFORMATION (AS DEFINED IN SECTION 15.14) TO ANY PARTICIPANTS, PROSPECTIVE PARTICIPANTS, SUB-PARTICIPANTS OR PROSPECTIVE SUB-PARTICIPANTS OR, TO THE EXTENT SUCH DISCLOSURE IS OTHERWISE PERMITTED BY SECTION 15.14, TO ANY OTHER PERSON THROUGH THE APPROVED ELECTRONIC PLATFORM SHALL BE MADE SUBJECT TO THE ACKNOWLEDGEMENT AND ACCEPTANCE BY SUCH PERSON THAT SUCH COMMUNICATION IS BEING DISSEMINATED OR DISCLOSED ON A CONFIDENTIAL BASIS (ON TERMS SUBSTANTIALLY THE SAME AS SET FORTH IN SECTION 15.14 OR OTHERWISE REASONABLY ACCEPTABLE TO THE ADMINISTRATIVE AGENT AND THE LESSEE), WHICH SHALL IN ANY EVENT REQUIRE “CLICK THROUGH” OR OTHER AFFIRMATIVE ACTIONS ON THE PART OF THE RECIPIENT TO ACCESS SUCH COMMUNICATION.</w:t>
      </w:r>
    </w:p>
    <w:p>
      <w:pPr>
        <w:spacing w:after="0" w:line="211" w:lineRule="exact"/>
        <w:rPr>
          <w:rFonts w:ascii="Arial" w:cs="Arial" w:eastAsia="Arial" w:hAnsi="Arial"/>
          <w:sz w:val="18"/>
          <w:szCs w:val="18"/>
          <w:color w:val="auto"/>
        </w:rPr>
      </w:pPr>
    </w:p>
    <w:p>
      <w:pPr>
        <w:jc w:val="both"/>
        <w:ind w:firstLine="1305"/>
        <w:spacing w:after="0" w:line="264" w:lineRule="auto"/>
        <w:tabs>
          <w:tab w:leader="none" w:pos="1566"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the Participants and the Lessee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1" w:lineRule="exact"/>
        <w:rPr>
          <w:rFonts w:ascii="Arial" w:cs="Arial" w:eastAsia="Arial" w:hAnsi="Arial"/>
          <w:sz w:val="18"/>
          <w:szCs w:val="18"/>
          <w:color w:val="auto"/>
        </w:rPr>
      </w:pPr>
    </w:p>
    <w:p>
      <w:pPr>
        <w:ind w:right="20" w:firstLine="1305"/>
        <w:spacing w:after="0" w:line="277" w:lineRule="auto"/>
        <w:tabs>
          <w:tab w:leader="none" w:pos="1558"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Nothing herein shall prejudice the right of the Lessee, any Guarantor, the Administrative Agent or any Participant to give any notice or other communication pursuant 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any Operative Document in any other manner specified in such Operative Document.</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Section 15.4. Counterparts</w:t>
      </w:r>
      <w:r>
        <w:rPr>
          <w:rFonts w:ascii="Arial" w:cs="Arial" w:eastAsia="Arial" w:hAnsi="Arial"/>
          <w:sz w:val="18"/>
          <w:szCs w:val="18"/>
          <w:color w:val="auto"/>
        </w:rPr>
        <w:t>. This Participation Agreement may be executed by the parties hereto in separate counterparts, each of which when so</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and delivered shall be an original, but all such counterparts shall together constitute but one and the same instrument.</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Section 15.5. Amendments</w:t>
      </w:r>
      <w:r>
        <w:rPr>
          <w:rFonts w:ascii="Arial" w:cs="Arial" w:eastAsia="Arial" w:hAnsi="Arial"/>
          <w:sz w:val="17"/>
          <w:szCs w:val="17"/>
          <w:color w:val="auto"/>
        </w:rPr>
        <w:t>. Except as provided in Section 14.2(b), no Operative Document nor any of the terms thereof may be terminated,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restated, supplemented, waived or modified without the written agreement or consent of Administrative Agent, Lessee and the Required Participants;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Section 15.19 hereof may not be terminated, amended, restated, supplemented, waived or modified without the written agreement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consent of the Arranger; and </w:t>
      </w:r>
      <w:r>
        <w:rPr>
          <w:rFonts w:ascii="Arial" w:cs="Arial" w:eastAsia="Arial" w:hAnsi="Arial"/>
          <w:sz w:val="17"/>
          <w:szCs w:val="17"/>
          <w:i w:val="1"/>
          <w:iCs w:val="1"/>
          <w:color w:val="auto"/>
        </w:rPr>
        <w:t>provided</w:t>
      </w:r>
      <w:r>
        <w:rPr>
          <w:rFonts w:ascii="Arial" w:cs="Arial" w:eastAsia="Arial" w:hAnsi="Arial"/>
          <w:sz w:val="17"/>
          <w:szCs w:val="17"/>
          <w:color w:val="auto"/>
        </w:rPr>
        <w:t>, further, that such termination, amendment, supplement, waiver or modification shall require the written agreement or consent of each Participant if such termination, amendment, supplement, waiver or modification would:</w:t>
      </w:r>
    </w:p>
    <w:p>
      <w:pPr>
        <w:spacing w:after="0" w:line="173" w:lineRule="exact"/>
        <w:rPr>
          <w:sz w:val="20"/>
          <w:szCs w:val="20"/>
          <w:color w:val="auto"/>
        </w:rPr>
      </w:pPr>
    </w:p>
    <w:p>
      <w:pPr>
        <w:ind w:left="660" w:firstLine="645"/>
        <w:spacing w:after="0" w:line="277" w:lineRule="auto"/>
        <w:tabs>
          <w:tab w:leader="none" w:pos="15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modify any of the provisions of this Section 15.5, change the definition of “Required Participants” or modify or waive any provision of an Operative Document expressly requiring consent, approval or action by each Participant or each Affected Participant;</w:t>
      </w:r>
    </w:p>
    <w:p>
      <w:pPr>
        <w:spacing w:after="0" w:line="170" w:lineRule="exact"/>
        <w:rPr>
          <w:rFonts w:ascii="Arial" w:cs="Arial" w:eastAsia="Arial" w:hAnsi="Arial"/>
          <w:sz w:val="18"/>
          <w:szCs w:val="18"/>
          <w:color w:val="auto"/>
        </w:rPr>
      </w:pPr>
    </w:p>
    <w:p>
      <w:pPr>
        <w:ind w:left="660" w:firstLine="645"/>
        <w:spacing w:after="0" w:line="277" w:lineRule="auto"/>
        <w:tabs>
          <w:tab w:leader="none" w:pos="15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amend, modify, waive or supplement any of the provisions of Sections 4.1, 4.2, 4.5, 4.7 and 5.3 hereof or Sections 2.5, 2.6 or 2.7 of the Loan Agreement or the definitions of “Applicable Margin”, “Interest Rate” or “Yield Rate”;</w:t>
      </w:r>
    </w:p>
    <w:p>
      <w:pPr>
        <w:spacing w:after="0" w:line="170" w:lineRule="exact"/>
        <w:rPr>
          <w:rFonts w:ascii="Arial" w:cs="Arial" w:eastAsia="Arial" w:hAnsi="Arial"/>
          <w:sz w:val="18"/>
          <w:szCs w:val="18"/>
          <w:color w:val="auto"/>
        </w:rPr>
      </w:pPr>
    </w:p>
    <w:p>
      <w:pPr>
        <w:ind w:left="660" w:firstLine="645"/>
        <w:spacing w:after="0" w:line="342" w:lineRule="auto"/>
        <w:tabs>
          <w:tab w:leader="none" w:pos="1581"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reduce, modify, amend or waive any fees or indemnities in favor of any Participant, including without limitation amounts payable pursuant to Article XIII (except that any Person may consent to any reduction, modification, amendment or waiver of any indemnity payable to it);</w:t>
      </w:r>
    </w:p>
    <w:p>
      <w:pPr>
        <w:spacing w:after="0" w:line="123" w:lineRule="exact"/>
        <w:rPr>
          <w:rFonts w:ascii="Arial" w:cs="Arial" w:eastAsia="Arial" w:hAnsi="Arial"/>
          <w:sz w:val="16"/>
          <w:szCs w:val="16"/>
          <w:color w:val="auto"/>
        </w:rPr>
      </w:pPr>
    </w:p>
    <w:p>
      <w:pPr>
        <w:jc w:val="both"/>
        <w:ind w:left="660" w:firstLine="645"/>
        <w:spacing w:after="0" w:line="254" w:lineRule="auto"/>
        <w:tabs>
          <w:tab w:leader="none" w:pos="15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modify, postpone, reduce or forgive, in whole or in part, any payment of Rent (other than pursuant to the terms of the Operative Documents), any Loan or Lessor Amount, the Lease Balance, the Loan Balance, Sale Option Recourse Amount, Recourse Amount, Permitted Development Area Release Payment, amounts due pursuant to Section 20.2 of the Lease, Interest, Yield or Upfront Fee (except that any Person may consent to any modification, postponement, reduction or forgiveness of any payment of any Fees payable to it or, subject to clause (c) above, any other amount payable to it under the Lease or this Participation Agreement), modify the definition or method of calculation of Rent (other than pursuant to the terms of the Operative Documents), Loans or Lessor Amounts, Lease Balance, Loan Balance, Lessor Balance, Sale Option Recourse Amount, Commitment, Participant Balance or any other definition which would affect the amounts to be advanced or which are payable under the Operative Documents;</w:t>
      </w:r>
    </w:p>
    <w:p>
      <w:pPr>
        <w:spacing w:after="0" w:line="192" w:lineRule="exact"/>
        <w:rPr>
          <w:rFonts w:ascii="Arial" w:cs="Arial" w:eastAsia="Arial" w:hAnsi="Arial"/>
          <w:sz w:val="18"/>
          <w:szCs w:val="18"/>
          <w:color w:val="auto"/>
        </w:rPr>
      </w:pPr>
    </w:p>
    <w:p>
      <w:pPr>
        <w:jc w:val="both"/>
        <w:ind w:left="660" w:firstLine="645"/>
        <w:spacing w:after="0" w:line="264" w:lineRule="auto"/>
        <w:tabs>
          <w:tab w:leader="none" w:pos="15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consent to any assignment of the Lease (other than any assignment or sublease permitted by Article VI of the Lease) by the Lessee releasing the Lessee from its obligations in respect of the payments of Rent, Loan Balance, Lessor Balance or Lease Balance or changing the absolute and unconditional character of such obligations;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2" w:name="page63"/>
    <w:bookmarkEnd w:id="62"/>
    <w:p>
      <w:pPr>
        <w:jc w:val="both"/>
        <w:ind w:left="660" w:firstLine="645"/>
        <w:spacing w:after="0" w:line="259" w:lineRule="auto"/>
        <w:tabs>
          <w:tab w:leader="none" w:pos="1566"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except as provided in the Operative Documents, (i) release of any Lien granted by the Lessee or the Lessor under the Operative Documents, (ii) release of any Guarantor under the Guaranty or release the Guaranty or (iii) modify Section 1 of the Guaranty, or modify or waive any obligation of the Guarantor that relates to an obligation of the Lessee expressly requiring consent, approval or action by each Participant or each Affected Participant;</w:t>
      </w:r>
    </w:p>
    <w:p>
      <w:pPr>
        <w:spacing w:after="0" w:line="186" w:lineRule="exact"/>
        <w:rPr>
          <w:rFonts w:ascii="Arial" w:cs="Arial" w:eastAsia="Arial" w:hAnsi="Arial"/>
          <w:sz w:val="18"/>
          <w:szCs w:val="18"/>
          <w:color w:val="auto"/>
        </w:rPr>
      </w:pPr>
    </w:p>
    <w:p>
      <w:pPr>
        <w:ind w:left="660" w:firstLine="645"/>
        <w:spacing w:after="0" w:line="277" w:lineRule="auto"/>
        <w:tabs>
          <w:tab w:leader="none" w:pos="15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amend, release or waive compliance with the terms of Section 16.1(h), (i) or (j) of the Lease with respect to the Lessee or the Parent Guarantor; or</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increase the Aggregate Commitment Amount without the consent of each Participant.</w:t>
      </w:r>
    </w:p>
    <w:p>
      <w:pPr>
        <w:spacing w:after="0" w:line="225"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Without limiting the foregoing, (1) no increase in the Commitment of any Participant shall occur without the consent of such Participant and (2) no amendment, supplement, waiver or modification to the Operative Documents (A) shall be effective with respect to the definitions of “Excepted Rights” and “Excepted Payments”, the Loan Agreement, the Assignment of Leases, Articles VI, IX, X, XI, XIII, XIX or XX of the Lease, Article XII of this Participation Agreement or any definitions used therein, unless Lessor has agreed to such amendment, supplement, waiver or modification or (B) which increases the Lessor’s obligations under the Operative Documents or adversely affect the Lessor’s rights or its interest under the Operative Documents or the Leased Property, without the Lessor’s prior written consent. Notwithstanding anything to the contrary in this Section 15.5, any amendment or modification pursuant to Section 14.2(b) or of the financial covenants in this Participation Agreement (or defined terms used in the financial covenants in this Participation Agreement) shall not constitute a reduction in the rate of interest or fees for purposes of this Section 15.5 even if the effect of such amendment or modification would be to reduce the rate of Interest or Yield or to reduce any fee payable under any of the Operative Documents.</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15.6. Obligations</w:t>
      </w:r>
      <w:r>
        <w:rPr>
          <w:rFonts w:ascii="Arial" w:cs="Arial" w:eastAsia="Arial" w:hAnsi="Arial"/>
          <w:sz w:val="18"/>
          <w:szCs w:val="18"/>
          <w:color w:val="auto"/>
        </w:rPr>
        <w:t>. The Lessee shall pay, as Supplemental Rent, when due, all costs, expenses and other amounts (other than the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on the Loans which are payable to the extent otherwise required by the Operative Documents) required to be paid by the Lessor to or on behalf of the Administrative Agent or the Lenders under the Loan Agreement and any Security Instrument.</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Section 15.7. Headings, Etc</w:t>
      </w:r>
      <w:r>
        <w:rPr>
          <w:rFonts w:ascii="Arial" w:cs="Arial" w:eastAsia="Arial" w:hAnsi="Arial"/>
          <w:sz w:val="18"/>
          <w:szCs w:val="18"/>
          <w:color w:val="auto"/>
        </w:rPr>
        <w:t>. The Table of Contents and headings of the various Articles and Sections of this Participation Agreement are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convenience of reference only and shall not modify, define, expand or limit any of the terms or provisions hereof.</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15.8. Parties in Interest</w:t>
      </w:r>
      <w:r>
        <w:rPr>
          <w:rFonts w:ascii="Arial" w:cs="Arial" w:eastAsia="Arial" w:hAnsi="Arial"/>
          <w:sz w:val="18"/>
          <w:szCs w:val="18"/>
          <w:color w:val="auto"/>
        </w:rPr>
        <w:t>. Except as provided in Section 15.19 and as otherwise expressly provided herein, none of the provisions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 is intended for the benefit of any Person except the parties hereto. Except as otherwise specifically provided for in an Operative Document, the Lessee shall not assign or transfer any of its rights or obligations under the Operative Documents without the prior written consent of the Required Participants.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3" w:name="page64"/>
    <w:bookmarkEnd w:id="63"/>
    <w:p>
      <w:pPr>
        <w:jc w:val="both"/>
        <w:ind w:firstLine="432"/>
        <w:spacing w:after="0" w:line="257"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2"/>
          <w:szCs w:val="12"/>
          <w:i w:val="1"/>
          <w:iCs w:val="1"/>
          <w:color w:val="auto"/>
        </w:rPr>
        <w:t>ECTION</w:t>
      </w:r>
      <w:r>
        <w:rPr>
          <w:rFonts w:ascii="Arial" w:cs="Arial" w:eastAsia="Arial" w:hAnsi="Arial"/>
          <w:sz w:val="18"/>
          <w:szCs w:val="18"/>
          <w:i w:val="1"/>
          <w:iCs w:val="1"/>
          <w:color w:val="auto"/>
        </w:rPr>
        <w:t xml:space="preserve"> 15.9. G</w:t>
      </w:r>
      <w:r>
        <w:rPr>
          <w:rFonts w:ascii="Arial" w:cs="Arial" w:eastAsia="Arial" w:hAnsi="Arial"/>
          <w:sz w:val="12"/>
          <w:szCs w:val="12"/>
          <w:i w:val="1"/>
          <w:iCs w:val="1"/>
          <w:color w:val="auto"/>
        </w:rPr>
        <w:t>OVERNING</w:t>
      </w:r>
      <w:r>
        <w:rPr>
          <w:rFonts w:ascii="Arial" w:cs="Arial" w:eastAsia="Arial" w:hAnsi="Arial"/>
          <w:sz w:val="18"/>
          <w:szCs w:val="18"/>
          <w:i w:val="1"/>
          <w:iCs w:val="1"/>
          <w:color w:val="auto"/>
        </w:rPr>
        <w:t xml:space="preserve"> L</w:t>
      </w:r>
      <w:r>
        <w:rPr>
          <w:rFonts w:ascii="Arial" w:cs="Arial" w:eastAsia="Arial" w:hAnsi="Arial"/>
          <w:sz w:val="12"/>
          <w:szCs w:val="12"/>
          <w:i w:val="1"/>
          <w:iCs w:val="1"/>
          <w:color w:val="auto"/>
        </w:rPr>
        <w:t>AW</w:t>
      </w:r>
      <w:r>
        <w:rPr>
          <w:rFonts w:ascii="Arial" w:cs="Arial" w:eastAsia="Arial" w:hAnsi="Arial"/>
          <w:sz w:val="18"/>
          <w:szCs w:val="18"/>
          <w:color w:val="auto"/>
        </w:rPr>
        <w:t>. T</w:t>
      </w:r>
      <w:r>
        <w:rPr>
          <w:rFonts w:ascii="Arial" w:cs="Arial" w:eastAsia="Arial" w:hAnsi="Arial"/>
          <w:sz w:val="12"/>
          <w:szCs w:val="12"/>
          <w:color w:val="auto"/>
        </w:rPr>
        <w:t>HIS</w:t>
      </w:r>
      <w:r>
        <w:rPr>
          <w:rFonts w:ascii="Arial" w:cs="Arial" w:eastAsia="Arial" w:hAnsi="Arial"/>
          <w:sz w:val="18"/>
          <w:szCs w:val="18"/>
          <w:i w:val="1"/>
          <w:iCs w:val="1"/>
          <w:color w:val="auto"/>
        </w:rPr>
        <w:t xml:space="preserve"> </w:t>
      </w:r>
      <w:r>
        <w:rPr>
          <w:rFonts w:ascii="Arial" w:cs="Arial" w:eastAsia="Arial" w:hAnsi="Arial"/>
          <w:sz w:val="18"/>
          <w:szCs w:val="18"/>
          <w:color w:val="auto"/>
        </w:rPr>
        <w:t>P</w:t>
      </w:r>
      <w:r>
        <w:rPr>
          <w:rFonts w:ascii="Arial" w:cs="Arial" w:eastAsia="Arial" w:hAnsi="Arial"/>
          <w:sz w:val="12"/>
          <w:szCs w:val="12"/>
          <w:color w:val="auto"/>
        </w:rPr>
        <w:t>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2"/>
          <w:szCs w:val="12"/>
          <w:color w:val="auto"/>
        </w:rPr>
        <w:t>GREEMENT SHALL IN ALL RESPECTS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2"/>
          <w:szCs w:val="12"/>
          <w:color w:val="auto"/>
        </w:rPr>
        <w:t>EXCEPT AS SET FORTH IN THE PROVISO</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2"/>
          <w:szCs w:val="12"/>
          <w:color w:val="auto"/>
        </w:rPr>
        <w:t>BE GOVERNED BY THE INTERNAL LAW OF</w:t>
      </w:r>
      <w:r>
        <w:rPr>
          <w:rFonts w:ascii="Arial" w:cs="Arial" w:eastAsia="Arial" w:hAnsi="Arial"/>
          <w:sz w:val="18"/>
          <w:szCs w:val="18"/>
          <w:i w:val="1"/>
          <w:iCs w:val="1"/>
          <w:color w:val="auto"/>
        </w:rPr>
        <w:t xml:space="preserve"> </w:t>
      </w:r>
      <w:r>
        <w:rPr>
          <w:rFonts w:ascii="Arial" w:cs="Arial" w:eastAsia="Arial" w:hAnsi="Arial"/>
          <w:sz w:val="12"/>
          <w:szCs w:val="12"/>
          <w:color w:val="auto"/>
        </w:rPr>
        <w:t xml:space="preserve">THE </w:t>
      </w:r>
      <w:r>
        <w:rPr>
          <w:rFonts w:ascii="Arial" w:cs="Arial" w:eastAsia="Arial" w:hAnsi="Arial"/>
          <w:sz w:val="18"/>
          <w:szCs w:val="18"/>
          <w:color w:val="auto"/>
        </w:rPr>
        <w:t>S</w:t>
      </w:r>
      <w:r>
        <w:rPr>
          <w:rFonts w:ascii="Arial" w:cs="Arial" w:eastAsia="Arial" w:hAnsi="Arial"/>
          <w:sz w:val="12"/>
          <w:szCs w:val="12"/>
          <w:color w:val="auto"/>
        </w:rPr>
        <w:t xml:space="preserve">TATE OF </w:t>
      </w:r>
      <w:r>
        <w:rPr>
          <w:rFonts w:ascii="Arial" w:cs="Arial" w:eastAsia="Arial" w:hAnsi="Arial"/>
          <w:sz w:val="18"/>
          <w:szCs w:val="18"/>
          <w:color w:val="auto"/>
        </w:rPr>
        <w:t>N</w:t>
      </w:r>
      <w:r>
        <w:rPr>
          <w:rFonts w:ascii="Arial" w:cs="Arial" w:eastAsia="Arial" w:hAnsi="Arial"/>
          <w:sz w:val="12"/>
          <w:szCs w:val="12"/>
          <w:color w:val="auto"/>
        </w:rPr>
        <w:t xml:space="preserve">EW </w:t>
      </w:r>
      <w:r>
        <w:rPr>
          <w:rFonts w:ascii="Arial" w:cs="Arial" w:eastAsia="Arial" w:hAnsi="Arial"/>
          <w:sz w:val="18"/>
          <w:szCs w:val="18"/>
          <w:color w:val="auto"/>
        </w:rPr>
        <w:t>Y</w:t>
      </w:r>
      <w:r>
        <w:rPr>
          <w:rFonts w:ascii="Arial" w:cs="Arial" w:eastAsia="Arial" w:hAnsi="Arial"/>
          <w:sz w:val="12"/>
          <w:szCs w:val="12"/>
          <w:color w:val="auto"/>
        </w:rPr>
        <w:t>ORK AS TO ALL MATTERS OF CONSTRUCTION</w:t>
      </w:r>
      <w:r>
        <w:rPr>
          <w:rFonts w:ascii="Arial" w:cs="Arial" w:eastAsia="Arial" w:hAnsi="Arial"/>
          <w:sz w:val="18"/>
          <w:szCs w:val="18"/>
          <w:color w:val="auto"/>
        </w:rPr>
        <w:t>,</w:t>
      </w:r>
      <w:r>
        <w:rPr>
          <w:rFonts w:ascii="Arial" w:cs="Arial" w:eastAsia="Arial" w:hAnsi="Arial"/>
          <w:sz w:val="12"/>
          <w:szCs w:val="12"/>
          <w:color w:val="auto"/>
        </w:rPr>
        <w:t xml:space="preserve"> VALIDITY AND PERFORMANCE</w:t>
      </w:r>
      <w:r>
        <w:rPr>
          <w:rFonts w:ascii="Arial" w:cs="Arial" w:eastAsia="Arial" w:hAnsi="Arial"/>
          <w:sz w:val="18"/>
          <w:szCs w:val="18"/>
          <w:color w:val="auto"/>
        </w:rPr>
        <w:t>,</w:t>
      </w:r>
      <w:r>
        <w:rPr>
          <w:rFonts w:ascii="Arial" w:cs="Arial" w:eastAsia="Arial" w:hAnsi="Arial"/>
          <w:sz w:val="12"/>
          <w:szCs w:val="12"/>
          <w:color w:val="auto"/>
        </w:rPr>
        <w:t xml:space="preserve"> WITHOUT REGARD TO CONFLICTS OF LAW PRINCIPLES</w:t>
      </w:r>
      <w:r>
        <w:rPr>
          <w:rFonts w:ascii="Arial" w:cs="Arial" w:eastAsia="Arial" w:hAnsi="Arial"/>
          <w:sz w:val="18"/>
          <w:szCs w:val="18"/>
          <w:color w:val="auto"/>
        </w:rPr>
        <w:t>,</w:t>
      </w:r>
      <w:r>
        <w:rPr>
          <w:rFonts w:ascii="Arial" w:cs="Arial" w:eastAsia="Arial" w:hAnsi="Arial"/>
          <w:sz w:val="12"/>
          <w:szCs w:val="12"/>
          <w:color w:val="auto"/>
        </w:rPr>
        <w:t xml:space="preserve"> EXCEPT </w:t>
      </w:r>
      <w:r>
        <w:rPr>
          <w:rFonts w:ascii="Arial" w:cs="Arial" w:eastAsia="Arial" w:hAnsi="Arial"/>
          <w:sz w:val="18"/>
          <w:szCs w:val="18"/>
          <w:color w:val="auto"/>
        </w:rPr>
        <w:t>T</w:t>
      </w:r>
      <w:r>
        <w:rPr>
          <w:rFonts w:ascii="Arial" w:cs="Arial" w:eastAsia="Arial" w:hAnsi="Arial"/>
          <w:sz w:val="12"/>
          <w:szCs w:val="12"/>
          <w:color w:val="auto"/>
        </w:rPr>
        <w:t xml:space="preserve">ITLE </w:t>
      </w:r>
      <w:r>
        <w:rPr>
          <w:rFonts w:ascii="Arial" w:cs="Arial" w:eastAsia="Arial" w:hAnsi="Arial"/>
          <w:sz w:val="18"/>
          <w:szCs w:val="18"/>
          <w:color w:val="auto"/>
        </w:rPr>
        <w:t>14</w:t>
      </w:r>
      <w:r>
        <w:rPr>
          <w:rFonts w:ascii="Arial" w:cs="Arial" w:eastAsia="Arial" w:hAnsi="Arial"/>
          <w:sz w:val="12"/>
          <w:szCs w:val="12"/>
          <w:color w:val="auto"/>
        </w:rPr>
        <w:t xml:space="preserve"> OF </w:t>
      </w:r>
      <w:r>
        <w:rPr>
          <w:rFonts w:ascii="Arial" w:cs="Arial" w:eastAsia="Arial" w:hAnsi="Arial"/>
          <w:sz w:val="18"/>
          <w:szCs w:val="18"/>
          <w:color w:val="auto"/>
        </w:rPr>
        <w:t>A</w:t>
      </w:r>
      <w:r>
        <w:rPr>
          <w:rFonts w:ascii="Arial" w:cs="Arial" w:eastAsia="Arial" w:hAnsi="Arial"/>
          <w:sz w:val="12"/>
          <w:szCs w:val="12"/>
          <w:color w:val="auto"/>
        </w:rPr>
        <w:t xml:space="preserve">RTICLE </w:t>
      </w:r>
      <w:r>
        <w:rPr>
          <w:rFonts w:ascii="Arial" w:cs="Arial" w:eastAsia="Arial" w:hAnsi="Arial"/>
          <w:sz w:val="18"/>
          <w:szCs w:val="18"/>
          <w:color w:val="auto"/>
        </w:rPr>
        <w:t xml:space="preserve">5 </w:t>
      </w:r>
      <w:r>
        <w:rPr>
          <w:rFonts w:ascii="Arial" w:cs="Arial" w:eastAsia="Arial" w:hAnsi="Arial"/>
          <w:sz w:val="12"/>
          <w:szCs w:val="12"/>
          <w:color w:val="auto"/>
        </w:rPr>
        <w:t>OF THE</w:t>
      </w:r>
      <w:r>
        <w:rPr>
          <w:rFonts w:ascii="Arial" w:cs="Arial" w:eastAsia="Arial" w:hAnsi="Arial"/>
          <w:sz w:val="18"/>
          <w:szCs w:val="18"/>
          <w:color w:val="auto"/>
        </w:rPr>
        <w:t xml:space="preserve">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 GENERAL OBLIGATIONS LAW</w:t>
      </w:r>
      <w:r>
        <w:rPr>
          <w:rFonts w:ascii="Arial" w:cs="Arial" w:eastAsia="Arial" w:hAnsi="Arial"/>
          <w:sz w:val="18"/>
          <w:szCs w:val="18"/>
          <w:color w:val="auto"/>
        </w:rPr>
        <w:t xml:space="preserve">; </w:t>
      </w:r>
      <w:r>
        <w:rPr>
          <w:rFonts w:ascii="Arial" w:cs="Arial" w:eastAsia="Arial" w:hAnsi="Arial"/>
          <w:sz w:val="12"/>
          <w:szCs w:val="12"/>
          <w:i w:val="1"/>
          <w:iCs w:val="1"/>
          <w:color w:val="auto"/>
        </w:rPr>
        <w:t>PROVIDED</w:t>
      </w:r>
      <w:r>
        <w:rPr>
          <w:rFonts w:ascii="Arial" w:cs="Arial" w:eastAsia="Arial" w:hAnsi="Arial"/>
          <w:sz w:val="18"/>
          <w:szCs w:val="18"/>
          <w:color w:val="auto"/>
        </w:rPr>
        <w:t xml:space="preserve">, </w:t>
      </w:r>
      <w:r>
        <w:rPr>
          <w:rFonts w:ascii="Arial" w:cs="Arial" w:eastAsia="Arial" w:hAnsi="Arial"/>
          <w:sz w:val="12"/>
          <w:szCs w:val="12"/>
          <w:i w:val="1"/>
          <w:iCs w:val="1"/>
          <w:color w:val="auto"/>
        </w:rPr>
        <w:t>HOWEVER</w:t>
      </w:r>
      <w:r>
        <w:rPr>
          <w:rFonts w:ascii="Arial" w:cs="Arial" w:eastAsia="Arial" w:hAnsi="Arial"/>
          <w:sz w:val="18"/>
          <w:szCs w:val="18"/>
          <w:color w:val="auto"/>
        </w:rPr>
        <w:t xml:space="preserve">, </w:t>
      </w:r>
      <w:r>
        <w:rPr>
          <w:rFonts w:ascii="Arial" w:cs="Arial" w:eastAsia="Arial" w:hAnsi="Arial"/>
          <w:sz w:val="12"/>
          <w:szCs w:val="12"/>
          <w:color w:val="auto"/>
        </w:rPr>
        <w:t>THAT WITH RESPECT TO THE CREATION</w:t>
      </w:r>
      <w:r>
        <w:rPr>
          <w:rFonts w:ascii="Arial" w:cs="Arial" w:eastAsia="Arial" w:hAnsi="Arial"/>
          <w:sz w:val="18"/>
          <w:szCs w:val="18"/>
          <w:color w:val="auto"/>
        </w:rPr>
        <w:t xml:space="preserve">, </w:t>
      </w:r>
      <w:r>
        <w:rPr>
          <w:rFonts w:ascii="Arial" w:cs="Arial" w:eastAsia="Arial" w:hAnsi="Arial"/>
          <w:sz w:val="12"/>
          <w:szCs w:val="12"/>
          <w:color w:val="auto"/>
        </w:rPr>
        <w:t>PERFECTION</w:t>
      </w:r>
      <w:r>
        <w:rPr>
          <w:rFonts w:ascii="Arial" w:cs="Arial" w:eastAsia="Arial" w:hAnsi="Arial"/>
          <w:sz w:val="18"/>
          <w:szCs w:val="18"/>
          <w:color w:val="auto"/>
        </w:rPr>
        <w:t xml:space="preserve">, </w:t>
      </w:r>
      <w:r>
        <w:rPr>
          <w:rFonts w:ascii="Arial" w:cs="Arial" w:eastAsia="Arial" w:hAnsi="Arial"/>
          <w:sz w:val="12"/>
          <w:szCs w:val="12"/>
          <w:color w:val="auto"/>
        </w:rPr>
        <w:t>EFFECT OF PERFECTION</w:t>
      </w:r>
      <w:r>
        <w:rPr>
          <w:rFonts w:ascii="Arial" w:cs="Arial" w:eastAsia="Arial" w:hAnsi="Arial"/>
          <w:sz w:val="18"/>
          <w:szCs w:val="18"/>
          <w:color w:val="auto"/>
        </w:rPr>
        <w:t xml:space="preserve">, </w:t>
      </w:r>
      <w:r>
        <w:rPr>
          <w:rFonts w:ascii="Arial" w:cs="Arial" w:eastAsia="Arial" w:hAnsi="Arial"/>
          <w:sz w:val="12"/>
          <w:szCs w:val="12"/>
          <w:color w:val="auto"/>
        </w:rPr>
        <w:t>PRIORITY AND ENFORCEMENT OF</w:t>
      </w:r>
      <w:r>
        <w:rPr>
          <w:rFonts w:ascii="Arial" w:cs="Arial" w:eastAsia="Arial" w:hAnsi="Arial"/>
          <w:sz w:val="18"/>
          <w:szCs w:val="18"/>
          <w:color w:val="auto"/>
        </w:rPr>
        <w:t xml:space="preserve"> </w:t>
      </w:r>
      <w:r>
        <w:rPr>
          <w:rFonts w:ascii="Arial" w:cs="Arial" w:eastAsia="Arial" w:hAnsi="Arial"/>
          <w:sz w:val="12"/>
          <w:szCs w:val="12"/>
          <w:color w:val="auto"/>
        </w:rPr>
        <w:t xml:space="preserve">SECURITY INTERESTS AND LIENS IN THE </w:t>
      </w:r>
      <w:r>
        <w:rPr>
          <w:rFonts w:ascii="Arial" w:cs="Arial" w:eastAsia="Arial" w:hAnsi="Arial"/>
          <w:sz w:val="18"/>
          <w:szCs w:val="18"/>
          <w:color w:val="auto"/>
        </w:rPr>
        <w:t>L</w:t>
      </w:r>
      <w:r>
        <w:rPr>
          <w:rFonts w:ascii="Arial" w:cs="Arial" w:eastAsia="Arial" w:hAnsi="Arial"/>
          <w:sz w:val="12"/>
          <w:szCs w:val="12"/>
          <w:color w:val="auto"/>
        </w:rPr>
        <w:t xml:space="preserve">EASED </w:t>
      </w:r>
      <w:r>
        <w:rPr>
          <w:rFonts w:ascii="Arial" w:cs="Arial" w:eastAsia="Arial" w:hAnsi="Arial"/>
          <w:sz w:val="18"/>
          <w:szCs w:val="18"/>
          <w:color w:val="auto"/>
        </w:rPr>
        <w:t>P</w:t>
      </w:r>
      <w:r>
        <w:rPr>
          <w:rFonts w:ascii="Arial" w:cs="Arial" w:eastAsia="Arial" w:hAnsi="Arial"/>
          <w:sz w:val="12"/>
          <w:szCs w:val="12"/>
          <w:color w:val="auto"/>
        </w:rPr>
        <w:t xml:space="preserve">ROPERTY AND </w:t>
      </w:r>
      <w:r>
        <w:rPr>
          <w:rFonts w:ascii="Arial" w:cs="Arial" w:eastAsia="Arial" w:hAnsi="Arial"/>
          <w:sz w:val="18"/>
          <w:szCs w:val="18"/>
          <w:color w:val="auto"/>
        </w:rPr>
        <w:t>C</w:t>
      </w:r>
      <w:r>
        <w:rPr>
          <w:rFonts w:ascii="Arial" w:cs="Arial" w:eastAsia="Arial" w:hAnsi="Arial"/>
          <w:sz w:val="12"/>
          <w:szCs w:val="12"/>
          <w:color w:val="auto"/>
        </w:rPr>
        <w:t>OLLATERAL</w:t>
      </w:r>
      <w:r>
        <w:rPr>
          <w:rFonts w:ascii="Arial" w:cs="Arial" w:eastAsia="Arial" w:hAnsi="Arial"/>
          <w:sz w:val="18"/>
          <w:szCs w:val="18"/>
          <w:color w:val="auto"/>
        </w:rPr>
        <w:t>,</w:t>
      </w:r>
      <w:r>
        <w:rPr>
          <w:rFonts w:ascii="Arial" w:cs="Arial" w:eastAsia="Arial" w:hAnsi="Arial"/>
          <w:sz w:val="12"/>
          <w:szCs w:val="12"/>
          <w:color w:val="auto"/>
        </w:rPr>
        <w:t xml:space="preserve"> SUCH MATTERS SHALL BE GOVERNED BY THE LAWS OF THE </w:t>
      </w:r>
      <w:r>
        <w:rPr>
          <w:rFonts w:ascii="Arial" w:cs="Arial" w:eastAsia="Arial" w:hAnsi="Arial"/>
          <w:sz w:val="18"/>
          <w:szCs w:val="18"/>
          <w:color w:val="auto"/>
        </w:rPr>
        <w:t>S</w:t>
      </w:r>
      <w:r>
        <w:rPr>
          <w:rFonts w:ascii="Arial" w:cs="Arial" w:eastAsia="Arial" w:hAnsi="Arial"/>
          <w:sz w:val="12"/>
          <w:szCs w:val="12"/>
          <w:color w:val="auto"/>
        </w:rPr>
        <w:t xml:space="preserve">TATE OF </w:t>
      </w:r>
      <w:r>
        <w:rPr>
          <w:rFonts w:ascii="Arial" w:cs="Arial" w:eastAsia="Arial" w:hAnsi="Arial"/>
          <w:sz w:val="18"/>
          <w:szCs w:val="18"/>
          <w:color w:val="auto"/>
        </w:rPr>
        <w:t>N</w:t>
      </w:r>
      <w:r>
        <w:rPr>
          <w:rFonts w:ascii="Arial" w:cs="Arial" w:eastAsia="Arial" w:hAnsi="Arial"/>
          <w:sz w:val="12"/>
          <w:szCs w:val="12"/>
          <w:color w:val="auto"/>
        </w:rPr>
        <w:t xml:space="preserve">EW </w:t>
      </w:r>
      <w:r>
        <w:rPr>
          <w:rFonts w:ascii="Arial" w:cs="Arial" w:eastAsia="Arial" w:hAnsi="Arial"/>
          <w:sz w:val="18"/>
          <w:szCs w:val="18"/>
          <w:color w:val="auto"/>
        </w:rPr>
        <w:t>Y</w:t>
      </w:r>
      <w:r>
        <w:rPr>
          <w:rFonts w:ascii="Arial" w:cs="Arial" w:eastAsia="Arial" w:hAnsi="Arial"/>
          <w:sz w:val="12"/>
          <w:szCs w:val="12"/>
          <w:color w:val="auto"/>
        </w:rPr>
        <w:t>ORK AND</w:t>
      </w:r>
      <w:r>
        <w:rPr>
          <w:rFonts w:ascii="Arial" w:cs="Arial" w:eastAsia="Arial" w:hAnsi="Arial"/>
          <w:sz w:val="18"/>
          <w:szCs w:val="18"/>
          <w:color w:val="auto"/>
        </w:rPr>
        <w:t>,</w:t>
      </w:r>
      <w:r>
        <w:rPr>
          <w:rFonts w:ascii="Arial" w:cs="Arial" w:eastAsia="Arial" w:hAnsi="Arial"/>
          <w:sz w:val="12"/>
          <w:szCs w:val="12"/>
          <w:color w:val="auto"/>
        </w:rPr>
        <w:t xml:space="preserve"> TO THE EXTENT APPLICABLE</w:t>
      </w:r>
      <w:r>
        <w:rPr>
          <w:rFonts w:ascii="Arial" w:cs="Arial" w:eastAsia="Arial" w:hAnsi="Arial"/>
          <w:sz w:val="18"/>
          <w:szCs w:val="18"/>
          <w:color w:val="auto"/>
        </w:rPr>
        <w:t>,</w:t>
      </w:r>
      <w:r>
        <w:rPr>
          <w:rFonts w:ascii="Arial" w:cs="Arial" w:eastAsia="Arial" w:hAnsi="Arial"/>
          <w:sz w:val="12"/>
          <w:szCs w:val="12"/>
          <w:color w:val="auto"/>
        </w:rPr>
        <w:t xml:space="preserve"> THE </w:t>
      </w:r>
      <w:r>
        <w:rPr>
          <w:rFonts w:ascii="Arial" w:cs="Arial" w:eastAsia="Arial" w:hAnsi="Arial"/>
          <w:sz w:val="18"/>
          <w:szCs w:val="18"/>
          <w:color w:val="auto"/>
        </w:rPr>
        <w:t>U</w:t>
      </w:r>
      <w:r>
        <w:rPr>
          <w:rFonts w:ascii="Arial" w:cs="Arial" w:eastAsia="Arial" w:hAnsi="Arial"/>
          <w:sz w:val="12"/>
          <w:szCs w:val="12"/>
          <w:color w:val="auto"/>
        </w:rPr>
        <w:t xml:space="preserve">NIFORM </w:t>
      </w:r>
      <w:r>
        <w:rPr>
          <w:rFonts w:ascii="Arial" w:cs="Arial" w:eastAsia="Arial" w:hAnsi="Arial"/>
          <w:sz w:val="18"/>
          <w:szCs w:val="18"/>
          <w:color w:val="auto"/>
        </w:rPr>
        <w:t>C</w:t>
      </w:r>
      <w:r>
        <w:rPr>
          <w:rFonts w:ascii="Arial" w:cs="Arial" w:eastAsia="Arial" w:hAnsi="Arial"/>
          <w:sz w:val="12"/>
          <w:szCs w:val="12"/>
          <w:color w:val="auto"/>
        </w:rPr>
        <w:t xml:space="preserve">OMMERCIAL </w:t>
      </w:r>
      <w:r>
        <w:rPr>
          <w:rFonts w:ascii="Arial" w:cs="Arial" w:eastAsia="Arial" w:hAnsi="Arial"/>
          <w:sz w:val="18"/>
          <w:szCs w:val="18"/>
          <w:color w:val="auto"/>
        </w:rPr>
        <w:t>C</w:t>
      </w:r>
      <w:r>
        <w:rPr>
          <w:rFonts w:ascii="Arial" w:cs="Arial" w:eastAsia="Arial" w:hAnsi="Arial"/>
          <w:sz w:val="12"/>
          <w:szCs w:val="12"/>
          <w:color w:val="auto"/>
        </w:rPr>
        <w:t xml:space="preserve">ODE OF SUCH </w:t>
      </w:r>
      <w:r>
        <w:rPr>
          <w:rFonts w:ascii="Arial" w:cs="Arial" w:eastAsia="Arial" w:hAnsi="Arial"/>
          <w:sz w:val="18"/>
          <w:szCs w:val="18"/>
          <w:color w:val="auto"/>
        </w:rPr>
        <w:t>S</w:t>
      </w:r>
      <w:r>
        <w:rPr>
          <w:rFonts w:ascii="Arial" w:cs="Arial" w:eastAsia="Arial" w:hAnsi="Arial"/>
          <w:sz w:val="12"/>
          <w:szCs w:val="12"/>
          <w:color w:val="auto"/>
        </w:rPr>
        <w:t xml:space="preserve">TATE </w:t>
      </w:r>
      <w:r>
        <w:rPr>
          <w:rFonts w:ascii="Arial" w:cs="Arial" w:eastAsia="Arial" w:hAnsi="Arial"/>
          <w:sz w:val="18"/>
          <w:szCs w:val="18"/>
          <w:color w:val="auto"/>
        </w:rPr>
        <w:t>(</w:t>
      </w:r>
      <w:r>
        <w:rPr>
          <w:rFonts w:ascii="Arial" w:cs="Arial" w:eastAsia="Arial" w:hAnsi="Arial"/>
          <w:sz w:val="12"/>
          <w:szCs w:val="12"/>
          <w:color w:val="auto"/>
        </w:rPr>
        <w:t xml:space="preserve">INCLUDING THE CHOICE OF LAW RULES UNDER SUCH </w:t>
      </w:r>
      <w:r>
        <w:rPr>
          <w:rFonts w:ascii="Arial" w:cs="Arial" w:eastAsia="Arial" w:hAnsi="Arial"/>
          <w:sz w:val="18"/>
          <w:szCs w:val="18"/>
          <w:color w:val="auto"/>
        </w:rPr>
        <w:t>U</w:t>
      </w:r>
      <w:r>
        <w:rPr>
          <w:rFonts w:ascii="Arial" w:cs="Arial" w:eastAsia="Arial" w:hAnsi="Arial"/>
          <w:sz w:val="12"/>
          <w:szCs w:val="12"/>
          <w:color w:val="auto"/>
        </w:rPr>
        <w:t xml:space="preserve">NIFORM </w:t>
      </w:r>
      <w:r>
        <w:rPr>
          <w:rFonts w:ascii="Arial" w:cs="Arial" w:eastAsia="Arial" w:hAnsi="Arial"/>
          <w:sz w:val="18"/>
          <w:szCs w:val="18"/>
          <w:color w:val="auto"/>
        </w:rPr>
        <w:t>C</w:t>
      </w:r>
      <w:r>
        <w:rPr>
          <w:rFonts w:ascii="Arial" w:cs="Arial" w:eastAsia="Arial" w:hAnsi="Arial"/>
          <w:sz w:val="12"/>
          <w:szCs w:val="12"/>
          <w:color w:val="auto"/>
        </w:rPr>
        <w:t xml:space="preserve">OMMERCIAL </w:t>
      </w:r>
      <w:r>
        <w:rPr>
          <w:rFonts w:ascii="Arial" w:cs="Arial" w:eastAsia="Arial" w:hAnsi="Arial"/>
          <w:sz w:val="18"/>
          <w:szCs w:val="18"/>
          <w:color w:val="auto"/>
        </w:rPr>
        <w:t>C</w:t>
      </w:r>
      <w:r>
        <w:rPr>
          <w:rFonts w:ascii="Arial" w:cs="Arial" w:eastAsia="Arial" w:hAnsi="Arial"/>
          <w:sz w:val="12"/>
          <w:szCs w:val="12"/>
          <w:color w:val="auto"/>
        </w:rPr>
        <w:t>ODE</w:t>
      </w:r>
      <w:r>
        <w:rPr>
          <w:rFonts w:ascii="Arial" w:cs="Arial" w:eastAsia="Arial" w:hAnsi="Arial"/>
          <w:sz w:val="18"/>
          <w:szCs w:val="18"/>
          <w:color w:val="auto"/>
        </w:rPr>
        <w:t>).</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15.10. Severability</w:t>
      </w:r>
      <w:r>
        <w:rPr>
          <w:rFonts w:ascii="Arial" w:cs="Arial" w:eastAsia="Arial" w:hAnsi="Arial"/>
          <w:sz w:val="18"/>
          <w:szCs w:val="18"/>
          <w:color w:val="auto"/>
        </w:rPr>
        <w:t>. Any provision of this Participation Agreement that is prohibited or unenforceable in any jurisdiction shall, as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Section 15.11. Further Assurances</w:t>
      </w:r>
      <w:r>
        <w:rPr>
          <w:rFonts w:ascii="Arial" w:cs="Arial" w:eastAsia="Arial" w:hAnsi="Arial"/>
          <w:sz w:val="17"/>
          <w:szCs w:val="17"/>
          <w:color w:val="auto"/>
        </w:rPr>
        <w:t>. The parties hereto shall promptly cause to be taken, executed, acknowledged or delivered, at the reasonable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Lessee, all such further acts, conveyances, documents and assurances as the other parties may from time to time reasonably request in writing in order to carry out more effectively the intent and purposes of this Participation Agreement and the other Operative Documents and the Overall Transaction, including, without limitation, to establish, preserve, protect and perfect the right, title and interest of Lessor and Administrative Agent in the Leased Property, the Lien of Lessor and Administrative Agent in the other Collateral, and/or any Participant’s rights under this Participation Agreement and the other Operative Documents (including, without limitation, the preparation, execution and filing of any and all UCC Financing Statements (including precautionary financing statements) and other filings or registrations which the parties hereto may from time to time reasonably request in writing to be filed or effected). The Lessee, at its own expense and without the need of any prior request from any other party, shall take such action as may be necessary (including any action specified in the preceding sentence), or (if the Lessor shall so request) as so requested, in order to maintain and protect all Liens and security interests provided for hereunder or under any other Operative Document.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15.12. Submission to Jurisdiction</w:t>
      </w:r>
      <w:r>
        <w:rPr>
          <w:rFonts w:ascii="Arial" w:cs="Arial" w:eastAsia="Arial" w:hAnsi="Arial"/>
          <w:sz w:val="18"/>
          <w:szCs w:val="18"/>
          <w:color w:val="auto"/>
        </w:rPr>
        <w:t>. Each party hereto irrevocably and unconditionally:</w:t>
      </w:r>
    </w:p>
    <w:p>
      <w:pPr>
        <w:spacing w:after="0" w:line="225" w:lineRule="exact"/>
        <w:rPr>
          <w:sz w:val="20"/>
          <w:szCs w:val="20"/>
          <w:color w:val="auto"/>
        </w:rPr>
      </w:pPr>
    </w:p>
    <w:p>
      <w:pPr>
        <w:jc w:val="both"/>
        <w:ind w:left="660" w:firstLine="645"/>
        <w:spacing w:after="0" w:line="259" w:lineRule="auto"/>
        <w:tabs>
          <w:tab w:leader="none" w:pos="15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Participation Agreement or any other Operative Document, or for recognition and enforcement of any judgment in respect thereof, to the exclusive general jurisdiction of the United States District Court for the Southern District of New York and of any New York state court sitting in the borough of Manhattan, and appellate courts from any thereof;</w:t>
      </w:r>
    </w:p>
    <w:p>
      <w:pPr>
        <w:spacing w:after="0" w:line="186" w:lineRule="exact"/>
        <w:rPr>
          <w:rFonts w:ascii="Arial" w:cs="Arial" w:eastAsia="Arial" w:hAnsi="Arial"/>
          <w:sz w:val="18"/>
          <w:szCs w:val="18"/>
          <w:color w:val="auto"/>
        </w:rPr>
      </w:pPr>
    </w:p>
    <w:p>
      <w:pPr>
        <w:ind w:left="660" w:firstLine="645"/>
        <w:spacing w:after="0" w:line="277" w:lineRule="auto"/>
        <w:tabs>
          <w:tab w:leader="none" w:pos="15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consents that any such action or proceedings may be brought to such courts, and waives any objection that it may now or hereafter have to the venue of 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4" w:name="page65"/>
    <w:bookmarkEnd w:id="64"/>
    <w:p>
      <w:pPr>
        <w:ind w:left="660"/>
        <w:spacing w:after="0" w:line="277" w:lineRule="auto"/>
        <w:rPr>
          <w:sz w:val="20"/>
          <w:szCs w:val="20"/>
          <w:color w:val="auto"/>
        </w:rPr>
      </w:pPr>
      <w:r>
        <w:rPr>
          <w:rFonts w:ascii="Arial" w:cs="Arial" w:eastAsia="Arial" w:hAnsi="Arial"/>
          <w:sz w:val="18"/>
          <w:szCs w:val="18"/>
          <w:color w:val="auto"/>
        </w:rPr>
        <w:t>such action or proceeding in any such court or that such action or proceeding was brought in an inconvenient court and agrees not to plead or claim the same;</w:t>
      </w:r>
    </w:p>
    <w:p>
      <w:pPr>
        <w:spacing w:after="0" w:line="170" w:lineRule="exact"/>
        <w:rPr>
          <w:sz w:val="20"/>
          <w:szCs w:val="20"/>
          <w:color w:val="auto"/>
        </w:rPr>
      </w:pPr>
    </w:p>
    <w:p>
      <w:pPr>
        <w:jc w:val="both"/>
        <w:ind w:left="660" w:firstLine="645"/>
        <w:spacing w:after="0" w:line="264" w:lineRule="auto"/>
        <w:tabs>
          <w:tab w:leader="none" w:pos="155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party at its address set forth on Schedule III or at such other address of which the other parties hereto shall have been notified pursuant to Section 15.3; and</w:t>
      </w:r>
    </w:p>
    <w:p>
      <w:pPr>
        <w:spacing w:after="0" w:line="181" w:lineRule="exact"/>
        <w:rPr>
          <w:rFonts w:ascii="Arial" w:cs="Arial" w:eastAsia="Arial" w:hAnsi="Arial"/>
          <w:sz w:val="18"/>
          <w:szCs w:val="18"/>
          <w:color w:val="auto"/>
        </w:rPr>
      </w:pPr>
    </w:p>
    <w:p>
      <w:pPr>
        <w:ind w:left="660" w:firstLine="645"/>
        <w:spacing w:after="0" w:line="277" w:lineRule="auto"/>
        <w:tabs>
          <w:tab w:leader="none" w:pos="15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affect the right that any Participant or the Administrative Agent may otherwise have to sue in any other jurisdiction.</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SECTION 15.13. WAIVER OF JURY TRIAL</w:t>
      </w:r>
      <w:r>
        <w:rPr>
          <w:rFonts w:ascii="Arial" w:cs="Arial" w:eastAsia="Arial" w:hAnsi="Arial"/>
          <w:sz w:val="18"/>
          <w:szCs w:val="18"/>
          <w:b w:val="1"/>
          <w:bCs w:val="1"/>
          <w:color w:val="auto"/>
        </w:rPr>
        <w:t>. THE PARTIES HERETO VOLUNTARILY AND INTENTIONALLY WAIVE ANY RIGHTS THEY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MAY HAVE TO A TRIAL BY JURY IN RESPECT OF ANY LITIGATION BASED HEREON, OR ARISING OUT OF, UNDER, OR IN CONNECTION WITH, THIS PARTICIPATION AGREEMENT OR ANY OTHER OPERATIVE DOCUMENT, OR ANY COURSE OF CONDUCT, COURSE OF DEALING, STATEMENTS (WHETHER VERBAL OR WRITTEN) OR ACTIONS OF ANY OF THE PARTIES HERETO AND THERETO. THE PARTIES HERETO HEREBY AGREE THAT THEY WILL NOT SEEK TO CONSOLIDATE ANY SUCH LITIGATION WITH ANY OTHER LITIGATION IN WHICH A JURY TRIAL HAS NOT OR CANNOT BE WAIVED. THE PROVISIONS OF THIS SECTION 15.13 HAVE BEEN FULLY NEGOTIATED BY THE PARTIES HERETO AND SHALL BE SUBJECT TO NO EXCEPTIONS. EACH PARTY ACKNOWLEDGES AND AGREES THAT IT HAS RECEIVED FULL AND SUFFICIENT CONSIDERATION FOR THIS PROVISION (AND EACH OTHER PROVISION OF EACH OTHER OPERATIVE DOCUMENT TO WHICH IT IS A PARTY) AND THAT THIS PROVISION IS A MATERIAL INDUCEMENT FOR EACH OTHER PARTY ENTERING INTO THIS PARTICIPATION AGREEMENT AND EACH OTHER OPERATIVE DOCUMENT.</w:t>
      </w:r>
    </w:p>
    <w:p>
      <w:pPr>
        <w:spacing w:after="0" w:line="19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Section 15.14. Confidentiality</w:t>
      </w:r>
      <w:r>
        <w:rPr>
          <w:rFonts w:ascii="Arial" w:cs="Arial" w:eastAsia="Arial" w:hAnsi="Arial"/>
          <w:sz w:val="17"/>
          <w:szCs w:val="17"/>
          <w:color w:val="auto"/>
        </w:rPr>
        <w:t>. Each of the Participants, the Arranger and the Administrative Agent shall keep confidential, and shall not disclose, any</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(other than information (a) publicly available other than as a result of a breach of this Section or (b) that becomes available to the Participants, the Arranger or the Administrative Agent on a non-confidential basis from a source other than a party hereto or Lessee, any Guarantor or any of their respective Related Parties) that it obtains about the Lessee, the Guarantors or their respective Affiliates or their respective business or securities or the books and records of Lessee, the Guarantors or their respective Affiliates or relating to the Leased Property (collectively, the “</w:t>
      </w:r>
      <w:r>
        <w:rPr>
          <w:rFonts w:ascii="Arial" w:cs="Arial" w:eastAsia="Arial" w:hAnsi="Arial"/>
          <w:sz w:val="17"/>
          <w:szCs w:val="17"/>
          <w:i w:val="1"/>
          <w:iCs w:val="1"/>
          <w:color w:val="auto"/>
        </w:rPr>
        <w:t>Information</w:t>
      </w:r>
      <w:r>
        <w:rPr>
          <w:rFonts w:ascii="Arial" w:cs="Arial" w:eastAsia="Arial" w:hAnsi="Arial"/>
          <w:sz w:val="17"/>
          <w:szCs w:val="17"/>
          <w:color w:val="auto"/>
        </w:rPr>
        <w:t xml:space="preserve">”), except that such party may disclose such Information (i) to the extent required by Applicable Laws, (ii) to its Affiliates and its and such Affiliates’ respective attorneys, auditors, accountants and other professional advisors (it being understood that the Persons to whom such disclosure is made will be informed of the confidential nature of such Information and instructed to keep such Information confidential);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disclosing Administrative Agent or Participant, as applicable, shall be responsible for compliance by such</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5" w:name="page66"/>
    <w:bookmarkEnd w:id="65"/>
    <w:p>
      <w:pPr>
        <w:jc w:val="both"/>
        <w:spacing w:after="0" w:line="302" w:lineRule="auto"/>
        <w:rPr>
          <w:sz w:val="20"/>
          <w:szCs w:val="20"/>
          <w:color w:val="auto"/>
        </w:rPr>
      </w:pPr>
      <w:r>
        <w:rPr>
          <w:rFonts w:ascii="Arial" w:cs="Arial" w:eastAsia="Arial" w:hAnsi="Arial"/>
          <w:sz w:val="16"/>
          <w:szCs w:val="16"/>
          <w:color w:val="auto"/>
        </w:rPr>
        <w:t xml:space="preserve">Persons with the provisions of this Section 15.14, (iii) in connection with the enforcement of its rights or remedies under the Operative Documents, (iv) to any participant, transferee, potential participant or potential transferee of such disclosing party’s interests permitted by the Operative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participant, transferee, potential participant or potential transferee agrees to the terms of this Section 15.14, and (v) to any federal or state banking authority or other regulatory authority having jurisdiction over such Participant, the Arranger or Administrative Agent or any of their respective Affiliates.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EACH OF THE ADMINISTRATIVE AGENT AND EACH PARTICIPANT ACKNOWLEDGES THAT SUCH INFORMATION REFERRED TO ABOVE FURNISHED TO IT PURSUANT TO OR IN CONNECTION WITH THIS PARTICIPATION AGREEMENT OR ANY OTHER OPERATIVE DOCUMENT MAY INCLUDE MATERIAL NON-PUBLIC INFORMATION CONCERNING THE LESSEE, ANY GUARANTOR AND THEIR RESPECTIVE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ALL INFORMATION, INCLUDING REQUESTS FOR WAIVERS AND AMENDMENTS, FURNISHED BY OR ON BEHALF OF THE LESSEE OR ANY GUARANTOR OR THE ADMINISTRATIVE AGENT PURSUANT TO, IN CONNECTION WITH OR OTHERWISE IN THE COURSE OF ADMINISTERING, THIS PARTICIPATION AGREEMENT OR ANY OTHER OPERATIVE DOCUMENT WILL BE SYNDICATE-LEVEL INFORMATION, WHICH MAY CONTAIN MATERIAL NON-PUBLIC INFORMATION ABOUT THE LESSEE, THE GUARANTORS AND THEIR RESPECTIVE RELATED PARTIES OR THEIR RESPECTIVE SECURITIES. ACCORDINGLY, EACH PARTICIPANT REPRESENTS TO THE LESSEE AND THE GUARANTORS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3"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i w:val="1"/>
          <w:iCs w:val="1"/>
          <w:color w:val="auto"/>
        </w:rPr>
        <w:t>Section 15.15. Limited Liability of Lessor</w:t>
      </w:r>
      <w:r>
        <w:rPr>
          <w:rFonts w:ascii="Arial" w:cs="Arial" w:eastAsia="Arial" w:hAnsi="Arial"/>
          <w:sz w:val="16"/>
          <w:szCs w:val="16"/>
          <w:color w:val="auto"/>
        </w:rPr>
        <w:t>. The parties hereto agree that the Lessor shall have no personal liability whatsoever to Lessee, the Lenders,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Administrative Agent or any of their respective successors and assigns for any Claim based on or in respect of this Participation Agreement or any of the other Operative Documents or arising in any way from the Overall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Lessor shall be liable in its individual capacity:</w:t>
      </w:r>
    </w:p>
    <w:p>
      <w:pPr>
        <w:jc w:val="both"/>
        <w:ind w:firstLine="8"/>
        <w:spacing w:after="0" w:line="254" w:lineRule="auto"/>
        <w:tabs>
          <w:tab w:leader="none" w:pos="2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its own willful misconduct or gross negligence (or negligence in the handling of funds), (b) for liabilities that may result from the inaccuracy or incorrectness of any representation or warranty made by it in this Participation Agreement or in any certificate or document delivered pursuant hereto, or from the failure of the Lessor to perform the covenants and agreements set forth in Section 10.1 hereof or any other breach by the Lessor of any of its other covenants or obligations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6" w:name="page67"/>
    <w:bookmarkEnd w:id="66"/>
    <w:p>
      <w:pPr>
        <w:jc w:val="both"/>
        <w:spacing w:after="0" w:line="257" w:lineRule="auto"/>
        <w:rPr>
          <w:sz w:val="20"/>
          <w:szCs w:val="20"/>
          <w:color w:val="auto"/>
        </w:rPr>
      </w:pPr>
      <w:r>
        <w:rPr>
          <w:rFonts w:ascii="Arial" w:cs="Arial" w:eastAsia="Arial" w:hAnsi="Arial"/>
          <w:sz w:val="18"/>
          <w:szCs w:val="18"/>
          <w:color w:val="auto"/>
        </w:rPr>
        <w:t xml:space="preserve">hereunder or under any of the other Operative Documents, (c) any Lessor Lien attributable to it, (d) for any Tax based on, with respect to or measured by any income, fees, commission, compensation or other amounts received by it as compensation for services (including for acting as Lessor) or otherwise under, or as contemplated by, the Operative Documents and (e) as otherwise expressly provided in the Operative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in no event shall Lessor’s liability exceed its interest in the Facility (except that, notwithstanding this proviso, Lessor shall remain liable for actual damages caused by its gross negligence or willful misconduct).</w:t>
      </w:r>
    </w:p>
    <w:p>
      <w:pPr>
        <w:spacing w:after="0" w:line="188"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i w:val="1"/>
          <w:iCs w:val="1"/>
          <w:color w:val="auto"/>
        </w:rPr>
        <w:t>Section 15.16. Limited Liability of Administrative Agent</w:t>
      </w:r>
      <w:r>
        <w:rPr>
          <w:rFonts w:ascii="Arial" w:cs="Arial" w:eastAsia="Arial" w:hAnsi="Arial"/>
          <w:sz w:val="16"/>
          <w:szCs w:val="16"/>
          <w:color w:val="auto"/>
        </w:rPr>
        <w:t>. The parties hereto agree that Administrative Agent, in its individual capacity, shall have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personal liability whatsoever to Lessee, Lessor, the Lenders or any of their respective successors and assigns for any Claim based on or in respect of this Participation Agreement or any of the other Operative Documents or arising in any way from the Overall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Administrative Agent shall be liable in its individual capacity: (a) for its own willful misconduct or gross negligence (or, to the extent Administrative Agent receives funds from any party hereto or any Guarantor, its negligence in the handling of funds) and, to each Participant for the breach of its obligations to such Participant in respect of the Operative Documents and the Leased Property, (b) for liabilities that may result from the incorrectness of any representation or warranty expressly made by it in this Participation Agreement or from its failure to perform the covenants and agreements set forth in this Participation Agreement or any other Operative Document, or (c) for any Tax based on or measured by any fees, commission or compensation received by it for actions contemplated by the Operative Documents. It is understood and agreed that, except as provided in the preceding proviso, Administrative Agent shall have no personal liability under any of the Operative Documents as a result of acting pursuant to and consistent with any of the Operative Documents.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15.17. Payment of Transaction Expenses and Other Costs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9" w:lineRule="auto"/>
        <w:tabs>
          <w:tab w:leader="none" w:pos="893"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Transaction Expenses and Continuing Expenses</w:t>
      </w:r>
      <w:r>
        <w:rPr>
          <w:rFonts w:ascii="Arial" w:cs="Arial" w:eastAsia="Arial" w:hAnsi="Arial"/>
          <w:sz w:val="17"/>
          <w:szCs w:val="17"/>
          <w:color w:val="auto"/>
        </w:rPr>
        <w:t>. Subject to clause (b) below, as and when any portion of Transaction Expenses becomes due and</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including the continuing fees, expenses and disbursements (including reasonable and documented counsel fees) of Lessor, as Lessor under the Lease and Administrative Agent under the Operative Documents, such Transaction Expenses shall be paid by Lessee as Supplemental Rent (it being acknowledged that the Transaction Expenses that were due and payable prior to the Restatement Date were previously paid).</w:t>
      </w:r>
    </w:p>
    <w:p>
      <w:pPr>
        <w:spacing w:after="0" w:line="171" w:lineRule="exact"/>
        <w:rPr>
          <w:rFonts w:ascii="Arial" w:cs="Arial" w:eastAsia="Arial" w:hAnsi="Arial"/>
          <w:sz w:val="17"/>
          <w:szCs w:val="17"/>
          <w:color w:val="auto"/>
        </w:rPr>
      </w:pPr>
    </w:p>
    <w:p>
      <w:pPr>
        <w:jc w:val="both"/>
        <w:ind w:firstLine="656"/>
        <w:spacing w:after="0" w:line="255" w:lineRule="auto"/>
        <w:tabs>
          <w:tab w:leader="none" w:pos="903"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Amendments, Supplements and Appraisal</w:t>
      </w:r>
      <w:r>
        <w:rPr>
          <w:rFonts w:ascii="Arial" w:cs="Arial" w:eastAsia="Arial" w:hAnsi="Arial"/>
          <w:sz w:val="18"/>
          <w:szCs w:val="18"/>
          <w:color w:val="auto"/>
        </w:rPr>
        <w:t>. Without limitation of the foregoing, Lessee agrees to pay to the Participants and Administrative Agent</w:t>
      </w:r>
      <w:r>
        <w:rPr>
          <w:rFonts w:ascii="Arial" w:cs="Arial" w:eastAsia="Arial" w:hAnsi="Arial"/>
          <w:sz w:val="18"/>
          <w:szCs w:val="18"/>
          <w:i w:val="1"/>
          <w:iCs w:val="1"/>
          <w:color w:val="auto"/>
        </w:rPr>
        <w:t xml:space="preserve"> </w:t>
      </w:r>
      <w:r>
        <w:rPr>
          <w:rFonts w:ascii="Arial" w:cs="Arial" w:eastAsia="Arial" w:hAnsi="Arial"/>
          <w:sz w:val="18"/>
          <w:szCs w:val="18"/>
          <w:color w:val="auto"/>
        </w:rPr>
        <w:t>all reasonable and documented out-of-pocket costs and expenses (limited, in the case of legal fees, to reasonable and documented legal fees and expenses of special counsel to Administrative Agent and Lessor) incurred by any of them in connection with: (i) the considering, evaluating, investigating, negotiating and entering into or giving or withholding of any amendments or supplements or waivers or consents with respect to any Operative Document; (ii) any Event of Loss, Specified Significant Environmental Event or termination of the Lease or any other Operative Document; (iii) the negotiation and documentation of any restructuring or “workout”, whether or not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7" w:name="page68"/>
    <w:bookmarkEnd w:id="67"/>
    <w:p>
      <w:pPr>
        <w:spacing w:after="0" w:line="277" w:lineRule="auto"/>
        <w:rPr>
          <w:sz w:val="20"/>
          <w:szCs w:val="20"/>
          <w:color w:val="auto"/>
        </w:rPr>
      </w:pPr>
      <w:r>
        <w:rPr>
          <w:rFonts w:ascii="Arial" w:cs="Arial" w:eastAsia="Arial" w:hAnsi="Arial"/>
          <w:sz w:val="18"/>
          <w:szCs w:val="18"/>
          <w:color w:val="auto"/>
        </w:rPr>
        <w:t>consummated, of any Operative Document; (iv) the enforcement of the rights or remedies under the Operative Documents; or (v) any transfer by Lessor or a Participant of any interest in the Operative Documents during the continuance of an Event of Default.</w:t>
      </w:r>
    </w:p>
    <w:p>
      <w:pPr>
        <w:spacing w:after="0" w:line="17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Section 15.18. Reproduction of Documents</w:t>
      </w:r>
      <w:r>
        <w:rPr>
          <w:rFonts w:ascii="Arial" w:cs="Arial" w:eastAsia="Arial" w:hAnsi="Arial"/>
          <w:sz w:val="16"/>
          <w:szCs w:val="16"/>
          <w:color w:val="auto"/>
        </w:rPr>
        <w:t>. This Participation Agreement, all documents constituting an Appendix, Schedule or Exhibit hereto,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relating hereto received by a party hereto, including, without limitation: (a) consents, waivers and modifications that may hereafter be executed;</w:t>
      </w:r>
    </w:p>
    <w:p>
      <w:pPr>
        <w:jc w:val="both"/>
        <w:ind w:firstLine="8"/>
        <w:spacing w:after="0" w:line="268" w:lineRule="auto"/>
        <w:tabs>
          <w:tab w:leader="none" w:pos="268" w:val="left"/>
        </w:tabs>
        <w:numPr>
          <w:ilvl w:val="0"/>
          <w:numId w:val="75"/>
        </w:numPr>
        <w:rPr>
          <w:rFonts w:ascii="Arial" w:cs="Arial" w:eastAsia="Arial" w:hAnsi="Arial"/>
          <w:sz w:val="17"/>
          <w:szCs w:val="17"/>
          <w:color w:val="auto"/>
        </w:rPr>
      </w:pPr>
      <w:r>
        <w:rPr>
          <w:rFonts w:ascii="Arial" w:cs="Arial" w:eastAsia="Arial" w:hAnsi="Arial"/>
          <w:sz w:val="17"/>
          <w:szCs w:val="17"/>
          <w:color w:val="auto"/>
        </w:rPr>
        <w:t>documents received by the Participants or Lessor in connection with the receipt and/or acquisition of the Leased Property; and (c) financial statements, certificates, and other information previously or hereafter furnished to Lessor, Administrative Agent or any Participant may be reproduced by the party receiving the same by any photographic, photostatic, microfilm, micro-card, miniature photographic or other similar process. Each of the parties hereto agrees and stipulates that, to the extent permitted by law, any such reproduction shall be admissible in evidence as the original itself in any judicial or administrative proceeding (whether or not the original is in existence and whether or not such reproduction was made by such party in the regular course of business) and that, to the extent permitted by law, any enlargement, facsimile or further reproduction of such reproduction shall likewise be admissible in evidence. This Section 15.18 shall not prohibit the Lessee, the Guarantors or any other party hereto from contesting any such reproduction to the same extent that it could contest the original, or from introducing evidence to demonstrate the inaccuracy of any such reproduction.</w:t>
      </w:r>
    </w:p>
    <w:p>
      <w:pPr>
        <w:spacing w:after="0" w:line="18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Section 15.19. Role of Arranger</w:t>
      </w:r>
      <w:r>
        <w:rPr>
          <w:rFonts w:ascii="Arial" w:cs="Arial" w:eastAsia="Arial" w:hAnsi="Arial"/>
          <w:sz w:val="18"/>
          <w:szCs w:val="18"/>
          <w:color w:val="auto"/>
        </w:rPr>
        <w:t>. Each party hereto acknowledges hereby that it is aware of the fact that Banc of America Leasing &amp; Capital, LLC has</w:t>
      </w:r>
      <w:r>
        <w:rPr>
          <w:rFonts w:ascii="Arial" w:cs="Arial" w:eastAsia="Arial" w:hAnsi="Arial"/>
          <w:sz w:val="18"/>
          <w:szCs w:val="18"/>
          <w:i w:val="1"/>
          <w:iCs w:val="1"/>
          <w:color w:val="auto"/>
        </w:rPr>
        <w:t xml:space="preserve"> </w:t>
      </w:r>
      <w:r>
        <w:rPr>
          <w:rFonts w:ascii="Arial" w:cs="Arial" w:eastAsia="Arial" w:hAnsi="Arial"/>
          <w:sz w:val="18"/>
          <w:szCs w:val="18"/>
          <w:color w:val="auto"/>
        </w:rPr>
        <w:t>acted as an “Arranger” with respect to the Overall Transaction. The parties hereto acknowledge and agree that Arranger and its Affiliates, including Bank of America, N.A., have not made any representations or warranties concerning, and that they have not relied upon the Arranger as to, the tax, accounting or legal characterization or validity of (i) the Operative Documents or (ii) any aspect of the Overall Transaction. The parties hereto acknowledge and agree that the Arranger has no duties, express or implied, under the Operative Documents in its capacity as Arranger. The parties hereto further agree that Section 5.1, Section 15.2, Section 15.17(a) and this Section 15.19 are for the express benefit of the Arranger, and the Arranger shall be entitled to rely thereon as if it were a party hereto.</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15.20. Retention of Consultants</w:t>
      </w:r>
      <w:r>
        <w:rPr>
          <w:rFonts w:ascii="Arial" w:cs="Arial" w:eastAsia="Arial" w:hAnsi="Arial"/>
          <w:sz w:val="18"/>
          <w:szCs w:val="18"/>
          <w:color w:val="auto"/>
        </w:rPr>
        <w:t>. In connection with any matters to be determined or resolved by an independent engineer,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consultant or other third party expert, Administrative Agent is hereby authorized to retain any such third party consultant reasonably acceptable to Lessee, at Lessee’s reasonable cost and expense, in accordance with the terms of the Operative Document calling for or requiring the appointment of such third party consultant.</w:t>
      </w:r>
    </w:p>
    <w:p>
      <w:pPr>
        <w:spacing w:after="0" w:line="18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Section 15.21. Liability Limited</w:t>
      </w:r>
      <w:r>
        <w:rPr>
          <w:rFonts w:ascii="Arial" w:cs="Arial" w:eastAsia="Arial" w:hAnsi="Arial"/>
          <w:sz w:val="16"/>
          <w:szCs w:val="16"/>
          <w:color w:val="auto"/>
        </w:rPr>
        <w:t>. No Participant shall have any obligation to any other Participant or to the Lessee, the Lessor or the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Agent with respect to the Overall Transaction, except those obligations of such Participant expressly set forth in the Operative Documents or except as set forth in the instruments delivered in connection therewith, and no Participant shall be liable for performance by any other party hereto of such other party’s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obligations under the Operative Documents, except as otherwise so set forth.</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Section 15.22. Deliveries to Participants</w:t>
      </w:r>
      <w:r>
        <w:rPr>
          <w:rFonts w:ascii="Arial" w:cs="Arial" w:eastAsia="Arial" w:hAnsi="Arial"/>
          <w:sz w:val="17"/>
          <w:szCs w:val="17"/>
          <w:color w:val="auto"/>
        </w:rPr>
        <w:t>. Lessee may fulfill its obligations hereunder and under each of the other Operative Documents to provide any</w:t>
      </w:r>
      <w:r>
        <w:rPr>
          <w:rFonts w:ascii="Arial" w:cs="Arial" w:eastAsia="Arial" w:hAnsi="Arial"/>
          <w:sz w:val="17"/>
          <w:szCs w:val="17"/>
          <w:i w:val="1"/>
          <w:iCs w:val="1"/>
          <w:color w:val="auto"/>
        </w:rPr>
        <w:t xml:space="preserve"> </w:t>
      </w:r>
      <w:r>
        <w:rPr>
          <w:rFonts w:ascii="Arial" w:cs="Arial" w:eastAsia="Arial" w:hAnsi="Arial"/>
          <w:sz w:val="17"/>
          <w:szCs w:val="17"/>
          <w:color w:val="auto"/>
        </w:rPr>
        <w:t>item (other than any notices) to any Participant by providing sufficient copies of such item directly to the Administrative Agent, along with the costs of postage, with instructions to the Administrative Agent to deliver such item to such Participant; provided that this Section 15.22 shall not apply with respect to notices and other communications made pursuant to Section 15.3(b) hereof or the last paragraph of Section 8(a) or 8(b) of the Guaranty.</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15.23. USA Patriot Act Notice</w:t>
      </w:r>
      <w:r>
        <w:rPr>
          <w:rFonts w:ascii="Arial" w:cs="Arial" w:eastAsia="Arial" w:hAnsi="Arial"/>
          <w:sz w:val="18"/>
          <w:szCs w:val="18"/>
          <w:color w:val="auto"/>
        </w:rPr>
        <w:t>. Each Participant that is subject to the Patriot Act hereby notifies Lessee, the Guarantors and Lessor that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requirements of the Patriot Act, it is required to obtain, verify and record information that identifies Lessee, the Guarantors and Lessor, which information includes the name and address of Lessee, the Guarantors and Lessor and other information that will allow such Participant, as applicable, to identify Lessee and Lessor, as applicable, in accordance with the Patriot Act.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15.24. No Advisory or Fiduciary Responsibility</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7" w:lineRule="auto"/>
        <w:tabs>
          <w:tab w:leader="none" w:pos="939"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connection with all aspects of each transaction contemplated hereby (including in connection with any amendment, waiver or other modification hereof or of any other Operative Document), the Lessee acknowledges and agrees that: (i) (A) the services regarding this Participation Agreement provided by the Administrative Agent and the Participants are arm’s-length commercial transactions between the Lessee, on the one hand, and the Administrative Agent and the Participants, on the other hand, (B) Lessee has consulted its own legal, accounting, regulatory and tax advisors to the extent it has deemed appropriate, and (C) the Lessee is capable of evaluating, and understands and accepts, the terms, risks and conditions of the transactions contemplated hereby and by the other Operative Documents; (ii) (A) the Administrative Agent and each Participant is and has been acting solely as a principal and, except as expressly agreed in writing by the relevant parties, has not been, is not, and will not be acting as an advisor, agent or fiduciary for the Lessee or any other Person and (B) neither the Administrative Agent nor any Participant has any obligation to the Lessee or any of its Affiliates with respect to the transactions contemplated hereby except those obligations expressly set forth herein and in the other Operative Documents; and (iii) the Administrative Agent and the Participants and their respective Affiliates may be engaged in a broad range of transactions that involve interests that differ from those of the Lessee and its Affiliates, and neither the Administrative Agent, nor any Participant has any obligation to disclose any of such interests to the Lessee or any of its Affiliates. None of the Administrative Agent and the Participants will use confidential information obtained from or on behalf of Lessee or any Guarantor by virtue of the transactions contemplated by the Operative Documents or its other relationships with Lessee or any Guarantor in connection with the performance by the Administrative Agent or such Participant of services for other companies, and none of the Administrative Agent and the Participants will furnish any such information to other companies. To the fullest extent permitted by law, the Lessee hereby waives and releases any claims that it may have against the Administrative Agent, or any Participant with respect to any breach or alleged breach of agency or fiduciary duty in connection with any aspect of any transaction contemplated hereby.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9" w:name="page70"/>
    <w:bookmarkEnd w:id="69"/>
    <w:p>
      <w:pPr>
        <w:jc w:val="both"/>
        <w:ind w:firstLine="656"/>
        <w:spacing w:after="0" w:line="290" w:lineRule="auto"/>
        <w:tabs>
          <w:tab w:leader="none" w:pos="909"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Administrative Agent hereby informs the Participants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Lease Balance and the Operative Documents, (ii) may recognize a gain if it extended the Advance or the Loans for an amount less than the amount being paid for an interest in the Advance or the Loans by such Participant or (iii) may receive fees or other payments in connection with the transactions contemplated hereby, the Operative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Section 15.25. Certain Confidentiality Obligations of Lessee</w:t>
      </w:r>
      <w:r>
        <w:rPr>
          <w:rFonts w:ascii="Arial" w:cs="Arial" w:eastAsia="Arial" w:hAnsi="Arial"/>
          <w:sz w:val="17"/>
          <w:szCs w:val="17"/>
          <w:color w:val="auto"/>
        </w:rPr>
        <w:t>. Lessee shall keep confidential, and shall not disclose, any information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publicly available other than as a result of a breach of this Section) that it obtains about the Lessor pursuant to Section 10.1(i), except that Lessee may disclose such information (i) to the extent required by Applicable Laws, (ii) to its Affiliates and its and such Affiliates’ respective attorneys, auditors, accountants and other professional advisors (it being understood that the Persons to whom such disclosure is made will be informed of the confidential nature of such information and instructed to keep such information confidential);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Lessee shall be responsible for compliance by such Persons with the provisions of this Section 15.25, (iii) in connection with the enforcement of its rights or remedies under the Operative Documents, (iv) to any assignee or potential assignee of Lessee’s interests permitted by the Operative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assignee or potential assignee agrees to the terms of this Section 15.25, and (v) to any regulatory authority having jurisdiction over Lessee or any of its Affiliates.</w:t>
      </w:r>
    </w:p>
    <w:p>
      <w:pPr>
        <w:spacing w:after="0" w:line="17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i w:val="1"/>
          <w:iCs w:val="1"/>
          <w:color w:val="auto"/>
        </w:rPr>
        <w:t>Section 15.26. Effect of Restatement</w:t>
      </w:r>
      <w:r>
        <w:rPr>
          <w:rFonts w:ascii="Arial" w:cs="Arial" w:eastAsia="Arial" w:hAnsi="Arial"/>
          <w:sz w:val="16"/>
          <w:szCs w:val="16"/>
          <w:color w:val="auto"/>
        </w:rPr>
        <w:t>. On the Restatement Date, the Original Participation Agreement will be amended and restated as set forth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 Agreement. The parties hereto acknowledge and agree, however, that (a) this Participation Agreement and the other Restated Operative Documents do not constitute a novation or termination of the Obligations under and as defined in the Original Participation Agreement or under the other Operative Documents as in effect immediately prior to the Restatement Date, (b) such Obligations are in all respects continuing with only the terms being modified as provided in this Participation Agreement and the other Restated Operative Documents, (c) the Guaranty, as amended and restated as of the Restatement Date, is in all respects continuing and remains in full force and effect with respect to all Liabilities (as defined therein), (d) the mortgage, liens and security interests in favor of the Lessor securing payment of such Obligations are in all respects continuing and in full force and effect with respect to all Obligations and (e) except to the extent the context requires otherwise, all references in the other Operative Documents to the “Participation Agreement” or other reference originally applicable to the Original Participation Agreement shall be deemed to refer without further amendment to this Participation Agreement, as amended, restated, supplemented or otherwise modified from time to time in accordance with the terms hereof.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GENT</w:t>
      </w:r>
    </w:p>
    <w:p>
      <w:pPr>
        <w:spacing w:after="0" w:line="19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Section 16.1. Appointment</w:t>
      </w:r>
      <w:r>
        <w:rPr>
          <w:rFonts w:ascii="Arial" w:cs="Arial" w:eastAsia="Arial" w:hAnsi="Arial"/>
          <w:sz w:val="16"/>
          <w:szCs w:val="16"/>
          <w:color w:val="auto"/>
        </w:rPr>
        <w:t>. Each Participant hereby irrevocably designates and appoints the Administrative Agent as its agent under this Participation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the other Operative Documents, and each such Participant irrevocably authorizes the Administrative Agent, in such capacity, to take such action on its behalf under the provisions of this Participation Agreement and the other Operative Documents and to exercise such powers and perform such duties as are expressly delegated to the Administrative Agent by the terms of this Participation Agreement and the other Operative Documents, together with such other powers as are reasonably incidental thereto. Notwithstanding any provision to the contrary elsewhere in this Participation Agreement, the Administrative Agent shall not have any duties or responsibilities, except those expressly set forth herein and in the other Operative Documents, or any fiduciary relationship with any Participant or any other party to the Operative Documents, and no implied covenants, functions, responsibilities, duties, obligations or liabilities shall be read into this Participation Agreement or any other Operative Document or otherwise exist against the Administrative Agent.</w:t>
      </w:r>
    </w:p>
    <w:p>
      <w:pPr>
        <w:spacing w:after="0" w:line="16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Section 16.2. Delegation of Duties</w:t>
      </w:r>
      <w:r>
        <w:rPr>
          <w:rFonts w:ascii="Arial" w:cs="Arial" w:eastAsia="Arial" w:hAnsi="Arial"/>
          <w:sz w:val="16"/>
          <w:szCs w:val="16"/>
          <w:color w:val="auto"/>
        </w:rPr>
        <w:t>. The Administrative Agent may execute any of its duties under this Participation Agreement and the other Operative</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by or through agents or attorneys-in-fact and shall be entitled to advice of counsel concerning all matters pertaining to such duties. The Administrative Agent shall not be responsible for the negligence or misconduct of agents or attorneys-in-fact selected by it with reasonable care.</w:t>
      </w:r>
    </w:p>
    <w:p>
      <w:pPr>
        <w:spacing w:after="0" w:line="14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i w:val="1"/>
          <w:iCs w:val="1"/>
          <w:color w:val="auto"/>
        </w:rPr>
        <w:t>Section 16.3. Exculpatory Provisions</w:t>
      </w:r>
      <w:r>
        <w:rPr>
          <w:rFonts w:ascii="Arial" w:cs="Arial" w:eastAsia="Arial" w:hAnsi="Arial"/>
          <w:sz w:val="16"/>
          <w:szCs w:val="16"/>
          <w:color w:val="auto"/>
        </w:rPr>
        <w:t>. Neither the Administrative Agent (in its capacity as such) nor any of its officers, directors, employees, agents,</w:t>
      </w:r>
      <w:r>
        <w:rPr>
          <w:rFonts w:ascii="Arial" w:cs="Arial" w:eastAsia="Arial" w:hAnsi="Arial"/>
          <w:sz w:val="16"/>
          <w:szCs w:val="16"/>
          <w:i w:val="1"/>
          <w:iCs w:val="1"/>
          <w:color w:val="auto"/>
        </w:rPr>
        <w:t xml:space="preserve"> </w:t>
      </w:r>
      <w:r>
        <w:rPr>
          <w:rFonts w:ascii="Arial" w:cs="Arial" w:eastAsia="Arial" w:hAnsi="Arial"/>
          <w:sz w:val="16"/>
          <w:szCs w:val="16"/>
          <w:color w:val="auto"/>
        </w:rPr>
        <w:t>attorneys-in-fact or Affiliates shall be (a) liable for any action lawfully taken or omitted to be taken by it or such Person under or in connection with this Participation Agreement or any other Operative Document, except for its or such Person’s own willful misconduct or gross negligence (or negligence in the handling of funds) or (b) responsible in any manner to any Participant or any other party to the Operative Documents for any recitals, statements, representations or warranties made by the Lessor or the Lessee or the Guarantors or any officer thereof contained in this Participation Agreement or any other Operative Document or in any certificate, report, statement or other document referred to or provided for in, or received by the Administrative Agent under or in connection with, this Participation Agreement or any other Operative Document, or for the value, validity, effectiveness, genuineness, enforceability or sufficiency of this Participation Agreement or any other Operative Document or for any failure of the Lessor or the Lessee or the Guarantors to perform their respective obligations hereunder or thereunder. The Administrative Agent shall not be under any obligation to any Participant or any other party to the Operative Documents to ascertain or to inquire as to the observance or performance of any of the agreements contained in, or conditions of, this Participation Agreement or any other Operative Document, or to inspect the properties, books or records of the Lessor, the Guarantors or the Lessee.</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Section 16.4. Reliance by Administrative Agent</w:t>
      </w:r>
      <w:r>
        <w:rPr>
          <w:rFonts w:ascii="Arial" w:cs="Arial" w:eastAsia="Arial" w:hAnsi="Arial"/>
          <w:sz w:val="18"/>
          <w:szCs w:val="18"/>
          <w:color w:val="auto"/>
        </w:rPr>
        <w:t>. The Administrative Agent shall be entitled to rely, and shall be fully protected in relying, upon any</w:t>
      </w:r>
      <w:r>
        <w:rPr>
          <w:rFonts w:ascii="Arial" w:cs="Arial" w:eastAsia="Arial" w:hAnsi="Arial"/>
          <w:sz w:val="18"/>
          <w:szCs w:val="18"/>
          <w:i w:val="1"/>
          <w:iCs w:val="1"/>
          <w:color w:val="auto"/>
        </w:rPr>
        <w:t xml:space="preserve"> </w:t>
      </w:r>
      <w:r>
        <w:rPr>
          <w:rFonts w:ascii="Arial" w:cs="Arial" w:eastAsia="Arial" w:hAnsi="Arial"/>
          <w:sz w:val="18"/>
          <w:szCs w:val="18"/>
          <w:color w:val="auto"/>
        </w:rPr>
        <w:t>Note, Lessor Amount, writing, resolution, notice, consent, certificate, affidavit, letter, facsimile message, statement, order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71" w:name="page72"/>
    <w:bookmarkEnd w:id="71"/>
    <w:p>
      <w:pPr>
        <w:jc w:val="both"/>
        <w:spacing w:after="0" w:line="287" w:lineRule="auto"/>
        <w:rPr>
          <w:sz w:val="20"/>
          <w:szCs w:val="20"/>
          <w:color w:val="auto"/>
        </w:rPr>
      </w:pPr>
      <w:r>
        <w:rPr>
          <w:rFonts w:ascii="Arial" w:cs="Arial" w:eastAsia="Arial" w:hAnsi="Arial"/>
          <w:sz w:val="16"/>
          <w:szCs w:val="16"/>
          <w:color w:val="auto"/>
        </w:rPr>
        <w:t>other document or other written communication believed by it to be genuine and correct and to have been signed, sent or made by the proper Person or Persons and upon advice and statements of legal counsel (including, without limitation, counsel to the Lessor or the Lessee), independent accountants and other experts selected by the Administrative Agent. The Administrative Agent may deem and treat the payee of any Note or Lessor Amount as the owner thereof for all purposes unless a written notice of assignment, negotiation or transfer thereof shall have been filed with the Administrative Agent, in accordance with the Loan Agreement or this Participation Agreement, as applicable. The Administrative Agent shall be fully justified in failing or refusing to take any action under this Participation Agreement or any other Operative Document unless it shall first receive the advice or concurrence of the Required Participants, or it shall first be indemnified to its reasonable satisfaction by the applicable Participants against any and all liability and expense which may be incurred by it by reason of taking or continuing to take any such action. The Administrative Agent shall in all cases be fully protected in acting, or in refraining from acting, under this Participation Agreement and the other Operative Documents in accordance with a request of the Required Participants, and such request and any action taken or failure to act pursuant thereto shall be binding upon all the Participants and all future transferees. Wherever in the Operative Documents the consent or approval of the Administrative Agent is required, in giving any such consent or approval the Administrative Agent may rely upon, or make its approval subject to, the directions of or consent or approval from the Required Participants.</w:t>
      </w:r>
    </w:p>
    <w:p>
      <w:pPr>
        <w:spacing w:after="0" w:line="16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i w:val="1"/>
          <w:iCs w:val="1"/>
          <w:color w:val="auto"/>
        </w:rPr>
        <w:t>Section 16.5. Notice of Default</w:t>
      </w:r>
      <w:r>
        <w:rPr>
          <w:rFonts w:ascii="Arial" w:cs="Arial" w:eastAsia="Arial" w:hAnsi="Arial"/>
          <w:sz w:val="18"/>
          <w:szCs w:val="18"/>
          <w:color w:val="auto"/>
        </w:rPr>
        <w:t>. The Administrative Agent shall not be deemed to have knowledge or notice of the occurrence of any Default or Event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Default unless the Administrative Agent has received written notice from a Participant referring to this Participation Agreement, describing such Default or Event of Default and stating that such notice is a “notice of default”. In the event that the Administrative Agent receives such a notice, the Administrative Agent shall promptly give notice thereof to the Participants, Lessor and the Lessee. The Administrative Agent shall take such action with respect to such Default or Event of Default as shall be directed by the Required Participants;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Participants, subject to any applicable terms of the Operative Documents.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16.6. [Reserved]</w:t>
      </w:r>
      <w:r>
        <w:rPr>
          <w:rFonts w:ascii="Arial" w:cs="Arial" w:eastAsia="Arial" w:hAnsi="Arial"/>
          <w:sz w:val="18"/>
          <w:szCs w:val="18"/>
          <w:color w:val="auto"/>
        </w:rPr>
        <w:t>.</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Section 16.7. Administrative Agent in Its Individual Capacity</w:t>
      </w:r>
      <w:r>
        <w:rPr>
          <w:rFonts w:ascii="Arial" w:cs="Arial" w:eastAsia="Arial" w:hAnsi="Arial"/>
          <w:sz w:val="18"/>
          <w:szCs w:val="18"/>
          <w:color w:val="auto"/>
        </w:rPr>
        <w:t>. Each Participant acknowledges that Bank of America, N.A. is acting as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Agent hereunder. Bank of America, N.A. and its Affiliates may make loans to, issue letters of credit for the account of, accept deposits from, acquire equity interests in and generally engage in any kind of banking, trust, financial advisory, underwriting or other business with the Lessor, the Lessee and their Affiliates as though it was not the Administrative Agent hereunder and under the other Operative Documents and without notice to or consent of the Participants. Each Participant acknowledges that, pursuant to such activities, Bank of America, N.A. or its Affiliates may receive information regarding the Lessee, the Guarantors, Lessor or their respective Affiliates (including information that may be subject to confidentiality obligations in favor of the Lessee, Lessor or their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respective Affiliates) and acknowledges that such Persons shall be under no obligation to provide such information to them.</w:t>
      </w:r>
    </w:p>
    <w:p>
      <w:pPr>
        <w:spacing w:after="0" w:line="22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i w:val="1"/>
          <w:iCs w:val="1"/>
          <w:color w:val="auto"/>
        </w:rPr>
        <w:t>Section 16.8. Successor Administrative Agent</w:t>
      </w:r>
      <w:r>
        <w:rPr>
          <w:rFonts w:ascii="Arial" w:cs="Arial" w:eastAsia="Arial" w:hAnsi="Arial"/>
          <w:sz w:val="17"/>
          <w:szCs w:val="17"/>
          <w:color w:val="auto"/>
        </w:rPr>
        <w:t>. The Administrative Agent may resign at any time by giving thirty (30) days prior written notice thereof</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Participants and the Lessee and may be removed at any time with or without cause by the Required Participants. Upon any such resignation or removal, the Required Participants shall have the right to appoint a successor Administrative Agent. If no successor Administrative Agent shall have been so appointed by the Required Participants, and shall have accepted such appointment, within thirty (30) days after the retiring Administrative Agent’s giving of notice of resignation or the Required Participants’ removal of the retiring Administrative Agent, then the retiring Administrative Agent may, on behalf of the Participants, appoint a successor Administrative Agent, which shall be a commercial bank described in clause (i) or (ii) of the definition of Eligible Assignee with an office in New York, New York (or an Affiliate of any such bank) and have a combined capital and surplus of at least $150,000,000.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Participation Agreement. After any retiring Administrative Agent’s resignation or removal hereunder as Administrative Agent, the provisions of this Article XVI shall inure to its benefit as to any actions taken or omitted to be taken by it while it was Administrative Agent under this Participation Agreement. Notwithstanding the foregoing if no Event of Default shall have occurred and be continuing, then no successor Administrative Agent shall be appointed under this Section 16.8 without the prior written consent of the Lessee, which consent shall not be unreasonably withheld or delayed.</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Section 16.9. Non-Reliance on Administrative Agent</w:t>
      </w:r>
      <w:r>
        <w:rPr>
          <w:rFonts w:ascii="Arial" w:cs="Arial" w:eastAsia="Arial" w:hAnsi="Arial"/>
          <w:sz w:val="18"/>
          <w:szCs w:val="18"/>
          <w:color w:val="auto"/>
        </w:rPr>
        <w:t>. Each Participant acknowledges that it has, independently and without reliance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or any of its Related Parties and based on such documents and information as it has deemed appropriate, made its own credit analysis and decision to enter into this Participation Agreement. Each Participant also acknowledges that it will, independently and without reliance upon the Administrative Agent or any of its Related Parties and based on such documents and information as it shall from time to time deem appropriate, continue to make its own decisions in taking or not taking action under or based upon this Participation Agreement, any other Operative Document or any related agreement or any document furnished hereunder or thereunder.</w:t>
      </w:r>
    </w:p>
    <w:p>
      <w:pPr>
        <w:spacing w:after="0" w:line="193"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i w:val="1"/>
          <w:iCs w:val="1"/>
          <w:color w:val="auto"/>
        </w:rPr>
        <w:t>Section 16.10. Release of Collateral and Guarantors</w:t>
      </w:r>
      <w:r>
        <w:rPr>
          <w:rFonts w:ascii="Arial" w:cs="Arial" w:eastAsia="Arial" w:hAnsi="Arial"/>
          <w:sz w:val="16"/>
          <w:szCs w:val="16"/>
          <w:color w:val="auto"/>
        </w:rPr>
        <w:t>. Administrative Agent and the Participants acknowledge and agree that Lessee shall be a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party beneficiary of Section 6.2 of the Loan Agreement with respect to the provisions set forth therein regarding the release of Liens and the Guaranty.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ND OF</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AGES</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3" w:name="page74"/>
    <w:bookmarkEnd w:id="73"/>
    <w:p>
      <w:pPr>
        <w:ind w:firstLine="648"/>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the parties hereto have caused this Amended and Restated Participation Agreement to be duly executed by their respective officers or other authorized signatories thereunto duly authorized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 as Lessee</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Leonard N. Brooks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74" w:name="page75"/>
    <w:bookmarkEnd w:id="74"/>
    <w:p>
      <w:pPr>
        <w:ind w:left="4520"/>
        <w:spacing w:after="0"/>
        <w:rPr>
          <w:sz w:val="20"/>
          <w:szCs w:val="20"/>
          <w:color w:val="auto"/>
        </w:rPr>
      </w:pPr>
      <w:r>
        <w:rPr>
          <w:rFonts w:ascii="Arial" w:cs="Arial" w:eastAsia="Arial" w:hAnsi="Arial"/>
          <w:sz w:val="17"/>
          <w:szCs w:val="17"/>
          <w:color w:val="auto"/>
        </w:rPr>
        <w:t>BA L</w:t>
      </w:r>
      <w:r>
        <w:rPr>
          <w:rFonts w:ascii="Arial" w:cs="Arial" w:eastAsia="Arial" w:hAnsi="Arial"/>
          <w:sz w:val="11"/>
          <w:szCs w:val="11"/>
          <w:color w:val="auto"/>
        </w:rPr>
        <w:t>EASING</w:t>
      </w:r>
      <w:r>
        <w:rPr>
          <w:rFonts w:ascii="Arial" w:cs="Arial" w:eastAsia="Arial" w:hAnsi="Arial"/>
          <w:sz w:val="17"/>
          <w:szCs w:val="17"/>
          <w:color w:val="auto"/>
        </w:rPr>
        <w:t xml:space="preserve"> BSC, LLC, as Lessor</w:t>
      </w:r>
    </w:p>
    <w:p>
      <w:pPr>
        <w:spacing w:after="0" w:line="23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Erin M. Parks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Erin M.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184150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75" w:name="page76"/>
    <w:bookmarkEnd w:id="75"/>
    <w:p>
      <w:pPr>
        <w:ind w:left="4700" w:hanging="179"/>
        <w:spacing w:after="0" w:line="277" w:lineRule="auto"/>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ANK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N.A., not in its individual capacity, except as expressly stated herein, but solely as Administrative Agent</w:t>
      </w:r>
    </w:p>
    <w:p>
      <w:pPr>
        <w:spacing w:after="0" w:line="17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Aamir Saleem</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Aamir Saleem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both"/>
        <w:ind w:left="1980" w:right="2720" w:hanging="39"/>
        <w:spacing w:after="0" w:line="381" w:lineRule="auto"/>
        <w:rPr>
          <w:sz w:val="20"/>
          <w:szCs w:val="20"/>
          <w:color w:val="auto"/>
        </w:rPr>
      </w:pPr>
      <w:r>
        <w:rPr>
          <w:rFonts w:ascii="Arial" w:cs="Arial" w:eastAsia="Arial" w:hAnsi="Arial"/>
          <w:sz w:val="15"/>
          <w:szCs w:val="15"/>
          <w:b w:val="1"/>
          <w:bCs w:val="1"/>
          <w:i w:val="1"/>
          <w:iCs w:val="1"/>
          <w:color w:val="auto"/>
        </w:rPr>
        <w:t>[Lenders’ signature pages to the Amended and Restated Participation Agreement are on file with the Lessee and the Administrative Agent]</w:t>
      </w:r>
    </w:p>
    <w:p>
      <w:pPr>
        <w:spacing w:after="0" w:line="10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[Signature Page 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800"/>
          </w:cols>
          <w:pgMar w:left="1440" w:top="409" w:right="659" w:bottom="1440" w:gutter="0" w:footer="0" w:header="0"/>
        </w:sectPr>
      </w:pPr>
    </w:p>
    <w:bookmarkStart w:id="76" w:name="page77"/>
    <w:bookmarkEnd w:id="76"/>
    <w:p>
      <w:pPr>
        <w:ind w:left="3644"/>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 AND</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NTERPRETATION</w:t>
      </w:r>
    </w:p>
    <w:p>
      <w:pPr>
        <w:spacing w:after="0" w:line="219" w:lineRule="exact"/>
        <w:rPr>
          <w:sz w:val="20"/>
          <w:szCs w:val="20"/>
          <w:color w:val="auto"/>
        </w:rPr>
      </w:pPr>
    </w:p>
    <w:p>
      <w:pPr>
        <w:ind w:left="244" w:hanging="244"/>
        <w:spacing w:after="0"/>
        <w:tabs>
          <w:tab w:leader="none" w:pos="244"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Interpretation</w:t>
      </w:r>
      <w:r>
        <w:rPr>
          <w:rFonts w:ascii="Arial" w:cs="Arial" w:eastAsia="Arial" w:hAnsi="Arial"/>
          <w:sz w:val="18"/>
          <w:szCs w:val="18"/>
          <w:color w:val="auto"/>
        </w:rPr>
        <w:t>. In each Operative Document, unless a clear contrary intention appears:</w:t>
      </w:r>
    </w:p>
    <w:p>
      <w:pPr>
        <w:spacing w:after="0" w:line="225" w:lineRule="exact"/>
        <w:rPr>
          <w:rFonts w:ascii="Arial" w:cs="Arial" w:eastAsia="Arial" w:hAnsi="Arial"/>
          <w:sz w:val="18"/>
          <w:szCs w:val="18"/>
          <w:color w:val="auto"/>
        </w:rPr>
      </w:pPr>
    </w:p>
    <w:p>
      <w:pPr>
        <w:ind w:left="864" w:hanging="215"/>
        <w:spacing w:after="0"/>
        <w:tabs>
          <w:tab w:leader="none" w:pos="864"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definitions of terms herein or in any Operative Document shall apply equally to the singular and plural forms of the terms defined;</w:t>
      </w:r>
    </w:p>
    <w:p>
      <w:pPr>
        <w:spacing w:after="0" w:line="248" w:lineRule="exact"/>
        <w:rPr>
          <w:rFonts w:ascii="Arial" w:cs="Arial" w:eastAsia="Arial" w:hAnsi="Arial"/>
          <w:sz w:val="16"/>
          <w:szCs w:val="16"/>
          <w:color w:val="auto"/>
        </w:rPr>
      </w:pPr>
    </w:p>
    <w:p>
      <w:pPr>
        <w:jc w:val="both"/>
        <w:ind w:left="4" w:firstLine="645"/>
        <w:spacing w:after="0" w:line="259" w:lineRule="auto"/>
        <w:tabs>
          <w:tab w:leader="none" w:pos="927"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reference in any Operative Document to any Person shall be construed to include such Person’s successors and assigns (subject to any applicable restrictions on assignment set forth in the Operative Documents) and, in the case of any Governmental Authority, any other Governmental Authority that shall have succeeded to any or all functions thereof, and any reference to a Person in a particular capacity excludes such Person in any other capacity or individually;</w:t>
      </w:r>
    </w:p>
    <w:p>
      <w:pPr>
        <w:spacing w:after="0" w:line="186" w:lineRule="exact"/>
        <w:rPr>
          <w:rFonts w:ascii="Arial" w:cs="Arial" w:eastAsia="Arial" w:hAnsi="Arial"/>
          <w:sz w:val="18"/>
          <w:szCs w:val="18"/>
          <w:color w:val="auto"/>
        </w:rPr>
      </w:pPr>
    </w:p>
    <w:p>
      <w:pPr>
        <w:ind w:left="964" w:hanging="315"/>
        <w:spacing w:after="0"/>
        <w:tabs>
          <w:tab w:leader="none" w:pos="964" w:val="left"/>
        </w:tabs>
        <w:numPr>
          <w:ilvl w:val="1"/>
          <w:numId w:val="78"/>
        </w:numPr>
        <w:rPr>
          <w:rFonts w:ascii="Arial" w:cs="Arial" w:eastAsia="Arial" w:hAnsi="Arial"/>
          <w:sz w:val="18"/>
          <w:szCs w:val="18"/>
          <w:color w:val="auto"/>
        </w:rPr>
      </w:pPr>
      <w:r>
        <w:rPr>
          <w:rFonts w:ascii="Arial" w:cs="Arial" w:eastAsia="Arial" w:hAnsi="Arial"/>
          <w:sz w:val="18"/>
          <w:szCs w:val="18"/>
          <w:color w:val="auto"/>
        </w:rPr>
        <w:t>whenever the context may require, any pronoun shall include the corresponding masculine, feminine and neuter forms;</w:t>
      </w:r>
    </w:p>
    <w:p>
      <w:pPr>
        <w:spacing w:after="0" w:line="225" w:lineRule="exact"/>
        <w:rPr>
          <w:rFonts w:ascii="Arial" w:cs="Arial" w:eastAsia="Arial" w:hAnsi="Arial"/>
          <w:sz w:val="18"/>
          <w:szCs w:val="18"/>
          <w:color w:val="auto"/>
        </w:rPr>
      </w:pPr>
    </w:p>
    <w:p>
      <w:pPr>
        <w:jc w:val="both"/>
        <w:ind w:left="4" w:firstLine="645"/>
        <w:spacing w:after="0" w:line="259" w:lineRule="auto"/>
        <w:tabs>
          <w:tab w:leader="none" w:pos="97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definition of or reference to any agreement (including any Operative Document), instrument or other document in any Operative Document shall be construed as referring to such agreement, instrument or other document as from time to time amended, restated, supplemented or otherwise modified (subject to any applicable restrictions on such amendments, restatements, supplements or modifications set forth in the Operative Documents);</w:t>
      </w:r>
    </w:p>
    <w:p>
      <w:pPr>
        <w:spacing w:after="0" w:line="186" w:lineRule="exact"/>
        <w:rPr>
          <w:rFonts w:ascii="Arial" w:cs="Arial" w:eastAsia="Arial" w:hAnsi="Arial"/>
          <w:sz w:val="18"/>
          <w:szCs w:val="18"/>
          <w:color w:val="auto"/>
        </w:rPr>
      </w:pPr>
    </w:p>
    <w:p>
      <w:pPr>
        <w:ind w:left="4" w:firstLine="645"/>
        <w:spacing w:after="0" w:line="308" w:lineRule="auto"/>
        <w:tabs>
          <w:tab w:leader="none" w:pos="922" w:val="left"/>
        </w:tabs>
        <w:numPr>
          <w:ilvl w:val="1"/>
          <w:numId w:val="78"/>
        </w:numPr>
        <w:rPr>
          <w:rFonts w:ascii="Arial" w:cs="Arial" w:eastAsia="Arial" w:hAnsi="Arial"/>
          <w:sz w:val="17"/>
          <w:szCs w:val="17"/>
          <w:color w:val="auto"/>
        </w:rPr>
      </w:pPr>
      <w:r>
        <w:rPr>
          <w:rFonts w:ascii="Arial" w:cs="Arial" w:eastAsia="Arial" w:hAnsi="Arial"/>
          <w:sz w:val="17"/>
          <w:szCs w:val="17"/>
          <w:color w:val="auto"/>
        </w:rPr>
        <w:t>any definition of or reference to any statute, rule or regulation or any other Applicable Law shall be construed as referring thereto as from time to time amended, restated, supplemented or otherwise modified (including by succession of comparable successor laws);</w:t>
      </w:r>
    </w:p>
    <w:p>
      <w:pPr>
        <w:spacing w:after="0" w:line="146" w:lineRule="exact"/>
        <w:rPr>
          <w:rFonts w:ascii="Arial" w:cs="Arial" w:eastAsia="Arial" w:hAnsi="Arial"/>
          <w:sz w:val="17"/>
          <w:szCs w:val="17"/>
          <w:color w:val="auto"/>
        </w:rPr>
      </w:pPr>
    </w:p>
    <w:p>
      <w:pPr>
        <w:ind w:left="4" w:firstLine="645"/>
        <w:spacing w:after="0" w:line="277" w:lineRule="auto"/>
        <w:tabs>
          <w:tab w:leader="none" w:pos="974"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reference in any Operative Document to any Article, Section, Appendix, Schedule or Exhibit means such Article or Section of such Operative Document or Appendix, Schedule or Exhibit to such Operative Document;</w:t>
      </w:r>
    </w:p>
    <w:p>
      <w:pPr>
        <w:spacing w:after="0" w:line="170" w:lineRule="exact"/>
        <w:rPr>
          <w:rFonts w:ascii="Arial" w:cs="Arial" w:eastAsia="Arial" w:hAnsi="Arial"/>
          <w:sz w:val="18"/>
          <w:szCs w:val="18"/>
          <w:color w:val="auto"/>
        </w:rPr>
      </w:pPr>
    </w:p>
    <w:p>
      <w:pPr>
        <w:ind w:left="4" w:firstLine="645"/>
        <w:spacing w:after="0" w:line="277" w:lineRule="auto"/>
        <w:tabs>
          <w:tab w:leader="none" w:pos="1015"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words “herein”, “hereof” and “hereunder”, and words of similar import in any Operative Document, shall be construed to refer to such Operative Document in its entirety and not to any particular provision of such Operative Document;</w:t>
      </w:r>
    </w:p>
    <w:p>
      <w:pPr>
        <w:spacing w:after="0" w:line="170" w:lineRule="exact"/>
        <w:rPr>
          <w:rFonts w:ascii="Arial" w:cs="Arial" w:eastAsia="Arial" w:hAnsi="Arial"/>
          <w:sz w:val="18"/>
          <w:szCs w:val="18"/>
          <w:color w:val="auto"/>
        </w:rPr>
      </w:pPr>
    </w:p>
    <w:p>
      <w:pPr>
        <w:ind w:left="1044" w:hanging="395"/>
        <w:spacing w:after="0"/>
        <w:tabs>
          <w:tab w:leader="none" w:pos="1044"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words “include”, “includes” and “including” shall be deemed to be followed by the phrase “without limitation”;</w:t>
      </w:r>
    </w:p>
    <w:p>
      <w:pPr>
        <w:spacing w:after="0" w:line="225" w:lineRule="exact"/>
        <w:rPr>
          <w:rFonts w:ascii="Arial" w:cs="Arial" w:eastAsia="Arial" w:hAnsi="Arial"/>
          <w:sz w:val="18"/>
          <w:szCs w:val="18"/>
          <w:color w:val="auto"/>
        </w:rPr>
      </w:pPr>
    </w:p>
    <w:p>
      <w:pPr>
        <w:ind w:left="964" w:hanging="315"/>
        <w:spacing w:after="0"/>
        <w:tabs>
          <w:tab w:leader="none" w:pos="964" w:val="left"/>
        </w:tabs>
        <w:numPr>
          <w:ilvl w:val="1"/>
          <w:numId w:val="78"/>
        </w:numPr>
        <w:rPr>
          <w:rFonts w:ascii="Arial" w:cs="Arial" w:eastAsia="Arial" w:hAnsi="Arial"/>
          <w:sz w:val="17"/>
          <w:szCs w:val="17"/>
          <w:color w:val="auto"/>
        </w:rPr>
      </w:pPr>
      <w:r>
        <w:rPr>
          <w:rFonts w:ascii="Arial" w:cs="Arial" w:eastAsia="Arial" w:hAnsi="Arial"/>
          <w:sz w:val="17"/>
          <w:szCs w:val="17"/>
          <w:color w:val="auto"/>
        </w:rPr>
        <w:t>relative to the determination of any period of time, “from” means “from and including” and “to”, “until” and “through” means “to but</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excluding”;</w:t>
      </w:r>
    </w:p>
    <w:p>
      <w:pPr>
        <w:spacing w:after="0" w:line="211"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PPENDIX</w:t>
      </w:r>
      <w:r>
        <w:rPr>
          <w:rFonts w:ascii="Arial" w:cs="Arial" w:eastAsia="Arial" w:hAnsi="Arial"/>
          <w:sz w:val="18"/>
          <w:szCs w:val="18"/>
          <w:color w:val="auto"/>
        </w:rPr>
        <w:t xml:space="preserve"> 1</w:t>
      </w:r>
    </w:p>
    <w:p>
      <w:pPr>
        <w:spacing w:after="0" w:line="23" w:lineRule="exact"/>
        <w:rPr>
          <w:sz w:val="20"/>
          <w:szCs w:val="20"/>
          <w:color w:val="auto"/>
        </w:rPr>
      </w:pPr>
    </w:p>
    <w:p>
      <w:pPr>
        <w:ind w:left="3164"/>
        <w:spacing w:after="0"/>
        <w:rPr>
          <w:sz w:val="20"/>
          <w:szCs w:val="20"/>
          <w:color w:val="auto"/>
        </w:rPr>
      </w:pPr>
      <w:r>
        <w:rPr>
          <w:rFonts w:ascii="Arial" w:cs="Arial" w:eastAsia="Arial" w:hAnsi="Arial"/>
          <w:sz w:val="18"/>
          <w:szCs w:val="18"/>
          <w:color w:val="auto"/>
        </w:rPr>
        <w:t>(to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395" w:right="239" w:bottom="1440" w:gutter="0" w:footer="0" w:header="0"/>
        </w:sectPr>
      </w:pPr>
    </w:p>
    <w:bookmarkStart w:id="77" w:name="page78"/>
    <w:bookmarkEnd w:id="77"/>
    <w:p>
      <w:pPr>
        <w:jc w:val="both"/>
        <w:ind w:left="4" w:right="20" w:firstLine="645"/>
        <w:spacing w:after="0" w:line="264" w:lineRule="auto"/>
        <w:tabs>
          <w:tab w:leader="none" w:pos="927"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w:t>
      </w:r>
    </w:p>
    <w:p>
      <w:pPr>
        <w:spacing w:after="0" w:line="181" w:lineRule="exact"/>
        <w:rPr>
          <w:rFonts w:ascii="Arial" w:cs="Arial" w:eastAsia="Arial" w:hAnsi="Arial"/>
          <w:sz w:val="18"/>
          <w:szCs w:val="18"/>
          <w:color w:val="auto"/>
        </w:rPr>
      </w:pPr>
    </w:p>
    <w:p>
      <w:pPr>
        <w:ind w:left="944" w:hanging="295"/>
        <w:spacing w:after="0"/>
        <w:tabs>
          <w:tab w:leader="none" w:pos="944"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word “will” shall be construed to have the same meaning and effect as the word “shall”; and</w:t>
      </w:r>
    </w:p>
    <w:p>
      <w:pPr>
        <w:spacing w:after="0" w:line="225" w:lineRule="exact"/>
        <w:rPr>
          <w:rFonts w:ascii="Arial" w:cs="Arial" w:eastAsia="Arial" w:hAnsi="Arial"/>
          <w:sz w:val="18"/>
          <w:szCs w:val="18"/>
          <w:color w:val="auto"/>
        </w:rPr>
      </w:pPr>
    </w:p>
    <w:p>
      <w:pPr>
        <w:jc w:val="both"/>
        <w:ind w:left="4" w:firstLine="645"/>
        <w:spacing w:after="0" w:line="273" w:lineRule="auto"/>
        <w:tabs>
          <w:tab w:leader="none" w:pos="1047" w:val="left"/>
        </w:tabs>
        <w:numPr>
          <w:ilvl w:val="1"/>
          <w:numId w:val="79"/>
        </w:numPr>
        <w:rPr>
          <w:rFonts w:ascii="Arial" w:cs="Arial" w:eastAsia="Arial" w:hAnsi="Arial"/>
          <w:sz w:val="17"/>
          <w:szCs w:val="17"/>
          <w:color w:val="auto"/>
        </w:rPr>
      </w:pPr>
      <w:r>
        <w:rPr>
          <w:rFonts w:ascii="Arial" w:cs="Arial" w:eastAsia="Arial" w:hAnsi="Arial"/>
          <w:sz w:val="17"/>
          <w:szCs w:val="17"/>
          <w:color w:val="auto"/>
        </w:rPr>
        <w:t>any reference in any Operative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and any division of a limited liability company shall constitute a separate Person under such Operative Document (and each division of any limited liability company that is a Subsidiary, joint venture or any other like term shall also constitute such a Person or entity).</w:t>
      </w:r>
    </w:p>
    <w:p>
      <w:pPr>
        <w:spacing w:after="0" w:line="178" w:lineRule="exact"/>
        <w:rPr>
          <w:rFonts w:ascii="Arial" w:cs="Arial" w:eastAsia="Arial" w:hAnsi="Arial"/>
          <w:sz w:val="17"/>
          <w:szCs w:val="17"/>
          <w:color w:val="auto"/>
        </w:rPr>
      </w:pPr>
    </w:p>
    <w:p>
      <w:pPr>
        <w:ind w:left="264" w:hanging="264"/>
        <w:spacing w:after="0"/>
        <w:tabs>
          <w:tab w:leader="none" w:pos="264"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Accounting Terms; GAAP; Pro Forma Calculations.</w:t>
      </w:r>
    </w:p>
    <w:p>
      <w:pPr>
        <w:spacing w:after="0" w:line="225" w:lineRule="exact"/>
        <w:rPr>
          <w:rFonts w:ascii="Arial" w:cs="Arial" w:eastAsia="Arial" w:hAnsi="Arial"/>
          <w:sz w:val="18"/>
          <w:szCs w:val="18"/>
          <w:color w:val="auto"/>
        </w:rPr>
      </w:pPr>
    </w:p>
    <w:p>
      <w:pPr>
        <w:jc w:val="both"/>
        <w:ind w:left="4" w:firstLine="645"/>
        <w:spacing w:after="0" w:line="286" w:lineRule="auto"/>
        <w:tabs>
          <w:tab w:leader="none" w:pos="874"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in any Operative Document, all terms of 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Parent Guarantor or Lessee notifies the Administrative Agent that the Lessee requests an amendment to any provision of any Operative Document to eliminate the effect of any change occurring after the Original Closing Date in GAAP or in the application thereof on the operation of such provision (or if the Administrative Agent notifies the Lessee that the Required Participants request an amendment to any provision of any Operative Document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in any Operative Document, (x) all terms of an accounting or financial nature used in any Operative Document shall be construed, and all computations of amounts and ratios referred to in any Operative Document shall be made (1) without giving effect to any election under Accounting Standards Codification 825-10-25 (or any other Accounting Standards Codification or Financial Accounting Standard having a similar result or effect) to value any Indebtedness or other liabilities of the Parent Guarantor or Lessee or any Subsidiary at “fair value”, as defined therein, and (2)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(y) notwithstanding any modification or interpretative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133350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9" w:right="239" w:bottom="1440" w:gutter="0" w:footer="0" w:header="0"/>
        </w:sectPr>
      </w:pPr>
    </w:p>
    <w:bookmarkStart w:id="78" w:name="page79"/>
    <w:bookmarkEnd w:id="78"/>
    <w:p>
      <w:pPr>
        <w:jc w:val="both"/>
        <w:spacing w:after="0" w:line="270" w:lineRule="auto"/>
        <w:rPr>
          <w:sz w:val="20"/>
          <w:szCs w:val="20"/>
          <w:color w:val="auto"/>
        </w:rPr>
      </w:pPr>
      <w:r>
        <w:rPr>
          <w:rFonts w:ascii="Arial" w:cs="Arial" w:eastAsia="Arial" w:hAnsi="Arial"/>
          <w:sz w:val="17"/>
          <w:szCs w:val="17"/>
          <w:color w:val="auto"/>
        </w:rPr>
        <w:t>change to GAAP after the Bank Credit Agreement Effective Date (including any such modification or change as a result of any treatment of leases under Accounting Standards Codification 842 (or any other Accounting Standards Codification or Financial Accounting Standard having a similar result or effect)), any obligations relating to any of the following shall be deemed to be obligations relating to an operating lease and shall not constitute Capital Lease Obligations under the Operative Documents: (1) a lease that was or would have been accounted for by such Person as an operating lease as of the Bank Credit Agreement Effective Date, (2) any Specified Lease Arrangements of such Person or (3) any lease or arrangement similar to any of the foregoing entered into after the Bank Credit Agreement Effective Date by such Person or an Affiliate thereof. For the avoidance of doubt, it is understood and agreed that a lease or other arrangement that would be accounted for by such Person as an operating lease under Accounting Standards Codification 842 (or any other Accounting Standards Codification or Financial Accounting Standard having a similar result or effect) shall also be treated as an operating lease.</w:t>
      </w:r>
    </w:p>
    <w:p>
      <w:pPr>
        <w:spacing w:after="0" w:line="182" w:lineRule="exact"/>
        <w:rPr>
          <w:sz w:val="20"/>
          <w:szCs w:val="20"/>
          <w:color w:val="auto"/>
        </w:rPr>
      </w:pPr>
    </w:p>
    <w:p>
      <w:pPr>
        <w:jc w:val="both"/>
        <w:ind w:firstLine="645"/>
        <w:spacing w:after="0" w:line="285" w:lineRule="auto"/>
        <w:tabs>
          <w:tab w:leader="none" w:pos="927"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All pro forma computations required to be made under any Operative Document giving effect to any Acquisition or disposition, or issuance, incurrence or assumption of Indebtedness, or other transaction shall in each case be calculated after giving pro forma effect thereto (and, in the case of any pro forma computation made under any Operative Document, to determine whether such Acquisition, disposition or issuance, incurrence or assumption of Indebtedness or other transaction is not prohibited to be consummated under the Participation Agreement or Guaranty) immediately after giving effect to such Acquisition, disposition or issuance, incurrence or assumption of Indebtedness (and to any other such transaction consummated since the first day of the period for which such pro forma computation is being made and on or prior to the date of such computation) as if such transaction had occurred on the first day of the period of four consecutive fiscal quarters ending with the most recent fiscal quarter for which financial statements shall have been delivered after the Original Closing Date pursuant to Section 8(a)(i) or 8(a)(ii) of the Guaranty (or, prior to the delivery of any such financial statements, ending with the last fiscal quarter included in the financial statements delivered pursuant to Section 6.1(xviii) of the Original Participation Agreement), and, to the extent applicable, to the historical earnings and cash flows associated with the assets acquired or disposed of, any related incurrence or reduction of Indebtedness and any related cost savings, operating expense reductions and synergies, all in accordance with (and, in the case of cost savings, operating expense reductions and synergies, to the extent permitted by) Article 11 of Regulation S-X under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pro forma computation required to be made under any Operative Document shall make or result in any pro forma adjustment to Consolidated EBITDA for any Drug Acquisition or Exclusive License.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77" w:lineRule="exact"/>
        <w:rPr>
          <w:rFonts w:ascii="Arial" w:cs="Arial" w:eastAsia="Arial" w:hAnsi="Arial"/>
          <w:sz w:val="16"/>
          <w:szCs w:val="16"/>
          <w:color w:val="auto"/>
        </w:rPr>
      </w:pPr>
    </w:p>
    <w:p>
      <w:pPr>
        <w:ind w:firstLine="645"/>
        <w:spacing w:after="0" w:line="277" w:lineRule="auto"/>
        <w:tabs>
          <w:tab w:leader="none" w:pos="969"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computation of any financial ratio or other financial metric made or required to be made under any Restated Operative Document as of the end of, or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134620</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9" w:right="239" w:bottom="1440" w:gutter="0" w:footer="0" w:header="0"/>
        </w:sectPr>
      </w:pPr>
    </w:p>
    <w:bookmarkStart w:id="79" w:name="page80"/>
    <w:bookmarkEnd w:id="79"/>
    <w:p>
      <w:pPr>
        <w:jc w:val="both"/>
        <w:ind w:left="4"/>
        <w:spacing w:after="0" w:line="286" w:lineRule="auto"/>
        <w:rPr>
          <w:sz w:val="20"/>
          <w:szCs w:val="20"/>
          <w:color w:val="auto"/>
        </w:rPr>
      </w:pPr>
      <w:r>
        <w:rPr>
          <w:rFonts w:ascii="Arial" w:cs="Arial" w:eastAsia="Arial" w:hAnsi="Arial"/>
          <w:sz w:val="17"/>
          <w:szCs w:val="17"/>
          <w:color w:val="auto"/>
        </w:rPr>
        <w:t>respect to a period that includes, a fiscal quarter that ended prior to the Restatement Date (including the computation of the financial covenants contained in the Guaranty for the period ended March 31, 2019) shall be calculated and determined in accordance with the definitions and other relevant provisions of the Restated Operative Documents, as in effect from time to time from and after the Restatement Date.</w:t>
      </w:r>
    </w:p>
    <w:p>
      <w:pPr>
        <w:spacing w:after="0" w:line="166" w:lineRule="exact"/>
        <w:rPr>
          <w:sz w:val="20"/>
          <w:szCs w:val="20"/>
          <w:color w:val="auto"/>
        </w:rPr>
      </w:pPr>
    </w:p>
    <w:p>
      <w:pPr>
        <w:jc w:val="both"/>
        <w:ind w:left="-656" w:firstLine="656"/>
        <w:spacing w:after="0" w:line="259" w:lineRule="auto"/>
        <w:tabs>
          <w:tab w:leader="none" w:pos="237"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Conflict in Operative Documents</w:t>
      </w:r>
      <w:r>
        <w:rPr>
          <w:rFonts w:ascii="Arial" w:cs="Arial" w:eastAsia="Arial" w:hAnsi="Arial"/>
          <w:sz w:val="18"/>
          <w:szCs w:val="18"/>
          <w:color w:val="auto"/>
        </w:rPr>
        <w:t>. If there is any conflict between any Operative Documents, such Operative Document shall be interpreted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if possible, so as to avoid or minimize such conflict, but, to the extent (and only to the extent) of such conflict, (i) the Participation Agreement shall prevail and control or (ii) if such conflict is between the Lease and any other Operative Document other than the Participation Agreement, the Lease shall prevail and control.</w:t>
      </w:r>
    </w:p>
    <w:p>
      <w:pPr>
        <w:spacing w:after="0" w:line="186" w:lineRule="exact"/>
        <w:rPr>
          <w:rFonts w:ascii="Arial" w:cs="Arial" w:eastAsia="Arial" w:hAnsi="Arial"/>
          <w:sz w:val="18"/>
          <w:szCs w:val="18"/>
          <w:color w:val="auto"/>
        </w:rPr>
      </w:pPr>
    </w:p>
    <w:p>
      <w:pPr>
        <w:jc w:val="both"/>
        <w:ind w:left="-656" w:firstLine="656"/>
        <w:spacing w:after="0" w:line="264" w:lineRule="auto"/>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Legal Representation of the Parties</w:t>
      </w:r>
      <w:r>
        <w:rPr>
          <w:rFonts w:ascii="Arial" w:cs="Arial" w:eastAsia="Arial" w:hAnsi="Arial"/>
          <w:sz w:val="18"/>
          <w:szCs w:val="18"/>
          <w:color w:val="auto"/>
        </w:rPr>
        <w:t>. The Operative Documents were negotiated by the parties with the benefit of legal representation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rule of construction or interpretation otherwise requiring the Operative Document to be construed or interpreted against any party shall not apply to any construction or interpretation hereof or thereof.</w:t>
      </w:r>
    </w:p>
    <w:p>
      <w:pPr>
        <w:spacing w:after="0" w:line="181" w:lineRule="exact"/>
        <w:rPr>
          <w:rFonts w:ascii="Arial" w:cs="Arial" w:eastAsia="Arial" w:hAnsi="Arial"/>
          <w:sz w:val="18"/>
          <w:szCs w:val="18"/>
          <w:color w:val="auto"/>
        </w:rPr>
      </w:pPr>
    </w:p>
    <w:p>
      <w:pPr>
        <w:jc w:val="both"/>
        <w:ind w:left="-656" w:firstLine="656"/>
        <w:spacing w:after="0" w:line="285" w:lineRule="auto"/>
        <w:tabs>
          <w:tab w:leader="none" w:pos="25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Interest Rates; LIBOR Notification</w:t>
      </w:r>
      <w:r>
        <w:rPr>
          <w:rFonts w:ascii="Arial" w:cs="Arial" w:eastAsia="Arial" w:hAnsi="Arial"/>
          <w:sz w:val="16"/>
          <w:szCs w:val="16"/>
          <w:color w:val="auto"/>
        </w:rPr>
        <w:t>. Interest or Yield may be determined by reference to the LIBO Rate, which is derived from the London</w:t>
      </w:r>
      <w:r>
        <w:rPr>
          <w:rFonts w:ascii="Arial" w:cs="Arial" w:eastAsia="Arial" w:hAnsi="Arial"/>
          <w:sz w:val="16"/>
          <w:szCs w:val="16"/>
          <w:i w:val="1"/>
          <w:iCs w:val="1"/>
          <w:color w:val="auto"/>
        </w:rPr>
        <w:t xml:space="preserve"> </w:t>
      </w:r>
      <w:r>
        <w:rPr>
          <w:rFonts w:ascii="Arial" w:cs="Arial" w:eastAsia="Arial" w:hAnsi="Arial"/>
          <w:sz w:val="16"/>
          <w:szCs w:val="16"/>
          <w:color w:val="auto"/>
        </w:rPr>
        <w:t>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Administration, the “</w:t>
      </w:r>
      <w:r>
        <w:rPr>
          <w:rFonts w:ascii="Arial" w:cs="Arial" w:eastAsia="Arial" w:hAnsi="Arial"/>
          <w:sz w:val="16"/>
          <w:szCs w:val="16"/>
          <w:i w:val="1"/>
          <w:iCs w:val="1"/>
          <w:color w:val="auto"/>
        </w:rPr>
        <w:t>IBA</w:t>
      </w:r>
      <w:r>
        <w:rPr>
          <w:rFonts w:ascii="Arial" w:cs="Arial" w:eastAsia="Arial" w:hAnsi="Arial"/>
          <w:sz w:val="16"/>
          <w:szCs w:val="16"/>
          <w:color w:val="auto"/>
        </w:rPr>
        <w:t>”) for purposes of the IBA setting the London interbank offered rate. As a result, it is possible that commencing in 2022, the London interbank offered rate may no longer be available or may no longer be deemed an appropriate reference rate upon which to determine Interest or Yield.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the relevant provisions of Article XIV of the Participation Agreement, Section 14.2 of the Participation Agreement provides a mechanism for determining an alternative rate of Interest or Yield, as the case may be. The Administrative Agent will notify the Lessee, pursuant to Section 14.2 of the Participation Agreement, in advance of any change to the reference rate upon which the Interest and/or Yield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whether the composition or characteristics of any such alternative, successor or replacement reference rate, as it may or may not be adjusted pursuant to Section 14.2, will be similar to, or produce the same value or economic equivalence of, the LIBO Rate or have the same volume or liquidity as did the London interbank offered rate prior to its discontinuance or unavailability.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139065</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9" w:right="239" w:bottom="1440" w:gutter="0" w:footer="0" w:header="0"/>
        </w:sectPr>
      </w:pPr>
    </w:p>
    <w:bookmarkStart w:id="80" w:name="page81"/>
    <w:bookmarkEnd w:id="80"/>
    <w:p>
      <w:pPr>
        <w:ind w:firstLine="65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Unless a clear contrary intention appears, terms defined herein have the respective indicated meanings when used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Accelerated Lessor Rent Amount</w:t>
      </w:r>
      <w:r>
        <w:rPr>
          <w:rFonts w:ascii="Arial" w:cs="Arial" w:eastAsia="Arial" w:hAnsi="Arial"/>
          <w:sz w:val="18"/>
          <w:szCs w:val="18"/>
          <w:color w:val="auto"/>
        </w:rPr>
        <w:t>” is defined in Section 3.1(c)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Acceleration</w:t>
      </w:r>
      <w:r>
        <w:rPr>
          <w:rFonts w:ascii="Arial" w:cs="Arial" w:eastAsia="Arial" w:hAnsi="Arial"/>
          <w:sz w:val="18"/>
          <w:szCs w:val="18"/>
          <w:color w:val="auto"/>
        </w:rPr>
        <w:t>” is defined in Section 5.2(a) of the Loan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w:t>
      </w:r>
      <w:r>
        <w:rPr>
          <w:rFonts w:ascii="Arial" w:cs="Arial" w:eastAsia="Arial" w:hAnsi="Arial"/>
          <w:sz w:val="18"/>
          <w:szCs w:val="18"/>
          <w:color w:val="auto"/>
        </w:rPr>
        <w:t>” means (i) any acquisition (whether by purchase, merger, consolidation or otherwise) or series of related acquisitions by the Parent Guarantor or any Subsidiary of (a) all or substantially all the assets of (or all or substantially all the assets constituting a business unit, division, product line (including rights in respect of any drug or other pharmaceutical product) or line of business of) any Person, or (b) all or substantially all the Equity Interests in a Person or division or line of business of a Person, (ii) a Drug Acquisition or (iii) an Exclusive License to develop and commercialize a drug or other product line of any Person.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Holiday</w:t>
      </w:r>
      <w:r>
        <w:rPr>
          <w:rFonts w:ascii="Arial" w:cs="Arial" w:eastAsia="Arial" w:hAnsi="Arial"/>
          <w:sz w:val="18"/>
          <w:szCs w:val="18"/>
          <w:color w:val="auto"/>
        </w:rPr>
        <w:t>” is defined in Section 9(f) of the Guaranty.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means Bank of America, N.A., in its capacity as administrative agent under the Participation Agreement, or any successor administrative agent pursuant to the terms of the Operative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 Fee Letter</w:t>
      </w:r>
      <w:r>
        <w:rPr>
          <w:rFonts w:ascii="Arial" w:cs="Arial" w:eastAsia="Arial" w:hAnsi="Arial"/>
          <w:sz w:val="18"/>
          <w:szCs w:val="18"/>
          <w:color w:val="auto"/>
        </w:rPr>
        <w:t>” means the fee letter dated March 3, 2017, between Lessee and Administrative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w:t>
      </w:r>
      <w:r>
        <w:rPr>
          <w:rFonts w:ascii="Arial" w:cs="Arial" w:eastAsia="Arial" w:hAnsi="Arial"/>
          <w:sz w:val="18"/>
          <w:szCs w:val="18"/>
          <w:color w:val="auto"/>
        </w:rPr>
        <w:t>” means the advance by Lessor on March 3, 2017, to the Administrative Agent for the benefit of the Lessee, of amounts Funded by the Participants pursuant to Article III of the Original Participation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 Request</w:t>
      </w:r>
      <w:r>
        <w:rPr>
          <w:rFonts w:ascii="Arial" w:cs="Arial" w:eastAsia="Arial" w:hAnsi="Arial"/>
          <w:sz w:val="18"/>
          <w:szCs w:val="18"/>
          <w:color w:val="auto"/>
        </w:rPr>
        <w:t>” means the Advance Request executed and delivered by the Lessee on February 28, 2017, in connection with the Original Participation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Transferee</w:t>
      </w:r>
      <w:r>
        <w:rPr>
          <w:rFonts w:ascii="Arial" w:cs="Arial" w:eastAsia="Arial" w:hAnsi="Arial"/>
          <w:sz w:val="18"/>
          <w:szCs w:val="18"/>
          <w:color w:val="auto"/>
        </w:rPr>
        <w:t>” is defined in Article VI of the Lease.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After Tax Basis</w:t>
      </w:r>
      <w:r>
        <w:rPr>
          <w:rFonts w:ascii="Arial" w:cs="Arial" w:eastAsia="Arial" w:hAnsi="Arial"/>
          <w:sz w:val="18"/>
          <w:szCs w:val="18"/>
          <w:color w:val="auto"/>
        </w:rPr>
        <w:t>” means, with respect to any payment to be received (to the extent the receipt of such payment constitutes taxable income to such recipient), the amount of such payment increased so that, after deduction of the amount of all Taxes (including any Taxes payable by reason of inclusion of such amount in income otherwise excluded by the definition of Impositions, and assuming for this purpose that the recipient of such payment is subject to taxation at the highest Federal and applicable state and local marginal rates applicable to such recipient for the year in which such income is taxable) required to be paid by the recipient (less any tax savings, credits, deductions or other quantifiable tax benefits that are reasonably expected to be realized, utilizing the same tax rate assumptions as set forth in the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1" w:name="page82"/>
    <w:bookmarkEnd w:id="81"/>
    <w:p>
      <w:pPr>
        <w:jc w:val="both"/>
        <w:spacing w:after="0" w:line="312" w:lineRule="auto"/>
        <w:rPr>
          <w:sz w:val="20"/>
          <w:szCs w:val="20"/>
          <w:color w:val="auto"/>
        </w:rPr>
      </w:pPr>
      <w:r>
        <w:rPr>
          <w:rFonts w:ascii="Arial" w:cs="Arial" w:eastAsia="Arial" w:hAnsi="Arial"/>
          <w:sz w:val="16"/>
          <w:szCs w:val="16"/>
          <w:color w:val="auto"/>
        </w:rPr>
        <w:t>preceding parenthetical phrase, and the present value of any tax savings projected, utilizing the same tax rate assumptions as set forth in the immediately preceding parenthetical phrase, that are reasonably expected to be realized by the recipient as a result of the payment of the indemnified amount) with respect to the receipt by the recipient of such amounts, such increased payment (as so reduced) is equal to the payment otherwise required to be made.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Commitment Amount</w:t>
      </w:r>
      <w:r>
        <w:rPr>
          <w:rFonts w:ascii="Arial" w:cs="Arial" w:eastAsia="Arial" w:hAnsi="Arial"/>
          <w:sz w:val="18"/>
          <w:szCs w:val="18"/>
          <w:color w:val="auto"/>
        </w:rPr>
        <w:t>” means Seven Hundred Twenty Million Dollars ($720,000,000.00).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ALTA</w:t>
      </w:r>
      <w:r>
        <w:rPr>
          <w:rFonts w:ascii="Arial" w:cs="Arial" w:eastAsia="Arial" w:hAnsi="Arial"/>
          <w:sz w:val="18"/>
          <w:szCs w:val="18"/>
          <w:color w:val="auto"/>
        </w:rPr>
        <w:t>” means the American Land Title Association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Alternate Base Rate</w:t>
      </w:r>
      <w:r>
        <w:rPr>
          <w:rFonts w:ascii="Arial" w:cs="Arial" w:eastAsia="Arial" w:hAnsi="Arial"/>
          <w:sz w:val="16"/>
          <w:szCs w:val="16"/>
          <w:color w:val="auto"/>
        </w:rPr>
        <w:t>” means, on any date with respect to any Loan or Lessor Amount, a fluctuating rate of interest per annum equal to the higher of</w:t>
      </w:r>
    </w:p>
    <w:p>
      <w:pPr>
        <w:spacing w:after="0" w:line="46" w:lineRule="exact"/>
        <w:rPr>
          <w:sz w:val="20"/>
          <w:szCs w:val="20"/>
          <w:color w:val="auto"/>
        </w:rPr>
      </w:pPr>
    </w:p>
    <w:p>
      <w:pPr>
        <w:jc w:val="both"/>
        <w:ind w:firstLine="8"/>
        <w:spacing w:after="0" w:line="252" w:lineRule="auto"/>
        <w:tabs>
          <w:tab w:leader="none" w:pos="30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rate of interest most recently announced by Bank of America, N.A. in the United States from time to time as its “prime rate”, and (B) the Federal Funds Effective Rate most recently determined by Administrative Agent plus ..50% per annum, plus the Applicable Margin. If either of the aforesaid rates or their equivalent changes from time to time after the Original Closing Date, the Alternate Base Rate shall be automatically increased or decreased, if appropriate and as the case may be, without notice to Lessee or any Participant, effective from and including the effective date of such change. The “prime rate” is a rate set by Bank of America, N.A. based upon various factors including Bank of America, N.A.’s costs and desired return, general economic conditions and other factors, and is used as a reference point for pricing some loans, which may be priced at, above, or below such announced rate. Any change in such prime rate announced by Bank of America, N.A. shall take effect at the opening of business on the day specified in the public announcement of such change.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Modification Cap</w:t>
      </w:r>
      <w:r>
        <w:rPr>
          <w:rFonts w:ascii="Arial" w:cs="Arial" w:eastAsia="Arial" w:hAnsi="Arial"/>
          <w:sz w:val="18"/>
          <w:szCs w:val="18"/>
          <w:color w:val="auto"/>
        </w:rPr>
        <w:t>” is defined in Section 10.1(b) of the Lease.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Anti-Corruption Laws</w:t>
      </w:r>
      <w:r>
        <w:rPr>
          <w:rFonts w:ascii="Arial" w:cs="Arial" w:eastAsia="Arial" w:hAnsi="Arial"/>
          <w:sz w:val="18"/>
          <w:szCs w:val="18"/>
          <w:color w:val="auto"/>
        </w:rPr>
        <w:t>” means the Foreign Corrupt Practices Act of 1977, as amended, and the rules and regulations thereunder, and all similar laws, rules, and regulations of any jurisdiction applicable to Parent Guarantor or its Subsidiaries from time to time concerning or relating to bribery or corruption.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Laws</w:t>
      </w:r>
      <w:r>
        <w:rPr>
          <w:rFonts w:ascii="Arial" w:cs="Arial" w:eastAsia="Arial" w:hAnsi="Arial"/>
          <w:sz w:val="18"/>
          <w:szCs w:val="18"/>
          <w:color w:val="auto"/>
        </w:rPr>
        <w:t>” means, collectively, all international, foreign, Federal, state and local statutes, treaties, rules, guidelines, regulations (including Environmental Laws), ordinances, codes and administrative or judicial precedents or authorities, including official rulings and interpretations thereof by any Governmental Authority charged with the enforcement, interpretation or administration thereof having the force of law or with which affected Persons customarily comply, and all applicable orders, judgments, directed duties, requests, licenses, authorizations and permits of, and agreements with, any Governmental Authority.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Lending Office</w:t>
      </w:r>
      <w:r>
        <w:rPr>
          <w:rFonts w:ascii="Arial" w:cs="Arial" w:eastAsia="Arial" w:hAnsi="Arial"/>
          <w:sz w:val="18"/>
          <w:szCs w:val="18"/>
          <w:color w:val="auto"/>
        </w:rPr>
        <w:t>” means, for each Participant, the office, branch, affiliate or correspondent bank of such Participant set forth as the Applicable Lending Office for such Participant on Schedule III to the Participation Agreement, as applicable, or such other office, branch, affiliate or correspondent bank of such Participant (or of an Affiliate of such Participant) as such Participant may from time to time specify to the Administrative Agent and Lessee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2" w:name="page83"/>
    <w:bookmarkEnd w:id="82"/>
    <w:p>
      <w:pPr>
        <w:jc w:val="both"/>
        <w:spacing w:after="0" w:line="277" w:lineRule="auto"/>
        <w:rPr>
          <w:sz w:val="20"/>
          <w:szCs w:val="20"/>
          <w:color w:val="auto"/>
        </w:rPr>
      </w:pPr>
      <w:r>
        <w:rPr>
          <w:rFonts w:ascii="Arial" w:cs="Arial" w:eastAsia="Arial" w:hAnsi="Arial"/>
          <w:sz w:val="18"/>
          <w:szCs w:val="18"/>
          <w:color w:val="auto"/>
        </w:rPr>
        <w:t>written notice as the office from which its Loans or Lessor Amount, as applicable, and accruing Interest or Yield, as applicable, at the LIBO Rate are made available and maintained.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Margin</w:t>
      </w:r>
      <w:r>
        <w:rPr>
          <w:rFonts w:ascii="Arial" w:cs="Arial" w:eastAsia="Arial" w:hAnsi="Arial"/>
          <w:sz w:val="18"/>
          <w:szCs w:val="18"/>
          <w:color w:val="auto"/>
        </w:rPr>
        <w:t>” means, for any day, with respect to the Loans and the Lessor Amount, as the case may be, the applicable rate per annum set forth below under the caption “Applicable Margin for Loans” or “Applicable Margin for Lessor Amount”, as the case may be, based upon the Pricing Level applicable on such date:</w:t>
      </w:r>
    </w:p>
    <w:p>
      <w:pPr>
        <w:spacing w:after="0" w:line="181" w:lineRule="exact"/>
        <w:rPr>
          <w:sz w:val="20"/>
          <w:szCs w:val="20"/>
          <w:color w:val="auto"/>
        </w:rPr>
      </w:pPr>
    </w:p>
    <w:tbl>
      <w:tblPr>
        <w:tblLayout w:type="fixed"/>
        <w:tblInd w:w="200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2880" w:type="dxa"/>
            <w:vAlign w:val="bottom"/>
          </w:tcPr>
          <w:p>
            <w:pPr>
              <w:jc w:val="right"/>
              <w:ind w:right="105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PPLICABLE</w:t>
            </w:r>
          </w:p>
        </w:tc>
        <w:tc>
          <w:tcPr>
            <w:tcW w:w="2260" w:type="dxa"/>
            <w:vAlign w:val="bottom"/>
            <w:gridSpan w:val="2"/>
          </w:tcPr>
          <w:p>
            <w:pPr>
              <w:jc w:val="right"/>
              <w:ind w:right="5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PPLICABLE</w:t>
            </w:r>
            <w:r>
              <w:rPr>
                <w:rFonts w:ascii="Arial" w:cs="Arial" w:eastAsia="Arial" w:hAnsi="Arial"/>
                <w:sz w:val="18"/>
                <w:szCs w:val="18"/>
                <w:color w:val="auto"/>
              </w:rPr>
              <w:t xml:space="preserve"> M</w:t>
            </w:r>
            <w:r>
              <w:rPr>
                <w:rFonts w:ascii="Arial" w:cs="Arial" w:eastAsia="Arial" w:hAnsi="Arial"/>
                <w:sz w:val="12"/>
                <w:szCs w:val="12"/>
                <w:color w:val="auto"/>
              </w:rPr>
              <w:t>ARGIN</w:t>
            </w:r>
          </w:p>
        </w:tc>
        <w:tc>
          <w:tcPr>
            <w:tcW w:w="0" w:type="dxa"/>
            <w:vAlign w:val="bottom"/>
          </w:tcPr>
          <w:p>
            <w:pPr>
              <w:spacing w:after="0"/>
              <w:rPr>
                <w:sz w:val="1"/>
                <w:szCs w:val="1"/>
                <w:color w:val="auto"/>
              </w:rPr>
            </w:pPr>
          </w:p>
        </w:tc>
      </w:tr>
      <w:tr>
        <w:trPr>
          <w:trHeight w:val="234"/>
        </w:trPr>
        <w:tc>
          <w:tcPr>
            <w:tcW w:w="230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RICING</w:t>
            </w:r>
            <w:r>
              <w:rPr>
                <w:rFonts w:ascii="Arial" w:cs="Arial" w:eastAsia="Arial" w:hAnsi="Arial"/>
                <w:sz w:val="18"/>
                <w:szCs w:val="18"/>
                <w:color w:val="auto"/>
              </w:rPr>
              <w:t xml:space="preserve"> L</w:t>
            </w:r>
            <w:r>
              <w:rPr>
                <w:rFonts w:ascii="Arial" w:cs="Arial" w:eastAsia="Arial" w:hAnsi="Arial"/>
                <w:sz w:val="12"/>
                <w:szCs w:val="12"/>
                <w:color w:val="auto"/>
              </w:rPr>
              <w:t>EVEL</w:t>
            </w:r>
          </w:p>
        </w:tc>
        <w:tc>
          <w:tcPr>
            <w:tcW w:w="2880" w:type="dxa"/>
            <w:vAlign w:val="bottom"/>
          </w:tcPr>
          <w:p>
            <w:pPr>
              <w:jc w:val="right"/>
              <w:ind w:right="79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ARGIN FOR</w:t>
            </w:r>
            <w:r>
              <w:rPr>
                <w:rFonts w:ascii="Arial" w:cs="Arial" w:eastAsia="Arial" w:hAnsi="Arial"/>
                <w:sz w:val="18"/>
                <w:szCs w:val="18"/>
                <w:color w:val="auto"/>
              </w:rPr>
              <w:t xml:space="preserve"> L</w:t>
            </w:r>
            <w:r>
              <w:rPr>
                <w:rFonts w:ascii="Arial" w:cs="Arial" w:eastAsia="Arial" w:hAnsi="Arial"/>
                <w:sz w:val="12"/>
                <w:szCs w:val="12"/>
                <w:color w:val="auto"/>
              </w:rPr>
              <w:t>OANS</w:t>
            </w:r>
          </w:p>
        </w:tc>
        <w:tc>
          <w:tcPr>
            <w:tcW w:w="2260" w:type="dxa"/>
            <w:vAlign w:val="bottom"/>
            <w:gridSpan w:val="2"/>
          </w:tcPr>
          <w:p>
            <w:pPr>
              <w:jc w:val="right"/>
              <w:ind w:right="500"/>
              <w:spacing w:after="0"/>
              <w:rPr>
                <w:sz w:val="20"/>
                <w:szCs w:val="20"/>
                <w:color w:val="auto"/>
              </w:rPr>
            </w:pPr>
            <w:r>
              <w:rPr>
                <w:rFonts w:ascii="Arial" w:cs="Arial" w:eastAsia="Arial" w:hAnsi="Arial"/>
                <w:sz w:val="12"/>
                <w:szCs w:val="12"/>
                <w:color w:val="auto"/>
              </w:rPr>
              <w:t xml:space="preserve">FOR </w:t>
            </w:r>
            <w:r>
              <w:rPr>
                <w:rFonts w:ascii="Arial" w:cs="Arial" w:eastAsia="Arial" w:hAnsi="Arial"/>
                <w:sz w:val="18"/>
                <w:szCs w:val="18"/>
                <w:color w:val="auto"/>
              </w:rPr>
              <w:t>L</w:t>
            </w:r>
            <w:r>
              <w:rPr>
                <w:rFonts w:ascii="Arial" w:cs="Arial" w:eastAsia="Arial" w:hAnsi="Arial"/>
                <w:sz w:val="12"/>
                <w:szCs w:val="12"/>
                <w:color w:val="auto"/>
              </w:rPr>
              <w:t xml:space="preserve">ESSOR </w:t>
            </w:r>
            <w:r>
              <w:rPr>
                <w:rFonts w:ascii="Arial" w:cs="Arial" w:eastAsia="Arial" w:hAnsi="Arial"/>
                <w:sz w:val="18"/>
                <w:szCs w:val="18"/>
                <w:b w:val="1"/>
                <w:bCs w:val="1"/>
                <w:color w:val="auto"/>
              </w:rPr>
              <w:t>A</w:t>
            </w:r>
            <w:r>
              <w:rPr>
                <w:rFonts w:ascii="Arial" w:cs="Arial" w:eastAsia="Arial" w:hAnsi="Arial"/>
                <w:sz w:val="12"/>
                <w:szCs w:val="12"/>
                <w:b w:val="1"/>
                <w:bCs w:val="1"/>
                <w:color w:val="auto"/>
              </w:rPr>
              <w:t>MOUNT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I.</w:t>
            </w:r>
          </w:p>
        </w:tc>
        <w:tc>
          <w:tcPr>
            <w:tcW w:w="288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1.375%</w:t>
            </w:r>
          </w:p>
        </w:tc>
        <w:tc>
          <w:tcPr>
            <w:tcW w:w="2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300" w:type="dxa"/>
            <w:vAlign w:val="bottom"/>
          </w:tcPr>
          <w:p>
            <w:pPr>
              <w:jc w:val="center"/>
              <w:spacing w:after="0"/>
              <w:rPr>
                <w:sz w:val="20"/>
                <w:szCs w:val="20"/>
                <w:color w:val="auto"/>
              </w:rPr>
            </w:pPr>
            <w:r>
              <w:rPr>
                <w:rFonts w:ascii="Arial" w:cs="Arial" w:eastAsia="Arial" w:hAnsi="Arial"/>
                <w:sz w:val="18"/>
                <w:szCs w:val="18"/>
                <w:color w:val="auto"/>
              </w:rPr>
              <w:t>II.</w:t>
            </w:r>
          </w:p>
        </w:tc>
        <w:tc>
          <w:tcPr>
            <w:tcW w:w="2880" w:type="dxa"/>
            <w:vAlign w:val="bottom"/>
          </w:tcPr>
          <w:p>
            <w:pPr>
              <w:jc w:val="right"/>
              <w:ind w:right="250"/>
              <w:spacing w:after="0"/>
              <w:rPr>
                <w:sz w:val="20"/>
                <w:szCs w:val="20"/>
                <w:color w:val="auto"/>
              </w:rPr>
            </w:pPr>
            <w:r>
              <w:rPr>
                <w:rFonts w:ascii="Arial" w:cs="Arial" w:eastAsia="Arial" w:hAnsi="Arial"/>
                <w:sz w:val="18"/>
                <w:szCs w:val="18"/>
                <w:color w:val="auto"/>
              </w:rPr>
              <w:t>1.500%</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III.</w:t>
            </w:r>
          </w:p>
        </w:tc>
        <w:tc>
          <w:tcPr>
            <w:tcW w:w="288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1.625%</w:t>
            </w:r>
          </w:p>
        </w:tc>
        <w:tc>
          <w:tcPr>
            <w:tcW w:w="2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300" w:type="dxa"/>
            <w:vAlign w:val="bottom"/>
          </w:tcPr>
          <w:p>
            <w:pPr>
              <w:jc w:val="center"/>
              <w:spacing w:after="0"/>
              <w:rPr>
                <w:sz w:val="20"/>
                <w:szCs w:val="20"/>
                <w:color w:val="auto"/>
              </w:rPr>
            </w:pPr>
            <w:r>
              <w:rPr>
                <w:rFonts w:ascii="Arial" w:cs="Arial" w:eastAsia="Arial" w:hAnsi="Arial"/>
                <w:sz w:val="18"/>
                <w:szCs w:val="18"/>
                <w:color w:val="auto"/>
                <w:w w:val="90"/>
              </w:rPr>
              <w:t>IV.</w:t>
            </w:r>
          </w:p>
        </w:tc>
        <w:tc>
          <w:tcPr>
            <w:tcW w:w="2880" w:type="dxa"/>
            <w:vAlign w:val="bottom"/>
          </w:tcPr>
          <w:p>
            <w:pPr>
              <w:jc w:val="right"/>
              <w:ind w:right="250"/>
              <w:spacing w:after="0"/>
              <w:rPr>
                <w:sz w:val="20"/>
                <w:szCs w:val="20"/>
                <w:color w:val="auto"/>
              </w:rPr>
            </w:pPr>
            <w:r>
              <w:rPr>
                <w:rFonts w:ascii="Arial" w:cs="Arial" w:eastAsia="Arial" w:hAnsi="Arial"/>
                <w:sz w:val="18"/>
                <w:szCs w:val="18"/>
                <w:color w:val="auto"/>
              </w:rPr>
              <w:t>1.750%</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purposes hereof: (i) Pricing Level I and Ratings Level A are equivalent and correspond to each other, and they are the highest levels for purposes of this definition, (ii) Pricing Level II, Leverage Level 2 and Ratings Level B are equivalent and correspond to each other, and they are the second highest levels for purposes of this definition, (iii) Pricing Level III, Leverage Level 3 and Ratings Level C are equivalent and correspond to each other, and they are the third highest levels for purposes of this definition and (iv) Pricing Level IV, Leverage Level 4 and Ratings Level D are equivalent and correspond to each other, and they are the lowest levels for purposes of this definition.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any time of determination, the Pricing Level shall be determined by reference to the higher of the Leverage Level and the Ratings Level then in effect (or if Ratings Level A is then in effect, solely by reference to Ratings Level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3" w:name="page84"/>
    <w:bookmarkEnd w:id="83"/>
    <w:tbl>
      <w:tblPr>
        <w:tblLayout w:type="fixed"/>
        <w:tblInd w:w="2880" w:type="dxa"/>
        <w:tblCellMar>
          <w:top w:w="0" w:type="dxa"/>
          <w:left w:w="0" w:type="dxa"/>
          <w:bottom w:w="0" w:type="dxa"/>
          <w:right w:w="0" w:type="dxa"/>
        </w:tblCellMar>
      </w:tblPr>
      <w:tr>
        <w:trPr>
          <w:trHeight w:val="253"/>
        </w:trPr>
        <w:tc>
          <w:tcPr>
            <w:tcW w:w="1320" w:type="dxa"/>
            <w:vAlign w:val="bottom"/>
          </w:tcPr>
          <w:p>
            <w:pPr>
              <w:spacing w:after="0"/>
              <w:rPr>
                <w:sz w:val="21"/>
                <w:szCs w:val="21"/>
                <w:color w:val="auto"/>
              </w:rPr>
            </w:pPr>
          </w:p>
        </w:tc>
        <w:tc>
          <w:tcPr>
            <w:tcW w:w="4380" w:type="dxa"/>
            <w:vAlign w:val="bottom"/>
            <w:gridSpan w:val="5"/>
          </w:tcPr>
          <w:p>
            <w:pPr>
              <w:ind w:left="100"/>
              <w:spacing w:after="0"/>
              <w:rPr>
                <w:sz w:val="20"/>
                <w:szCs w:val="20"/>
                <w:color w:val="auto"/>
              </w:rPr>
            </w:pPr>
            <w:r>
              <w:rPr>
                <w:rFonts w:ascii="Arial" w:cs="Arial" w:eastAsia="Arial" w:hAnsi="Arial"/>
                <w:sz w:val="22"/>
                <w:szCs w:val="22"/>
                <w:b w:val="1"/>
                <w:bCs w:val="1"/>
                <w:color w:val="auto"/>
              </w:rPr>
              <w:t>Leverage Level Determination</w:t>
            </w:r>
          </w:p>
        </w:tc>
      </w:tr>
      <w:tr>
        <w:trPr>
          <w:trHeight w:val="434"/>
        </w:trPr>
        <w:tc>
          <w:tcPr>
            <w:tcW w:w="1320" w:type="dxa"/>
            <w:vAlign w:val="bottom"/>
          </w:tcPr>
          <w:p>
            <w:pPr>
              <w:jc w:val="center"/>
              <w:ind w:left="27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EVERAGE</w:t>
            </w:r>
          </w:p>
        </w:tc>
        <w:tc>
          <w:tcPr>
            <w:tcW w:w="1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r>
      <w:tr>
        <w:trPr>
          <w:trHeight w:val="234"/>
        </w:trPr>
        <w:tc>
          <w:tcPr>
            <w:tcW w:w="1320" w:type="dxa"/>
            <w:vAlign w:val="bottom"/>
          </w:tcPr>
          <w:p>
            <w:pPr>
              <w:jc w:val="center"/>
              <w:ind w:left="27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EVEL</w:t>
            </w:r>
          </w:p>
        </w:tc>
        <w:tc>
          <w:tcPr>
            <w:tcW w:w="100" w:type="dxa"/>
            <w:vAlign w:val="bottom"/>
          </w:tcPr>
          <w:p>
            <w:pPr>
              <w:spacing w:after="0"/>
              <w:rPr>
                <w:sz w:val="20"/>
                <w:szCs w:val="20"/>
                <w:color w:val="auto"/>
              </w:rPr>
            </w:pPr>
          </w:p>
        </w:tc>
        <w:tc>
          <w:tcPr>
            <w:tcW w:w="428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OTAL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EVERAGE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ATIO</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320" w:type="dxa"/>
            <w:vAlign w:val="bottom"/>
            <w:shd w:val="clear" w:color="auto" w:fill="E5FFFF"/>
          </w:tcPr>
          <w:p>
            <w:pPr>
              <w:jc w:val="center"/>
              <w:ind w:left="270"/>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E5FFFF"/>
          </w:tcPr>
          <w:p>
            <w:pPr>
              <w:spacing w:after="0"/>
              <w:rPr>
                <w:sz w:val="18"/>
                <w:szCs w:val="18"/>
                <w:color w:val="auto"/>
              </w:rPr>
            </w:pPr>
          </w:p>
        </w:tc>
        <w:tc>
          <w:tcPr>
            <w:tcW w:w="19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260" w:type="dxa"/>
            <w:vAlign w:val="bottom"/>
            <w:gridSpan w:val="2"/>
            <w:shd w:val="clear" w:color="auto" w:fill="E5FFFF"/>
          </w:tcPr>
          <w:p>
            <w:pPr>
              <w:jc w:val="center"/>
              <w:ind w:right="1480"/>
              <w:spacing w:after="0"/>
              <w:rPr>
                <w:sz w:val="20"/>
                <w:szCs w:val="20"/>
                <w:color w:val="auto"/>
              </w:rPr>
            </w:pPr>
            <w:r>
              <w:rPr>
                <w:rFonts w:ascii="Arial" w:cs="Arial" w:eastAsia="Arial" w:hAnsi="Arial"/>
                <w:sz w:val="18"/>
                <w:szCs w:val="18"/>
                <w:color w:val="auto"/>
                <w:w w:val="99"/>
              </w:rPr>
              <w:t>N/A</w:t>
            </w:r>
          </w:p>
        </w:tc>
      </w:tr>
      <w:tr>
        <w:trPr>
          <w:trHeight w:val="392"/>
        </w:trPr>
        <w:tc>
          <w:tcPr>
            <w:tcW w:w="1320" w:type="dxa"/>
            <w:vAlign w:val="bottom"/>
          </w:tcPr>
          <w:p>
            <w:pPr>
              <w:jc w:val="center"/>
              <w:ind w:left="270"/>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60" w:type="dxa"/>
            <w:vAlign w:val="bottom"/>
            <w:gridSpan w:val="3"/>
          </w:tcPr>
          <w:p>
            <w:pPr>
              <w:jc w:val="center"/>
              <w:ind w:right="1360"/>
              <w:spacing w:after="0"/>
              <w:rPr>
                <w:sz w:val="20"/>
                <w:szCs w:val="20"/>
                <w:color w:val="auto"/>
              </w:rPr>
            </w:pPr>
            <w:r>
              <w:rPr>
                <w:rFonts w:ascii="Arial" w:cs="Arial" w:eastAsia="Arial" w:hAnsi="Arial"/>
                <w:sz w:val="18"/>
                <w:szCs w:val="18"/>
                <w:color w:val="auto"/>
                <w:w w:val="90"/>
              </w:rPr>
              <w:t>&lt; 1.00 to 1.00</w:t>
            </w:r>
          </w:p>
        </w:tc>
      </w:tr>
      <w:tr>
        <w:trPr>
          <w:trHeight w:val="237"/>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1320" w:type="dxa"/>
            <w:vAlign w:val="bottom"/>
            <w:shd w:val="clear" w:color="auto" w:fill="E5FFFF"/>
          </w:tcPr>
          <w:p>
            <w:pPr>
              <w:jc w:val="center"/>
              <w:ind w:left="270"/>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E5FFFF"/>
          </w:tcPr>
          <w:p>
            <w:pPr>
              <w:spacing w:after="0"/>
              <w:rPr>
                <w:sz w:val="18"/>
                <w:szCs w:val="18"/>
                <w:color w:val="auto"/>
              </w:rPr>
            </w:pPr>
          </w:p>
        </w:tc>
        <w:tc>
          <w:tcPr>
            <w:tcW w:w="4280" w:type="dxa"/>
            <w:vAlign w:val="bottom"/>
            <w:gridSpan w:val="4"/>
            <w:shd w:val="clear" w:color="auto" w:fill="E5FFFF"/>
          </w:tcPr>
          <w:p>
            <w:pPr>
              <w:jc w:val="center"/>
              <w:ind w:left="450"/>
              <w:spacing w:after="0"/>
              <w:rPr>
                <w:sz w:val="20"/>
                <w:szCs w:val="20"/>
                <w:color w:val="auto"/>
              </w:rPr>
            </w:pPr>
            <w:r>
              <w:rPr>
                <w:rFonts w:ascii="Arial" w:cs="Arial" w:eastAsia="Arial" w:hAnsi="Arial"/>
                <w:sz w:val="18"/>
                <w:szCs w:val="18"/>
                <w:color w:val="auto"/>
                <w:w w:val="91"/>
              </w:rPr>
              <w:t>&gt; 1.00 to 1.00 but &lt; 2.00 to 1.00</w:t>
            </w:r>
          </w:p>
        </w:tc>
      </w:tr>
      <w:tr>
        <w:trPr>
          <w:trHeight w:val="392"/>
        </w:trPr>
        <w:tc>
          <w:tcPr>
            <w:tcW w:w="1320" w:type="dxa"/>
            <w:vAlign w:val="bottom"/>
          </w:tcPr>
          <w:p>
            <w:pPr>
              <w:jc w:val="center"/>
              <w:ind w:left="270"/>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60" w:type="dxa"/>
            <w:vAlign w:val="bottom"/>
            <w:gridSpan w:val="3"/>
          </w:tcPr>
          <w:p>
            <w:pPr>
              <w:jc w:val="center"/>
              <w:ind w:right="1360"/>
              <w:spacing w:after="0"/>
              <w:rPr>
                <w:sz w:val="20"/>
                <w:szCs w:val="20"/>
                <w:color w:val="auto"/>
              </w:rPr>
            </w:pPr>
            <w:r>
              <w:rPr>
                <w:rFonts w:ascii="Arial" w:cs="Arial" w:eastAsia="Arial" w:hAnsi="Arial"/>
                <w:sz w:val="18"/>
                <w:szCs w:val="18"/>
                <w:color w:val="auto"/>
                <w:w w:val="90"/>
              </w:rPr>
              <w:t>&gt; 2.00 to 1.00</w:t>
            </w: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Ratings Level A is then in effect, if at any time the Parent Guarantor fails to deliver the Financials on or before the date such Financials are due pursuant to Section 8(a) of the Guaranty, Leverage Level 4 shall be deemed applicable for the period commencing three (3) Business Days after such required date of delivery and ending on the date which is three (3) Business Days after such Financials are actually delivered, after which the Leverage Level shall be determined in accordance with this definition, as applicable.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provided in the paragraph below or in the immediately preceding paragraph, adjustments, if any, to the Leverage Level then in effect shall be effective three (3) Business Days after the Administrative Agent has received the applicable Financials (it being understood and agreed that each change in Leverage Level shall apply during the period commencing on the effective date of such change and ending on the date immediately preceding the effective date of the next such change).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anything to the contrary set forth in this definition, Leverage Level 2 shall be deemed to be applicable until the Administrative Agent’s receipt of the applicable financial statements for the Parent Guarantor’s first full fiscal quarter ending after the Original Closing Date and adjustments to the Leverage Level then in effect shall thereafter be effected in accordance with the terms of this definition.</w:t>
      </w:r>
    </w:p>
    <w:p>
      <w:pPr>
        <w:spacing w:after="0" w:line="145" w:lineRule="exact"/>
        <w:rPr>
          <w:sz w:val="20"/>
          <w:szCs w:val="20"/>
          <w:color w:val="auto"/>
        </w:rPr>
      </w:pPr>
    </w:p>
    <w:tbl>
      <w:tblPr>
        <w:tblLayout w:type="fixed"/>
        <w:tblInd w:w="2880" w:type="dxa"/>
        <w:tblCellMar>
          <w:top w:w="0" w:type="dxa"/>
          <w:left w:w="0" w:type="dxa"/>
          <w:bottom w:w="0" w:type="dxa"/>
          <w:right w:w="0" w:type="dxa"/>
        </w:tblCellMar>
      </w:tblPr>
      <w:tr>
        <w:trPr>
          <w:trHeight w:val="253"/>
        </w:trPr>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0" w:type="dxa"/>
            <w:vAlign w:val="bottom"/>
            <w:gridSpan w:val="2"/>
          </w:tcPr>
          <w:p>
            <w:pPr>
              <w:spacing w:after="0"/>
              <w:rPr>
                <w:sz w:val="20"/>
                <w:szCs w:val="20"/>
                <w:color w:val="auto"/>
              </w:rPr>
            </w:pPr>
            <w:r>
              <w:rPr>
                <w:rFonts w:ascii="Arial" w:cs="Arial" w:eastAsia="Arial" w:hAnsi="Arial"/>
                <w:sz w:val="22"/>
                <w:szCs w:val="22"/>
                <w:b w:val="1"/>
                <w:bCs w:val="1"/>
                <w:color w:val="auto"/>
              </w:rPr>
              <w:t>Ratings Level Determination</w:t>
            </w:r>
          </w:p>
        </w:tc>
      </w:tr>
      <w:tr>
        <w:trPr>
          <w:trHeight w:val="20"/>
        </w:trPr>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34"/>
        </w:trPr>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0" w:type="dxa"/>
            <w:vAlign w:val="bottom"/>
            <w:gridSpan w:val="2"/>
          </w:tcPr>
          <w:p>
            <w:pPr>
              <w:jc w:val="center"/>
              <w:ind w:left="387"/>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NDEX</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EBT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ATING</w:t>
            </w:r>
          </w:p>
        </w:tc>
      </w:tr>
      <w:tr>
        <w:trPr>
          <w:trHeight w:val="234"/>
        </w:trPr>
        <w:tc>
          <w:tcPr>
            <w:tcW w:w="1440" w:type="dxa"/>
            <w:vAlign w:val="bottom"/>
          </w:tcPr>
          <w:p>
            <w:pPr>
              <w:jc w:val="center"/>
              <w:ind w:left="15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ATINGS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EVEL</w:t>
            </w:r>
          </w:p>
        </w:tc>
        <w:tc>
          <w:tcPr>
            <w:tcW w:w="60" w:type="dxa"/>
            <w:vAlign w:val="bottom"/>
          </w:tcPr>
          <w:p>
            <w:pPr>
              <w:spacing w:after="0"/>
              <w:rPr>
                <w:sz w:val="20"/>
                <w:szCs w:val="20"/>
                <w:color w:val="auto"/>
              </w:rPr>
            </w:pPr>
          </w:p>
        </w:tc>
        <w:tc>
          <w:tcPr>
            <w:tcW w:w="4200" w:type="dxa"/>
            <w:vAlign w:val="bottom"/>
            <w:gridSpan w:val="2"/>
          </w:tcPr>
          <w:p>
            <w:pPr>
              <w:jc w:val="center"/>
              <w:ind w:left="367"/>
              <w:spacing w:after="0"/>
              <w:rPr>
                <w:sz w:val="20"/>
                <w:szCs w:val="20"/>
                <w:color w:val="auto"/>
              </w:rPr>
            </w:pPr>
            <w:r>
              <w:rPr>
                <w:rFonts w:ascii="Arial" w:cs="Arial" w:eastAsia="Arial" w:hAnsi="Arial"/>
                <w:sz w:val="18"/>
                <w:szCs w:val="18"/>
                <w:b w:val="1"/>
                <w:bCs w:val="1"/>
                <w:color w:val="auto"/>
              </w:rPr>
              <w:t>(S&amp;P/M</w:t>
            </w:r>
            <w:r>
              <w:rPr>
                <w:rFonts w:ascii="Arial" w:cs="Arial" w:eastAsia="Arial" w:hAnsi="Arial"/>
                <w:sz w:val="12"/>
                <w:szCs w:val="12"/>
                <w:b w:val="1"/>
                <w:bCs w:val="1"/>
                <w:color w:val="auto"/>
              </w:rPr>
              <w:t>OODY</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w:t>
            </w:r>
          </w:p>
        </w:tc>
      </w:tr>
      <w:tr>
        <w:trPr>
          <w:trHeight w:val="216"/>
        </w:trPr>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440" w:type="dxa"/>
            <w:vAlign w:val="bottom"/>
            <w:shd w:val="clear" w:color="auto" w:fill="E5FFFF"/>
          </w:tcPr>
          <w:p>
            <w:pPr>
              <w:jc w:val="center"/>
              <w:ind w:left="150"/>
              <w:spacing w:after="0"/>
              <w:rPr>
                <w:sz w:val="20"/>
                <w:szCs w:val="20"/>
                <w:color w:val="auto"/>
              </w:rPr>
            </w:pPr>
            <w:r>
              <w:rPr>
                <w:rFonts w:ascii="Arial" w:cs="Arial" w:eastAsia="Arial" w:hAnsi="Arial"/>
                <w:sz w:val="18"/>
                <w:szCs w:val="18"/>
                <w:color w:val="auto"/>
                <w:w w:val="93"/>
              </w:rPr>
              <w:t>A.</w:t>
            </w:r>
          </w:p>
        </w:tc>
        <w:tc>
          <w:tcPr>
            <w:tcW w:w="60" w:type="dxa"/>
            <w:vAlign w:val="bottom"/>
            <w:shd w:val="clear" w:color="auto" w:fill="E5FFFF"/>
          </w:tcPr>
          <w:p>
            <w:pPr>
              <w:spacing w:after="0"/>
              <w:rPr>
                <w:sz w:val="18"/>
                <w:szCs w:val="18"/>
                <w:color w:val="auto"/>
              </w:rPr>
            </w:pPr>
          </w:p>
        </w:tc>
        <w:tc>
          <w:tcPr>
            <w:tcW w:w="4200" w:type="dxa"/>
            <w:vAlign w:val="bottom"/>
            <w:gridSpan w:val="2"/>
            <w:shd w:val="clear" w:color="auto" w:fill="E5FFFF"/>
          </w:tcPr>
          <w:p>
            <w:pPr>
              <w:jc w:val="center"/>
              <w:ind w:left="367"/>
              <w:spacing w:after="0"/>
              <w:rPr>
                <w:sz w:val="20"/>
                <w:szCs w:val="20"/>
                <w:color w:val="auto"/>
              </w:rPr>
            </w:pPr>
            <w:r>
              <w:rPr>
                <w:rFonts w:ascii="Arial" w:cs="Arial" w:eastAsia="Arial" w:hAnsi="Arial"/>
                <w:sz w:val="18"/>
                <w:szCs w:val="18"/>
                <w:color w:val="auto"/>
                <w:w w:val="93"/>
              </w:rPr>
              <w:t>BBB+/Baa1 or higher</w:t>
            </w:r>
          </w:p>
        </w:tc>
      </w:tr>
      <w:tr>
        <w:trPr>
          <w:trHeight w:val="432"/>
        </w:trPr>
        <w:tc>
          <w:tcPr>
            <w:tcW w:w="1440" w:type="dxa"/>
            <w:vAlign w:val="bottom"/>
          </w:tcPr>
          <w:p>
            <w:pPr>
              <w:jc w:val="center"/>
              <w:ind w:left="150"/>
              <w:spacing w:after="0"/>
              <w:rPr>
                <w:sz w:val="20"/>
                <w:szCs w:val="20"/>
                <w:color w:val="auto"/>
              </w:rPr>
            </w:pPr>
            <w:r>
              <w:rPr>
                <w:rFonts w:ascii="Arial" w:cs="Arial" w:eastAsia="Arial" w:hAnsi="Arial"/>
                <w:sz w:val="18"/>
                <w:szCs w:val="18"/>
                <w:color w:val="auto"/>
                <w:w w:val="93"/>
              </w:rPr>
              <w:t>B.</w:t>
            </w:r>
          </w:p>
        </w:tc>
        <w:tc>
          <w:tcPr>
            <w:tcW w:w="60" w:type="dxa"/>
            <w:vAlign w:val="bottom"/>
          </w:tcPr>
          <w:p>
            <w:pPr>
              <w:spacing w:after="0"/>
              <w:rPr>
                <w:sz w:val="24"/>
                <w:szCs w:val="24"/>
                <w:color w:val="auto"/>
              </w:rPr>
            </w:pPr>
          </w:p>
        </w:tc>
        <w:tc>
          <w:tcPr>
            <w:tcW w:w="4200" w:type="dxa"/>
            <w:vAlign w:val="bottom"/>
            <w:gridSpan w:val="2"/>
          </w:tcPr>
          <w:p>
            <w:pPr>
              <w:jc w:val="center"/>
              <w:ind w:left="367"/>
              <w:spacing w:after="0"/>
              <w:rPr>
                <w:sz w:val="20"/>
                <w:szCs w:val="20"/>
                <w:color w:val="auto"/>
              </w:rPr>
            </w:pPr>
            <w:r>
              <w:rPr>
                <w:rFonts w:ascii="Arial" w:cs="Arial" w:eastAsia="Arial" w:hAnsi="Arial"/>
                <w:sz w:val="18"/>
                <w:szCs w:val="18"/>
                <w:color w:val="auto"/>
                <w:w w:val="93"/>
              </w:rPr>
              <w:t>BBB/Baa2</w:t>
            </w:r>
          </w:p>
        </w:tc>
      </w:tr>
      <w:tr>
        <w:trPr>
          <w:trHeight w:val="216"/>
        </w:trPr>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440" w:type="dxa"/>
            <w:vAlign w:val="bottom"/>
            <w:shd w:val="clear" w:color="auto" w:fill="E5FFFF"/>
          </w:tcPr>
          <w:p>
            <w:pPr>
              <w:jc w:val="center"/>
              <w:ind w:left="150"/>
              <w:spacing w:after="0"/>
              <w:rPr>
                <w:sz w:val="20"/>
                <w:szCs w:val="20"/>
                <w:color w:val="auto"/>
              </w:rPr>
            </w:pPr>
            <w:r>
              <w:rPr>
                <w:rFonts w:ascii="Arial" w:cs="Arial" w:eastAsia="Arial" w:hAnsi="Arial"/>
                <w:sz w:val="18"/>
                <w:szCs w:val="18"/>
                <w:color w:val="auto"/>
                <w:w w:val="88"/>
              </w:rPr>
              <w:t>C.</w:t>
            </w:r>
          </w:p>
        </w:tc>
        <w:tc>
          <w:tcPr>
            <w:tcW w:w="60" w:type="dxa"/>
            <w:vAlign w:val="bottom"/>
            <w:shd w:val="clear" w:color="auto" w:fill="E5FFFF"/>
          </w:tcPr>
          <w:p>
            <w:pPr>
              <w:spacing w:after="0"/>
              <w:rPr>
                <w:sz w:val="18"/>
                <w:szCs w:val="18"/>
                <w:color w:val="auto"/>
              </w:rPr>
            </w:pPr>
          </w:p>
        </w:tc>
        <w:tc>
          <w:tcPr>
            <w:tcW w:w="4200" w:type="dxa"/>
            <w:vAlign w:val="bottom"/>
            <w:gridSpan w:val="2"/>
            <w:shd w:val="clear" w:color="auto" w:fill="E5FFFF"/>
          </w:tcPr>
          <w:p>
            <w:pPr>
              <w:jc w:val="center"/>
              <w:ind w:left="387"/>
              <w:spacing w:after="0"/>
              <w:rPr>
                <w:sz w:val="20"/>
                <w:szCs w:val="20"/>
                <w:color w:val="auto"/>
              </w:rPr>
            </w:pPr>
            <w:r>
              <w:rPr>
                <w:rFonts w:ascii="Arial" w:cs="Arial" w:eastAsia="Arial" w:hAnsi="Arial"/>
                <w:sz w:val="18"/>
                <w:szCs w:val="18"/>
                <w:color w:val="auto"/>
                <w:w w:val="94"/>
              </w:rPr>
              <w:t>BBB-/Baa3</w:t>
            </w:r>
          </w:p>
        </w:tc>
      </w:tr>
      <w:tr>
        <w:trPr>
          <w:trHeight w:val="432"/>
        </w:trPr>
        <w:tc>
          <w:tcPr>
            <w:tcW w:w="1440" w:type="dxa"/>
            <w:vAlign w:val="bottom"/>
          </w:tcPr>
          <w:p>
            <w:pPr>
              <w:jc w:val="center"/>
              <w:ind w:left="150"/>
              <w:spacing w:after="0"/>
              <w:rPr>
                <w:sz w:val="20"/>
                <w:szCs w:val="20"/>
                <w:color w:val="auto"/>
              </w:rPr>
            </w:pPr>
            <w:r>
              <w:rPr>
                <w:rFonts w:ascii="Arial" w:cs="Arial" w:eastAsia="Arial" w:hAnsi="Arial"/>
                <w:sz w:val="18"/>
                <w:szCs w:val="18"/>
                <w:color w:val="auto"/>
                <w:w w:val="88"/>
              </w:rPr>
              <w:t>D.</w:t>
            </w:r>
          </w:p>
        </w:tc>
        <w:tc>
          <w:tcPr>
            <w:tcW w:w="60" w:type="dxa"/>
            <w:vAlign w:val="bottom"/>
          </w:tcPr>
          <w:p>
            <w:pPr>
              <w:spacing w:after="0"/>
              <w:rPr>
                <w:sz w:val="24"/>
                <w:szCs w:val="24"/>
                <w:color w:val="auto"/>
              </w:rPr>
            </w:pPr>
          </w:p>
        </w:tc>
        <w:tc>
          <w:tcPr>
            <w:tcW w:w="4200" w:type="dxa"/>
            <w:vAlign w:val="bottom"/>
            <w:gridSpan w:val="2"/>
          </w:tcPr>
          <w:p>
            <w:pPr>
              <w:jc w:val="center"/>
              <w:ind w:left="367"/>
              <w:spacing w:after="0"/>
              <w:rPr>
                <w:sz w:val="20"/>
                <w:szCs w:val="20"/>
                <w:color w:val="auto"/>
              </w:rPr>
            </w:pPr>
            <w:r>
              <w:rPr>
                <w:rFonts w:ascii="Arial" w:cs="Arial" w:eastAsia="Arial" w:hAnsi="Arial"/>
                <w:sz w:val="18"/>
                <w:szCs w:val="18"/>
                <w:color w:val="auto"/>
                <w:w w:val="95"/>
              </w:rPr>
              <w:t>BB+/Ba1 or lower</w:t>
            </w: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purposes of the foregoing, (i) if neither Moody’s nor S&amp;P shall have in effect a rating for the Index Debt (other than by reason of the circumstances referred to in the last sentence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84" w:name="page85"/>
    <w:bookmarkEnd w:id="84"/>
    <w:p>
      <w:pPr>
        <w:jc w:val="both"/>
        <w:spacing w:after="0" w:line="268" w:lineRule="auto"/>
        <w:rPr>
          <w:sz w:val="20"/>
          <w:szCs w:val="20"/>
          <w:color w:val="auto"/>
        </w:rPr>
      </w:pPr>
      <w:r>
        <w:rPr>
          <w:rFonts w:ascii="Arial" w:cs="Arial" w:eastAsia="Arial" w:hAnsi="Arial"/>
          <w:sz w:val="17"/>
          <w:szCs w:val="17"/>
          <w:color w:val="auto"/>
        </w:rPr>
        <w:t>definition), then such rating agency shall be deemed to have established a Ratings Level in Level D; (ii) if the ratings established or deemed to have been established by Moody’s and S&amp;P for the Index Debt shall fall within different Ratings Levels, the Ratings Level shall be based on the higher of the two ratings unless one of the two ratings is two or more Ratings Levels lower than the other, in which case the Ratings Level shall be determined by reference to the Ratings Level next below that of the higher of the two ratings; (iii) if only one of S&amp;P and Moody’s shall have in effect a rating for the Index Debt, the Ratings Level shall be determined by reference to the available rating; and (iv)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Parent Guarantor to the Administrative Agent pursuant to Section 8(a)(v) of the Guaranty or otherwise. Each change in the Ratings Level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Lessee and the Participants shall negotiate in good faith to amend this definition to reflect such changed rating system or the unavailability of ratings from such rating agency and, pending the effectiveness of any such amendment, the Ratings Level shall be determined by reference to the rating most recently in effect prior to such change or cessation.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Appraisal</w:t>
      </w:r>
      <w:r>
        <w:rPr>
          <w:rFonts w:ascii="Arial" w:cs="Arial" w:eastAsia="Arial" w:hAnsi="Arial"/>
          <w:sz w:val="18"/>
          <w:szCs w:val="18"/>
          <w:color w:val="auto"/>
        </w:rPr>
        <w:t>” is defined in Section 6.1(v) of the Participation Agreement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Appraiser</w:t>
      </w:r>
      <w:r>
        <w:rPr>
          <w:rFonts w:ascii="Arial" w:cs="Arial" w:eastAsia="Arial" w:hAnsi="Arial"/>
          <w:sz w:val="17"/>
          <w:szCs w:val="17"/>
          <w:color w:val="auto"/>
        </w:rPr>
        <w:t>” means National Property Valuation Advisors, Inc., or any third party appraiser appointed as a successor thereto by the Lessor, which successor shall be a Designated Member of the Appraisal Institute and shall carry the “MAI” designation from the Appraisal Institute.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Electronic Platform</w:t>
      </w:r>
      <w:r>
        <w:rPr>
          <w:rFonts w:ascii="Arial" w:cs="Arial" w:eastAsia="Arial" w:hAnsi="Arial"/>
          <w:sz w:val="18"/>
          <w:szCs w:val="18"/>
          <w:color w:val="auto"/>
        </w:rPr>
        <w:t>” has the meaning assigned to such term in Section 15.3(d) of the Participation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Appurtenant Rights</w:t>
      </w:r>
      <w:r>
        <w:rPr>
          <w:rFonts w:ascii="Arial" w:cs="Arial" w:eastAsia="Arial" w:hAnsi="Arial"/>
          <w:sz w:val="17"/>
          <w:szCs w:val="17"/>
          <w:color w:val="auto"/>
        </w:rPr>
        <w:t>” means, with respect to the Site, (i) all agreements, easements, rights of way or use, rights of ingress or egress, privileges, appurtenances, tenements, and other rights and benefits at any time belonging or pertaining to the Site or the Improvements thereon, including, without limitation, the use of any streets, ways, alleys, vaults or strips of land adjoining, abutting, adjacent or contiguous to the Site and (ii) all permits, licenses and rights, whether or not of record, appurtenant to the Site, but in any such case, excluding any Excluded Property.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Arranger</w:t>
      </w:r>
      <w:r>
        <w:rPr>
          <w:rFonts w:ascii="Arial" w:cs="Arial" w:eastAsia="Arial" w:hAnsi="Arial"/>
          <w:sz w:val="18"/>
          <w:szCs w:val="18"/>
          <w:color w:val="auto"/>
        </w:rPr>
        <w:t>” means BALC, in its capacity as such.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Arranger Fee</w:t>
      </w:r>
      <w:r>
        <w:rPr>
          <w:rFonts w:ascii="Arial" w:cs="Arial" w:eastAsia="Arial" w:hAnsi="Arial"/>
          <w:sz w:val="18"/>
          <w:szCs w:val="18"/>
          <w:color w:val="auto"/>
        </w:rPr>
        <w:t>” means the “Arrangement Fee” (as defined in the Arranger Fee Letter) payable to the Arranger on the Original Closing Date pursuant to the Arranger Fee Letter.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Arranger Fee Letter</w:t>
      </w:r>
      <w:r>
        <w:rPr>
          <w:rFonts w:ascii="Arial" w:cs="Arial" w:eastAsia="Arial" w:hAnsi="Arial"/>
          <w:sz w:val="18"/>
          <w:szCs w:val="18"/>
          <w:color w:val="auto"/>
        </w:rPr>
        <w:t>” means that certain Engagement Letter between the Arranger and Parent Guarantor dated December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5" w:name="page86"/>
    <w:bookmarkEnd w:id="85"/>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Assignment Agreement</w:t>
      </w:r>
      <w:r>
        <w:rPr>
          <w:rFonts w:ascii="Arial" w:cs="Arial" w:eastAsia="Arial" w:hAnsi="Arial"/>
          <w:sz w:val="17"/>
          <w:szCs w:val="17"/>
          <w:color w:val="auto"/>
        </w:rPr>
        <w:t xml:space="preserve">” means an assignment and assumption agreement entered into by a Participant and an assignee or transferee (with the consent </w:t>
      </w:r>
      <w:r>
        <w:rPr>
          <w:rFonts w:ascii="Arial" w:cs="Arial" w:eastAsia="Arial" w:hAnsi="Arial"/>
          <w:sz w:val="17"/>
          <w:szCs w:val="17"/>
          <w:i w:val="1"/>
          <w:iCs w:val="1"/>
          <w:color w:val="auto"/>
        </w:rPr>
        <w:t>of</w:t>
      </w:r>
      <w:r>
        <w:rPr>
          <w:rFonts w:ascii="Arial" w:cs="Arial" w:eastAsia="Arial" w:hAnsi="Arial"/>
          <w:sz w:val="17"/>
          <w:szCs w:val="17"/>
          <w:color w:val="auto"/>
        </w:rPr>
        <w:t xml:space="preserve"> any party whose consent is required by Section 12.1 of the Participation Agreement), and accepted by the Administrative Agent, substantially in the form of Exhibit E to the Participation Agreement or any other form approved by the Administrative Agent and the Lessee.</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of Leases</w:t>
      </w:r>
      <w:r>
        <w:rPr>
          <w:rFonts w:ascii="Arial" w:cs="Arial" w:eastAsia="Arial" w:hAnsi="Arial"/>
          <w:sz w:val="18"/>
          <w:szCs w:val="18"/>
          <w:color w:val="auto"/>
        </w:rPr>
        <w:t>” means that certain Amended, Restated and Consolidated Mortgage, Assignment of Leases and Security Agreement, dated as of March 3, 2017, by Lessor and Lessee in favor of Administrative Agent for the benefit of the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Assignment of Purchase Agreement</w:t>
      </w:r>
      <w:r>
        <w:rPr>
          <w:rFonts w:ascii="Arial" w:cs="Arial" w:eastAsia="Arial" w:hAnsi="Arial"/>
          <w:sz w:val="16"/>
          <w:szCs w:val="16"/>
          <w:color w:val="auto"/>
        </w:rPr>
        <w:t>” means that certain Assignment of Right to Receive Deed, dated as of March 3, 2017, between Lessee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Lessor.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BALC</w:t>
      </w:r>
      <w:r>
        <w:rPr>
          <w:rFonts w:ascii="Arial" w:cs="Arial" w:eastAsia="Arial" w:hAnsi="Arial"/>
          <w:sz w:val="18"/>
          <w:szCs w:val="18"/>
          <w:color w:val="auto"/>
        </w:rPr>
        <w:t>” means Banc of America Leasing &amp; Capital,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Credit Agreement</w:t>
      </w:r>
      <w:r>
        <w:rPr>
          <w:rFonts w:ascii="Arial" w:cs="Arial" w:eastAsia="Arial" w:hAnsi="Arial"/>
          <w:sz w:val="18"/>
          <w:szCs w:val="18"/>
          <w:color w:val="auto"/>
        </w:rPr>
        <w:t>” means that certain Credit Agreement, dated as of December 14, 2018, among Regeneron Pharmaceuticals, Inc., the Subsidiary Borrowers (as such term is defined therein) party thereto from time to time, the lenders party thereto from time to time, JPMorgan Chase Bank, N.A., as administrative agent, and Bank of America, N.A. and U.S. Bank National Association, as co-syndication agents, as the same may be amended, restated, modified, supplemented, extended, refinanced or replaced.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Credit Agreement Effective Date</w:t>
      </w:r>
      <w:r>
        <w:rPr>
          <w:rFonts w:ascii="Arial" w:cs="Arial" w:eastAsia="Arial" w:hAnsi="Arial"/>
          <w:sz w:val="18"/>
          <w:szCs w:val="18"/>
          <w:color w:val="auto"/>
        </w:rPr>
        <w:t>” means December 14, 2018.</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Bank Credit Agreement Specified Loan Party</w:t>
      </w:r>
      <w:r>
        <w:rPr>
          <w:rFonts w:ascii="Arial" w:cs="Arial" w:eastAsia="Arial" w:hAnsi="Arial"/>
          <w:sz w:val="17"/>
          <w:szCs w:val="17"/>
          <w:color w:val="auto"/>
        </w:rPr>
        <w:t>” means any borrower or guarantor under the Bank Credit Agreement that is (a) a Foreign Subsidiary, (b) a Domestic Foreign Holdco Subsidiary or (c) a Domestic Subsidiary whose Equity Interests are owned directly or indirectly by a CFC.</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the Bankruptcy Code in Title 11 of the United States Code,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Term</w:t>
      </w:r>
      <w:r>
        <w:rPr>
          <w:rFonts w:ascii="Arial" w:cs="Arial" w:eastAsia="Arial" w:hAnsi="Arial"/>
          <w:sz w:val="18"/>
          <w:szCs w:val="18"/>
          <w:color w:val="auto"/>
        </w:rPr>
        <w:t>” is defined in Section 2.3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Term Commencement Date</w:t>
      </w:r>
      <w:r>
        <w:rPr>
          <w:rFonts w:ascii="Arial" w:cs="Arial" w:eastAsia="Arial" w:hAnsi="Arial"/>
          <w:sz w:val="18"/>
          <w:szCs w:val="18"/>
          <w:color w:val="auto"/>
        </w:rPr>
        <w:t>” means the Original Closing Date.</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Basic Rent</w:t>
      </w:r>
      <w:r>
        <w:rPr>
          <w:rFonts w:ascii="Arial" w:cs="Arial" w:eastAsia="Arial" w:hAnsi="Arial"/>
          <w:sz w:val="17"/>
          <w:szCs w:val="17"/>
          <w:color w:val="auto"/>
        </w:rPr>
        <w:t>” means, for any Payment Date on which Basic Rent is due, an amount equal to the sum of the aggregate amount of Interest and Yield payable under the Operative Documents on such date on the Notes and the Lessor Amount in respect of the applicable Interest Period.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Basic Rent Adjustment</w:t>
      </w:r>
      <w:r>
        <w:rPr>
          <w:rFonts w:ascii="Arial" w:cs="Arial" w:eastAsia="Arial" w:hAnsi="Arial"/>
          <w:sz w:val="18"/>
          <w:szCs w:val="18"/>
          <w:color w:val="auto"/>
        </w:rPr>
        <w:t>” is defined in Section 3.1(c)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Beneficiary</w:t>
      </w:r>
      <w:r>
        <w:rPr>
          <w:rFonts w:ascii="Arial" w:cs="Arial" w:eastAsia="Arial" w:hAnsi="Arial"/>
          <w:sz w:val="18"/>
          <w:szCs w:val="18"/>
          <w:color w:val="auto"/>
        </w:rPr>
        <w:t>” and “</w:t>
      </w:r>
      <w:r>
        <w:rPr>
          <w:rFonts w:ascii="Arial" w:cs="Arial" w:eastAsia="Arial" w:hAnsi="Arial"/>
          <w:sz w:val="18"/>
          <w:szCs w:val="18"/>
          <w:i w:val="1"/>
          <w:iCs w:val="1"/>
          <w:color w:val="auto"/>
        </w:rPr>
        <w:t>Beneficiaries</w:t>
      </w:r>
      <w:r>
        <w:rPr>
          <w:rFonts w:ascii="Arial" w:cs="Arial" w:eastAsia="Arial" w:hAnsi="Arial"/>
          <w:sz w:val="18"/>
          <w:szCs w:val="18"/>
          <w:color w:val="auto"/>
        </w:rPr>
        <w:t>” is defined in Section 1 of the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Benefitted Lender</w:t>
      </w:r>
      <w:r>
        <w:rPr>
          <w:rFonts w:ascii="Arial" w:cs="Arial" w:eastAsia="Arial" w:hAnsi="Arial"/>
          <w:sz w:val="18"/>
          <w:szCs w:val="18"/>
          <w:color w:val="auto"/>
        </w:rPr>
        <w:t>” is defined in Section 8.6 of the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means Lessor, in its capacity as borrower under the Loan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Break Costs</w:t>
      </w:r>
      <w:r>
        <w:rPr>
          <w:rFonts w:ascii="Arial" w:cs="Arial" w:eastAsia="Arial" w:hAnsi="Arial"/>
          <w:sz w:val="18"/>
          <w:szCs w:val="18"/>
          <w:color w:val="auto"/>
        </w:rPr>
        <w:t>” means an amount equal to the amount, if any, required to compensate Lessor or any Lender for any additional losses (including, without limitation, any loss, cost or expense incurred by reason of the liquidation or reemployment of deposits or funds acquired by Lessor or any Lender to fund its obligations under the Operative Documents, but excluding loss of anticipated profits) it may reasonably incur as a result of (w) the exercise by Lessor of the purchase option set forth in Section 2.10 of the Loan Agreement, (x) the Lessee’s payment of Basic Rent other than on a Payment Date, or (y) any conversion of the LIBO Rate during an Interest Period pursuant to and in accordance with the Operative Documents. A statement as to the amount of such loss, cost or expense, prepared in good faith and in reasonable detail and submitted by Lessor or any Lender, as the case may be, to the Lessee, shall be presumed correct absent demonstrable error.</w:t>
      </w:r>
    </w:p>
    <w:p>
      <w:pPr>
        <w:spacing w:after="0" w:line="18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(i) each Monday, Tuesday, Wednesday, Thursday and Friday which is not a day on which banks in New York, New York are generally authorized or obligated, by law or executive order, to close and (ii) relative to any determination of the LIBO Rate, any day which is a Business Day under clause (i) and is also a day on which dealings in Dollars are carried on in the London interbank Eurodollar market.</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Lease Obligations</w:t>
      </w:r>
      <w:r>
        <w:rPr>
          <w:rFonts w:ascii="Arial" w:cs="Arial" w:eastAsia="Arial" w:hAnsi="Arial"/>
          <w:sz w:val="17"/>
          <w:szCs w:val="17"/>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on a balance sheet of such Person under GAAP, and the amount of such obligations shall be the capitalized amount thereof determined in accordance with GAAP. The foregoing is subject to clause (b) of this Appendix 1 to the Participation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Casualty</w:t>
      </w:r>
      <w:r>
        <w:rPr>
          <w:rFonts w:ascii="Arial" w:cs="Arial" w:eastAsia="Arial" w:hAnsi="Arial"/>
          <w:sz w:val="18"/>
          <w:szCs w:val="18"/>
          <w:color w:val="auto"/>
        </w:rPr>
        <w:t>” means an event of damage or casualty relating to any portion of the Leased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w:t>
      </w:r>
      <w:r>
        <w:rPr>
          <w:rFonts w:ascii="Arial" w:cs="Arial" w:eastAsia="Arial" w:hAnsi="Arial"/>
          <w:sz w:val="18"/>
          <w:szCs w:val="18"/>
          <w:color w:val="auto"/>
        </w:rPr>
        <w:t>” means a Person that is a “controlled foreign corporation” within the meaning of section 957 of the Code.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 Debt</w:t>
      </w:r>
      <w:r>
        <w:rPr>
          <w:rFonts w:ascii="Arial" w:cs="Arial" w:eastAsia="Arial" w:hAnsi="Arial"/>
          <w:sz w:val="18"/>
          <w:szCs w:val="18"/>
          <w:color w:val="auto"/>
        </w:rPr>
        <w:t>” means, with respect to any Person, any Indebtedness or accounts receivable that is owed, or treated as owed for United States federal income tax purposes, by any CFC to such Person.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(a) the acquisition of ownership, directly or indirectly, beneficially or of record, by any Person or “group” (within the meaning of the Securities Exchange Act of 1934 and the rules of the SEC thereunder, each as in effect on the Bank Credit Agreement Effective Date) of Equity Interests representing more than 50% of the aggregate ordinary voting power represented by the issued and outstanding Equity Interests of the Parent Guarantor; (b) within any period of 24 consecutive months, occupation of a majority of the seats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7" w:name="page88"/>
    <w:bookmarkEnd w:id="87"/>
    <w:p>
      <w:pPr>
        <w:jc w:val="both"/>
        <w:spacing w:after="0" w:line="285" w:lineRule="auto"/>
        <w:rPr>
          <w:sz w:val="20"/>
          <w:szCs w:val="20"/>
          <w:color w:val="auto"/>
        </w:rPr>
      </w:pPr>
      <w:r>
        <w:rPr>
          <w:rFonts w:ascii="Arial" w:cs="Arial" w:eastAsia="Arial" w:hAnsi="Arial"/>
          <w:sz w:val="16"/>
          <w:szCs w:val="16"/>
          <w:color w:val="auto"/>
        </w:rPr>
        <w:t>(other than vacant seats) on the board of directors of the Parent Guarantor other than by individuals who were (i) directors at the beginning of such period, (ii) nominated or approved by the board of directors of the Parent Guarantor or (iii) appointed (or, in the case of a vacancy, elected) by directors so nominated, approved or appointed, in each case which nomination, approval or appointment (or, in the case of a vacancy, election) to such board of directors was made by individuals referred to in the foregoing clauses (i), (ii) or (iii) constituting at the time of such nomination, approval or appointment (or, in the case of a vacancy, election) at least a majority of such board; or (c) the Parent Guarantor ceases to (1) Control, directly or indirectly, Lessee or (2) own, directly or indirectly, 100% (other than (x) directors’ qualifying shares; (y) shares issued to foreign nationals to the extent required by applicable law; and (z) shares held by a Person on trust for, or otherwise where the beneficial interest is held by, the Parent Guarantor (directly or indirectly)) of the ordinary voting and economic interests in Lessee’s issued and outstanding Equity Interests; or (e) the Parent Guarantor ceases to (1) Control, directly or indirectly, any Subsidiary Guarantor that is also a borrower under the Bank Credit Agreement or (2) own, directly or indirectly, 100% (other than (x) directors’ qualifying shares; (y) shares issued to foreign nationals to the extent required by applicable law; and (z) shares held by a Person on trust for, or otherwise where the beneficial interest is held by, the Parent Guarantor (directly or indirectly)) of the ordinary voting and economic interests in the issued and outstanding Equity Interests of any Subsidiary Guarantor that is also a borrower under the Bank Credit Agreement, in any such case of this subclause (e), unless (i) a notice of termination of such Subsidiary Guarantor as a borrower under the Bank Credit Agreement (x) has become effective with respect to such Subsidiary Guarantor in accordance with the Bank Credit Agreement, or (y) will become effective with respect to such Subsidiary Guarantor substantially concurrently with any transaction not prohibited by the Operative Documents pursuant to which such Subsidiary Guarantor ceases to be a wholly-owned Subsidiary of the Parent Guarantor or (ii) such event under this subclause (e) does not constitute or has been waived as a “change in control” under the Bank Credit Agreement.</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Civil Asset Forfeiture Reform Act</w:t>
      </w:r>
      <w:r>
        <w:rPr>
          <w:rFonts w:ascii="Arial" w:cs="Arial" w:eastAsia="Arial" w:hAnsi="Arial"/>
          <w:sz w:val="18"/>
          <w:szCs w:val="18"/>
          <w:color w:val="auto"/>
        </w:rPr>
        <w:t>” means the Civil Asset Forfeiture Reform Act of 2000 (HR 1658), Pub. L. No. 106-185, 106th Cong. (2000), as amended.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w:t>
      </w:r>
      <w:r>
        <w:rPr>
          <w:rFonts w:ascii="Arial" w:cs="Arial" w:eastAsia="Arial" w:hAnsi="Arial"/>
          <w:sz w:val="18"/>
          <w:szCs w:val="18"/>
          <w:color w:val="auto"/>
        </w:rPr>
        <w:t xml:space="preserve">” means any and all obligations, liabilities, losses, actions, suits, judgments, enforcement actions, proceedings, damages, penalties, fines, claims, demands, settlements, costs and expenses (including, without limitation, reasonable legal fees and expenses) of any nature whatsoever;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“Claims” shall not include Taxes.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 Date Material Adverse Effect</w:t>
      </w:r>
      <w:r>
        <w:rPr>
          <w:rFonts w:ascii="Arial" w:cs="Arial" w:eastAsia="Arial" w:hAnsi="Arial"/>
          <w:sz w:val="16"/>
          <w:szCs w:val="16"/>
          <w:color w:val="auto"/>
        </w:rPr>
        <w:t>” means a material adverse effect on (a) the operations, financial condition or business of Parent Guarantor and its Subsidiaries taken as a whole, or (b) the ability of (i) Lessee to perform its material obligations under the Operative Documents (taken as a whole) or</w:t>
      </w:r>
    </w:p>
    <w:p>
      <w:pPr>
        <w:ind w:left="660" w:right="1240" w:hanging="652"/>
        <w:spacing w:after="0" w:line="511" w:lineRule="auto"/>
        <w:tabs>
          <w:tab w:leader="none" w:pos="27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Lessee and the Guarantors, taken as a whole, to perform their material obligations under the Operative Documents (taken as a whole). “</w:t>
      </w:r>
      <w:r>
        <w:rPr>
          <w:rFonts w:ascii="Arial" w:cs="Arial" w:eastAsia="Arial" w:hAnsi="Arial"/>
          <w:sz w:val="18"/>
          <w:szCs w:val="18"/>
          <w:i w:val="1"/>
          <w:iCs w:val="1"/>
          <w:color w:val="auto"/>
        </w:rPr>
        <w:t>Code</w:t>
      </w:r>
      <w:r>
        <w:rPr>
          <w:rFonts w:ascii="Arial" w:cs="Arial" w:eastAsia="Arial" w:hAnsi="Arial"/>
          <w:sz w:val="18"/>
          <w:szCs w:val="18"/>
          <w:color w:val="auto"/>
        </w:rPr>
        <w:t>” means the United States Internal Revenue Code of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8" w:name="page89"/>
    <w:bookmarkEnd w:id="8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Collaboration Arrangement</w:t>
      </w:r>
      <w:r>
        <w:rPr>
          <w:rFonts w:ascii="Arial" w:cs="Arial" w:eastAsia="Arial" w:hAnsi="Arial"/>
          <w:sz w:val="18"/>
          <w:szCs w:val="18"/>
          <w:color w:val="auto"/>
        </w:rPr>
        <w:t>” means any license, sublicense, lease, sublease, collaboration agreement or other profit-loss sharing arrangement relating to the discovery, research, development, manufacture or commercialization of any drug, product line or service.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w:t>
      </w:r>
      <w:r>
        <w:rPr>
          <w:rFonts w:ascii="Arial" w:cs="Arial" w:eastAsia="Arial" w:hAnsi="Arial"/>
          <w:sz w:val="17"/>
          <w:szCs w:val="17"/>
          <w:color w:val="auto"/>
        </w:rPr>
        <w:t>” means all of Lessee’s right, title and interest in (i) the Leased Property, (ii) the Purchase Agreement, (iii) contracts and warranties relating to the Leased Property, (iv) the Security Property, (v) any rights to rebates, offset or other warranty payments, or assignment under a purchase order, invoice or purchase agreement with any manufacturer of or contractor for any portion of the Collateral, (vi) all insurance policies required to be maintained pursuant to the Lease, and (vii) all products, excess successions, subleases, rents, issues, profits, products, returns, income and proceeds of and from any or all of the foregoing (including proceeds from any of the foregoing), and to the extent not otherwise included, all payments under insurance (whether or not Lessee is the loss payee thereof) or any indemnity, warranty or guarantee payable by reason of loss or damage to or otherwise with respect to any of the foregoing, in any such case, excluding any Excluded Property.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w:t>
      </w:r>
      <w:r>
        <w:rPr>
          <w:rFonts w:ascii="Arial" w:cs="Arial" w:eastAsia="Arial" w:hAnsi="Arial"/>
          <w:sz w:val="18"/>
          <w:szCs w:val="18"/>
          <w:color w:val="auto"/>
        </w:rPr>
        <w:t>” means (i) as to any Lender, its Loan Commitment, and (ii) as to Lessor, its Lessor Commitment.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Percentage</w:t>
      </w:r>
      <w:r>
        <w:rPr>
          <w:rFonts w:ascii="Arial" w:cs="Arial" w:eastAsia="Arial" w:hAnsi="Arial"/>
          <w:sz w:val="18"/>
          <w:szCs w:val="18"/>
          <w:color w:val="auto"/>
        </w:rPr>
        <w:t>” means, (i) with respect to Lessor, the percentage of the Aggregate Commitment Amount represented by the Lessor Commitment (and the initial Commitment Percentage of the Lessor as of the Original Closing Date is set forth opposite Lessor’s name under the heading “Commitment Percentage (of the Aggregate Commitment Amount)” on Schedule I to the Participation Agreement) and (ii) with respect to any Lender, the percentage of the Aggregate Commitment Amount represented by such Lender’s Loan Commitment (and the initial Commitment Percentage of each Lender as of the Original Closing Date is set forth opposite such Lender’s name under the heading “Commitment Percentage (of the Aggregate Commitment Amount)” on Schedule II to the Participation Agreement), in each case, as such schedule may be amended or modified from time to time pursuant to the terms and conditions of the Participation Agreement.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Communications</w:t>
      </w:r>
      <w:r>
        <w:rPr>
          <w:rFonts w:ascii="Arial" w:cs="Arial" w:eastAsia="Arial" w:hAnsi="Arial"/>
          <w:sz w:val="18"/>
          <w:szCs w:val="18"/>
          <w:color w:val="auto"/>
        </w:rPr>
        <w:t>” means, collectively, any notice, demand, communication, information, document or other material provided by or on behalf of Lessee or any Guarantor pursuant to any Operative Document or the transactions contemplated therein which is distributed by the Administrative Agent or any Participant by means of electronic communications, including through an Electronic System.</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Condemnation</w:t>
      </w:r>
      <w:r>
        <w:rPr>
          <w:rFonts w:ascii="Arial" w:cs="Arial" w:eastAsia="Arial" w:hAnsi="Arial"/>
          <w:sz w:val="18"/>
          <w:szCs w:val="18"/>
          <w:color w:val="auto"/>
        </w:rPr>
        <w:t>” means any condemnation, requisition, confiscation, seizure or other taking or sale of the use or title to the Leased Property or any part thereof in, by or on account of any eminent domain proceeding or other action by any Governmental Authority under the power of eminent domain or otherwise or any transfer in lieu of or in anticipation thereof. A Condemnation shall be deemed to have “occurred” on the earliest of the dates that use or title is taken or transferred.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means, with reference to any period and without duplication, an amount equal to (a) Consolidated Net Income, plus (b) to the extent deducted in determining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9" w:name="page90"/>
    <w:bookmarkEnd w:id="89"/>
    <w:p>
      <w:pPr>
        <w:jc w:val="both"/>
        <w:spacing w:after="0" w:line="283" w:lineRule="auto"/>
        <w:rPr>
          <w:sz w:val="20"/>
          <w:szCs w:val="20"/>
          <w:color w:val="auto"/>
        </w:rPr>
      </w:pPr>
      <w:r>
        <w:rPr>
          <w:rFonts w:ascii="Arial" w:cs="Arial" w:eastAsia="Arial" w:hAnsi="Arial"/>
          <w:sz w:val="16"/>
          <w:szCs w:val="16"/>
          <w:color w:val="auto"/>
        </w:rPr>
        <w:t>Consolidated Net Income, (i) Consolidated Interest Expense, (ii) income tax expenses, (iii) depreciation, (iv) amortization, (v) non-cash charges, expenses or losses (including any non-cash charges attributable to impairment of goodwill or other intangible assets or impairment of long-lived assets and non-cash expenses related to equity-based compensation, benefits or incentives), (vi) extraordinary, non-recurring or unusual charges, expenses or losses (including, without limitation, with respect to restructuring activities, consolidations, integration, headcount reductions or other similar actions, including severance charges in respect of employee terminations) and in an aggregate amount not in excess of $75,000,000 during any such period, (vii) losses due to fluctuations in currency exchange rates, (viii) unrealized losses under Swap Agreements, (ix) net after-tax losses (including all fees and expenses or charges relating thereto) on any sale or disposition of any asset of the Parent Guarantor or any of its Subsidiaries outside of the ordinary course of business and net after-tax losses from discontinued operations, (x) net after-tax losses (including all fees and expenses or charges relating thereto) on the retirement or extinguishment of debt, (xi) write-off of non-cash deferred revenue in connection with purchase accounting adjustments applied in respect of any Acquisition (it being understood that such non-cash deferred revenue shall be recognized in such period(s) as it would have been recognized but for such Acquisition), (xii) out-of-pocket fees, expenses and other transaction costs paid to unaffiliated third parties in connection with any actual or proposed Acquisitions, merger, joint venture, Collaboration Arrangements, other investments, sales or dispositions of assets, incurrence of indebtedness and issuance of Equity Interests or other securities by the Parent Guarantor or any of its Subsidiaries, in each case, to the extent incurred within twelve (12) months of the completion or abandonment (as applicable) of such transactions and so long as such transactions are not prohibited under the Operative Documents and whether or not consummated,</w:t>
      </w:r>
    </w:p>
    <w:p>
      <w:pPr>
        <w:spacing w:after="0" w:line="2" w:lineRule="exact"/>
        <w:rPr>
          <w:sz w:val="20"/>
          <w:szCs w:val="20"/>
          <w:color w:val="auto"/>
        </w:rPr>
      </w:pPr>
    </w:p>
    <w:p>
      <w:pPr>
        <w:jc w:val="both"/>
        <w:ind w:firstLine="8"/>
        <w:spacing w:after="0" w:line="281" w:lineRule="auto"/>
        <w:tabs>
          <w:tab w:leader="none" w:pos="432"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charges or losses that are, or could reasonably be expected to be, reimbursed or covered by insurance policies or contractual indemnities and not disputed by the insurer or contractual indemnitor thereunder, in each case so long as such amounts are actually reimbursed to the Parent Guarantor or applicable Subsidiary in cash within two (2) fiscal quarters after the related amount is first added to Consolidated EBITDA pursuant to this clause (xiii) (and if not so reimbursed within two (2) fiscal quarters, such amount shall be deducted from Consolidated EBITDA during the next applicable period), (xiv) acquired in-process research and development expenditures, (xv) unrealized non-cash losses arising from the revaluation of equity securities, and (xvi) Milestone Payments and one-time Upfront Payments,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to the extent included in Consolidated Net Income, (1) interest income, (2) income tax credits and refunds (to the extent not netted from income tax expense), (3) any cash payments made during such period in respect of items described in clauses (v) or</w:t>
      </w:r>
    </w:p>
    <w:p>
      <w:pPr>
        <w:spacing w:after="0" w:line="4" w:lineRule="exact"/>
        <w:rPr>
          <w:rFonts w:ascii="Arial" w:cs="Arial" w:eastAsia="Arial" w:hAnsi="Arial"/>
          <w:sz w:val="16"/>
          <w:szCs w:val="16"/>
          <w:color w:val="auto"/>
        </w:rPr>
      </w:pPr>
    </w:p>
    <w:p>
      <w:pPr>
        <w:jc w:val="both"/>
        <w:ind w:firstLine="8"/>
        <w:spacing w:after="0" w:line="288" w:lineRule="auto"/>
        <w:tabs>
          <w:tab w:leader="none" w:pos="318" w:val="left"/>
        </w:tabs>
        <w:numPr>
          <w:ilvl w:val="0"/>
          <w:numId w:val="87"/>
        </w:numPr>
        <w:rPr>
          <w:rFonts w:ascii="Arial" w:cs="Arial" w:eastAsia="Arial" w:hAnsi="Arial"/>
          <w:sz w:val="16"/>
          <w:szCs w:val="16"/>
          <w:color w:val="auto"/>
        </w:rPr>
      </w:pPr>
      <w:r>
        <w:rPr>
          <w:rFonts w:ascii="Arial" w:cs="Arial" w:eastAsia="Arial" w:hAnsi="Arial"/>
          <w:sz w:val="16"/>
          <w:szCs w:val="16"/>
          <w:color w:val="auto"/>
        </w:rPr>
        <w:t>above subsequent to the fiscal quarter in which the relevant non-cash expenses or losses were incurred, (4) non-cash or extraordinary, unusual or non-recurring income or gains, (5) gains due to fluctuations in currency exchange rates, (6) unrealized gains under Swap Agreements, (7) net after-tax gains (less all fees and expenses or charges relating thereto) on any sale or disposition of any asset of the Parent Guarantor or any of its Subsidiaries outside of the ordinary course of business and net after-tax gains from discontinued operations (without reduction on account of any amounts added back in clause (b)(ii) of this definition), (8) any net after-tax gains (less and fees and expenses or charges related thereto) on the retirement or extinguishment of debt and (9) unrealized non-cash gains arising from the revaluation of equity securities, all calculated for the Parent Guarantor and its Subsidiaries in accordance with GAAP on a consolidated basis. For the purposes of calculating Consolidated EBITDA for any period of four consecutive fiscal quarters (each such period,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0" w:name="page91"/>
    <w:bookmarkEnd w:id="90"/>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Period</w:t>
      </w:r>
      <w:r>
        <w:rPr>
          <w:rFonts w:ascii="Arial" w:cs="Arial" w:eastAsia="Arial" w:hAnsi="Arial"/>
          <w:sz w:val="16"/>
          <w:szCs w:val="16"/>
          <w:color w:val="auto"/>
        </w:rPr>
        <w:t>”), (i) if at any time during such Reference Period the Parent Guarantor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Parent Guarantor or any Subsidiary shall have made a Material Acquisition and the Consolidated EBITDA attributable to the property that is the subject of such Material Acquisition is positive for such Reference Period, Consolidated EBITDA for such Reference Period shall be calculated after giving pro forma effect thereto as if such Material Acquisition occurred on the first day of such Reference Period. As used in this definition, “</w:t>
      </w:r>
      <w:r>
        <w:rPr>
          <w:rFonts w:ascii="Arial" w:cs="Arial" w:eastAsia="Arial" w:hAnsi="Arial"/>
          <w:sz w:val="16"/>
          <w:szCs w:val="16"/>
          <w:i w:val="1"/>
          <w:iCs w:val="1"/>
          <w:color w:val="auto"/>
        </w:rPr>
        <w:t>Material Acquisition</w:t>
      </w:r>
      <w:r>
        <w:rPr>
          <w:rFonts w:ascii="Arial" w:cs="Arial" w:eastAsia="Arial" w:hAnsi="Arial"/>
          <w:sz w:val="16"/>
          <w:szCs w:val="16"/>
          <w:color w:val="auto"/>
        </w:rPr>
        <w:t>” means any acquisition of property or series of related acquisitions of property by the Parent Guarantor or any Subsidiary that (a) constitutes (i) assets comprising all or substantially all or any significant portion of a business or operating unit of a business, or (ii) all or substantially all of the common stock or other Equity Interests of a Person, and (b) involves the payment of consideration by the Parent Guarantor and its Subsidiaries in excess of $25,000,000 (calculated to include the aggregate amount of Indebtedness assumed in connection with such acquisition); and “Material Disposition” means any sale, transfer or disposition of property of the Parent Guarantor or any Subsidiary or series of related sales, transfers, or dispositions of property of the Parent Guarantor or such Subsidiary (other than any Exclusive License or transactions between or among any of the Parent Guarantor, the Guarantors, or any of their Subsidiaries (or any combination thereof)) that yields gross cash proceeds to the Parent Guarantor or any of its Subsidiaries in excess of $25,000,000 in the aggregate on or prior to the consummation thereof (and which, for the avoidance of doubt, shall not include any royalty, earnout, contingent payment or any other deferred payment that may be payable thereafter).</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means, with reference to any period, the excess of (a) the interest expense (including without limitation interest expense under Capital Lease Obligations that is treated as interest in accordance with GAAP) of the Parent Guarantor and its Subsidiaries calculated on a consolidated basis for such period with respect to all outstanding Indebtedness of the Parent Guarantor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minus (b) to the extent included in clause (a) above, (i) non-cash amounts attributable to amortization of financing costs paid in a previous period, (ii) non-cash amounts attributable to amortization of debt discounts or accrued interest payable in kind for such period, (iii) any break funding payment made pursuant to the Bank Credit Agreement and (iv) any interest expense in respect of any Operating Lease, including any interest, yield, rent or break funding payment (or similar obligations) paid or payable pursuant to any Operative Documents. In the event that the Parent Guarantor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1" w:name="page92"/>
    <w:bookmarkEnd w:id="91"/>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reference to any period, the net income (or loss) of the Parent Guarantor and its Subsidiaries calculated in accordance with GAAP on a consolidated basis (without duplication) for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any income (or loss) of any Person other than the Parent Guarantor or a Subsidiary, but any such income so excluded may be included in such period or any later period to the extent of any dividends, distributions or other payments actually paid in cash (or to the extent converted into cash) in the relevant period to the Parent Guarantor or any wholly-owned Subsidiary of the Parent Guarantor.</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as of the date of any determination thereof, the consolidated stockholders’ equity of the Parent Guarantor and its Subsidiaries calculated on a consolidated basis in accordance with GAAP.</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Total Indebtedness</w:t>
      </w:r>
      <w:r>
        <w:rPr>
          <w:rFonts w:ascii="Arial" w:cs="Arial" w:eastAsia="Arial" w:hAnsi="Arial"/>
          <w:sz w:val="16"/>
          <w:szCs w:val="16"/>
          <w:color w:val="auto"/>
        </w:rPr>
        <w:t xml:space="preserve">” means at any date the sum, without duplication, of (a) the aggregate Indebtedness of the Parent Guarantor and its Subsidiaries (other than intercompany Indebtedness among the Parent Guarantor and its Subsidiaries) that is of a type that would be reflected on a consolidated balance sheet of the Parent Guarantor prepared as of such date in accordance with GAAP, (b) the aggregate amount of Indebtedness of the Parent Guarantor and its Subsidiaries constituting drawn and unreimbursed amounts under all letters of credit, bankers acceptances, bank guarantees and letters of guaranty issued by banks or other financial institutions for the account of the Parent Guarantor or any Subsidiary and (c) Indebtedness of the type referred to in clause (a) or (b) above of another Person (other than the Parent Guarantor or any Subsidiary) guaranteed by the Parent Guarantor or any of its Subsidiaries;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Consolidated Total Indebtedness (i) shall not include obligations in respect of letters of credit, bankers acceptances, bank guarantees, letters of</w:t>
      </w:r>
      <w:r>
        <w:rPr>
          <w:rFonts w:ascii="Arial" w:cs="Arial" w:eastAsia="Arial" w:hAnsi="Arial"/>
          <w:sz w:val="16"/>
          <w:szCs w:val="16"/>
          <w:i w:val="1"/>
          <w:iCs w:val="1"/>
          <w:color w:val="auto"/>
        </w:rPr>
        <w:t xml:space="preserve"> </w:t>
      </w:r>
      <w:r>
        <w:rPr>
          <w:rFonts w:ascii="Arial" w:cs="Arial" w:eastAsia="Arial" w:hAnsi="Arial"/>
          <w:sz w:val="16"/>
          <w:szCs w:val="16"/>
          <w:color w:val="auto"/>
        </w:rPr>
        <w:t>guaranty issued by banks or other financial institutions and similar obligations except to the extent of amounts actually drawn thereunder and not yet cash collateralized or reimbursed by the Parent Guarantor or any Subsidiary and (ii) shall be subject, in all respects, to the limitations and exclusions set forth in the definition of Indebtedness, including as to the calculation of the amount of any limited recourse guarantee under clause (c) above.</w:t>
      </w:r>
    </w:p>
    <w:p>
      <w:pPr>
        <w:spacing w:after="0" w:line="16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The terms “</w:t>
      </w:r>
      <w:r>
        <w:rPr>
          <w:rFonts w:ascii="Arial" w:cs="Arial" w:eastAsia="Arial" w:hAnsi="Arial"/>
          <w:sz w:val="16"/>
          <w:szCs w:val="16"/>
          <w:i w:val="1"/>
          <w:iCs w:val="1"/>
          <w:color w:val="auto"/>
        </w:rPr>
        <w:t>Controlling</w:t>
      </w:r>
      <w:r>
        <w:rPr>
          <w:rFonts w:ascii="Arial" w:cs="Arial" w:eastAsia="Arial" w:hAnsi="Arial"/>
          <w:sz w:val="16"/>
          <w:szCs w:val="16"/>
          <w:color w:val="auto"/>
        </w:rPr>
        <w:t>” and “</w:t>
      </w:r>
      <w:r>
        <w:rPr>
          <w:rFonts w:ascii="Arial" w:cs="Arial" w:eastAsia="Arial" w:hAnsi="Arial"/>
          <w:sz w:val="16"/>
          <w:szCs w:val="16"/>
          <w:i w:val="1"/>
          <w:iCs w:val="1"/>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Controlled Substances Act</w:t>
      </w:r>
      <w:r>
        <w:rPr>
          <w:rFonts w:ascii="Arial" w:cs="Arial" w:eastAsia="Arial" w:hAnsi="Arial"/>
          <w:sz w:val="18"/>
          <w:szCs w:val="18"/>
          <w:color w:val="auto"/>
        </w:rPr>
        <w:t xml:space="preserve">” means 21 U.S.C. ch. 13, §801 </w:t>
      </w:r>
      <w:r>
        <w:rPr>
          <w:rFonts w:ascii="Arial" w:cs="Arial" w:eastAsia="Arial" w:hAnsi="Arial"/>
          <w:sz w:val="18"/>
          <w:szCs w:val="18"/>
          <w:i w:val="1"/>
          <w:iCs w:val="1"/>
          <w:color w:val="auto"/>
        </w:rPr>
        <w:t>et seq</w:t>
      </w:r>
      <w:r>
        <w:rPr>
          <w:rFonts w:ascii="Arial" w:cs="Arial" w:eastAsia="Arial" w:hAnsi="Arial"/>
          <w:sz w:val="18"/>
          <w:szCs w:val="18"/>
          <w:color w:val="auto"/>
        </w:rPr>
        <w:t>., known as the Controlled Substances Act,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Cumulative Basic Rent Adjustment</w:t>
      </w:r>
      <w:r>
        <w:rPr>
          <w:rFonts w:ascii="Arial" w:cs="Arial" w:eastAsia="Arial" w:hAnsi="Arial"/>
          <w:sz w:val="18"/>
          <w:szCs w:val="18"/>
          <w:color w:val="auto"/>
        </w:rPr>
        <w:t>” shall mean, as of a particular date, the sum of the Basic Rent Adjustments which have actually occurred as of such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other applicable jurisdictions from time to time in effect and affecting the rights of creditors generally.</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Deed</w:t>
      </w:r>
      <w:r>
        <w:rPr>
          <w:rFonts w:ascii="Arial" w:cs="Arial" w:eastAsia="Arial" w:hAnsi="Arial"/>
          <w:sz w:val="17"/>
          <w:szCs w:val="17"/>
          <w:color w:val="auto"/>
        </w:rPr>
        <w:t>” means the special warranty deed, executed by the Sellers and dated the Original Closing Date, with respect to the Facility and fixtures existing on the Leased Property, sufficient to convey to Lessor good and marketable fee simple title thereto free of all Liens, other than Permitted Liens.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of Default or any condition, occurrence or event which, after notice or lapse of time or both, would, unless cured or waived, constitute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Deposit</w:t>
      </w:r>
      <w:r>
        <w:rPr>
          <w:rFonts w:ascii="Arial" w:cs="Arial" w:eastAsia="Arial" w:hAnsi="Arial"/>
          <w:sz w:val="16"/>
          <w:szCs w:val="16"/>
          <w:color w:val="auto"/>
        </w:rPr>
        <w:t>” means $57,000,000, which is the aggregate amount of deposits paid by Parent Guarantor to Sellers pursuant to the Purchase Agreement.</w:t>
      </w:r>
    </w:p>
    <w:p>
      <w:pPr>
        <w:spacing w:after="0" w:line="2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Disclosed Matters</w:t>
      </w:r>
      <w:r>
        <w:rPr>
          <w:rFonts w:ascii="Arial" w:cs="Arial" w:eastAsia="Arial" w:hAnsi="Arial"/>
          <w:sz w:val="16"/>
          <w:szCs w:val="16"/>
          <w:color w:val="auto"/>
        </w:rPr>
        <w:t>” means any event, circumstance, condition or other matter disclosed in the reports and other documents furnished to or filed with the SEC by the Parent Guarantor or posted by the Parent Guarantor on http://www.regeneron.com or https://investor.regeneron.com, in any such case, that are publicly available on or prior to the Restatement Date or described on any schedule to the Purchase Agreement or any Operative Document.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Disinterested Director</w:t>
      </w:r>
      <w:r>
        <w:rPr>
          <w:rFonts w:ascii="Arial" w:cs="Arial" w:eastAsia="Arial" w:hAnsi="Arial"/>
          <w:sz w:val="18"/>
          <w:szCs w:val="18"/>
          <w:color w:val="auto"/>
        </w:rPr>
        <w:t>” means, with respect to any Person and transaction, a member of the board of directors (or similar governing body) of such Person who does not have any material direct or indirect financial interest in or with respect to such transaction. It is understood and agreed that no such Person shall be deemed to have a material indirect financial interest if such Person would not be deemed to have an “indirect material interest” within the meaning of Item 404(a) of Regulation S-K.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Disregarded Entity</w:t>
      </w:r>
      <w:r>
        <w:rPr>
          <w:rFonts w:ascii="Arial" w:cs="Arial" w:eastAsia="Arial" w:hAnsi="Arial"/>
          <w:sz w:val="16"/>
          <w:szCs w:val="16"/>
          <w:color w:val="auto"/>
        </w:rPr>
        <w:t>” means any entity treated as disregarded as an entity separate from its owner under Treasury Regulations Section 301.7701-3.</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Foreign Holdco Subsidiary</w:t>
      </w:r>
      <w:r>
        <w:rPr>
          <w:rFonts w:ascii="Arial" w:cs="Arial" w:eastAsia="Arial" w:hAnsi="Arial"/>
          <w:sz w:val="18"/>
          <w:szCs w:val="18"/>
          <w:color w:val="auto"/>
        </w:rPr>
        <w:t>” means a Domestic Subsidiary (a) substantially all of the assets of which consist of the Equity Interests of one or more CFCs and, if any, CFC Debt or (b) that is a Disregarded Entity that holds no material assets other than Equity Interests of one or more CFCs and, if any, CFC Debt, in the case of clause (a) above, so long as such Domestic Subsidiary (i) does not conduct any substantial business or activities other than the ownership of such Equity Interests and, if any, CFC Debt (except for immaterial assets and activities reasonably related or ancillary thereto) and (ii) does not incur, and is not otherwise liable for, any material Indebtedness or other material liabilities (other than intercompany indebtedness permitted pursuant to Section 9(a)(iii) of the Guaranty and, if such Domestic Subsidiary is a borrower under the Bank Credit Agreement, Indebtedness permitted pursuant to Section 9(a)(xxi) of the Guaranty).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3" w:name="page94"/>
    <w:bookmarkEnd w:id="93"/>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Drug Acquisition</w:t>
      </w:r>
      <w:r>
        <w:rPr>
          <w:rFonts w:ascii="Arial" w:cs="Arial" w:eastAsia="Arial" w:hAnsi="Arial"/>
          <w:sz w:val="18"/>
          <w:szCs w:val="18"/>
          <w:color w:val="auto"/>
        </w:rPr>
        <w:t>” means any acquisition (including any license or any acquisition of any license) solely or primarily of all or any portion of the rights in respect of one or more drugs or pharmaceutical products, whether in development or on the market (including related intellectual property), but not of Equity Interests in any Person or any operating business unit.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Early Termination Option</w:t>
      </w:r>
      <w:r>
        <w:rPr>
          <w:rFonts w:ascii="Arial" w:cs="Arial" w:eastAsia="Arial" w:hAnsi="Arial"/>
          <w:sz w:val="18"/>
          <w:szCs w:val="18"/>
          <w:color w:val="auto"/>
        </w:rPr>
        <w:t>” means the Lessee’s option to purchase all, but not less than all, of the Leased Property in accordance with the provisions of Section 18.1 of the Lease.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Electronic System</w:t>
      </w:r>
      <w:r>
        <w:rPr>
          <w:rFonts w:ascii="Arial" w:cs="Arial" w:eastAsia="Arial" w:hAnsi="Arial"/>
          <w:sz w:val="18"/>
          <w:szCs w:val="18"/>
          <w:color w:val="auto"/>
        </w:rPr>
        <w:t>” means any electronic system, including e-mail, e-fax, any Approved Electronic Platform and any other Internet or extranet-based site, whether such electronic system is owned, operated or hosted by the Administrative Agent and any of its respective Related Parties or any other Person, providing for access to data protected by passcodes or other security system.</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Assignee</w:t>
      </w:r>
      <w:r>
        <w:rPr>
          <w:rFonts w:ascii="Arial" w:cs="Arial" w:eastAsia="Arial" w:hAnsi="Arial"/>
          <w:sz w:val="17"/>
          <w:szCs w:val="17"/>
          <w:color w:val="auto"/>
        </w:rPr>
        <w:t xml:space="preserve">” means (a) any Participant or Affiliate or Subsidiary of a Participant, (b) any Person that is a lender or Affiliate or Subsidiary of a lender under the Bank Credit Agreement at the time of the proposed assignment pursuant to Section 12.1 of the Participation Agreement, (c) any other commercial bank, in any case of this clause (c), that (i) is approved by the Lessee (such approval not to be unreasonably withheld or delayed) and (ii) either is a bank organized or licensed under the laws of the United States of America or any State thereof or has agreed to provide the information listed in Section 12.3 of the Participation Agreement (to the extent that it may lawfully be a Participant) or (d) any other financial institution, leasing company or “accredited investor” (as defined in Regulation D), in any case of this clause (d), that (i) is approved by the Lessee (such approval not to be unreasonably withheld or delayed), (ii) is primarily engaged in making, purchasing or otherwise investing in commercial loans or lease transactions in the ordinary course of its business and (iii) either is organized or licensed under the laws of the United States of America or any State thereof or has agreed to provide the information listed in Section 12.3 of the Participation Agreement (to the extent that it may lawfully be a Participant);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after the Original Closing Date, Lessee’s consent or approval is not required pursuant to clause (a) or (b) or, with respect to clause (c) or (d), during the existence and continuation of an Event of Default and (y) none of Lessee or any of its Affiliates or Subsidiaries shall qualify as an Eligible Assignee;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no event shall an Eligible Assignee be a natural person.</w:t>
      </w:r>
    </w:p>
    <w:p>
      <w:pPr>
        <w:spacing w:after="0" w:line="1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Audit</w:t>
      </w:r>
      <w:r>
        <w:rPr>
          <w:rFonts w:ascii="Arial" w:cs="Arial" w:eastAsia="Arial" w:hAnsi="Arial"/>
          <w:sz w:val="16"/>
          <w:szCs w:val="16"/>
          <w:color w:val="auto"/>
        </w:rPr>
        <w:t>” means a Phase I environmental site assessment (the scope and performance of which meets or exceeds ASTM Standard E1527-13 Standard Practice for Environmental Site Assessments: Phase I Environmental Site Assessment Process or any updates thereto) of the Site and any other environmental assessments, reports or information reasonably requested by Lessor in writing to Lessee promptly prior to the Original Closing Date, including, if recommended or necessitated by the Phase I environmental site assessment, a Phase II environmental site assessment.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Claims</w:t>
      </w:r>
      <w:r>
        <w:rPr>
          <w:rFonts w:ascii="Arial" w:cs="Arial" w:eastAsia="Arial" w:hAnsi="Arial"/>
          <w:sz w:val="18"/>
          <w:szCs w:val="18"/>
          <w:color w:val="auto"/>
        </w:rPr>
        <w:t>” is defined in Section 13.7 of the Participation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means any Applicable Law relating to pollution, protection of the environment, natural resources or wildlife, or the protection of human health and safety from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4" w:name="page95"/>
    <w:bookmarkEnd w:id="94"/>
    <w:p>
      <w:pPr>
        <w:jc w:val="both"/>
        <w:spacing w:after="0" w:line="277" w:lineRule="auto"/>
        <w:rPr>
          <w:sz w:val="20"/>
          <w:szCs w:val="20"/>
          <w:color w:val="auto"/>
        </w:rPr>
      </w:pPr>
      <w:r>
        <w:rPr>
          <w:rFonts w:ascii="Arial" w:cs="Arial" w:eastAsia="Arial" w:hAnsi="Arial"/>
          <w:sz w:val="18"/>
          <w:szCs w:val="18"/>
          <w:color w:val="auto"/>
        </w:rPr>
        <w:t>release of Hazardous Materials, including, without limitation, laws relating to (i) the Release or threatened Release of Hazardous Materials and (ii) the manufacture, processing, distribution, use, treatment, storage, disposal, transport or handling of Hazardous Materials.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Violation</w:t>
      </w:r>
      <w:r>
        <w:rPr>
          <w:rFonts w:ascii="Arial" w:cs="Arial" w:eastAsia="Arial" w:hAnsi="Arial"/>
          <w:sz w:val="18"/>
          <w:szCs w:val="18"/>
          <w:color w:val="auto"/>
        </w:rPr>
        <w:t>” means, with respect to the Leased Property, any activity, occurrence or condition that violates or results in non-compliance with any Environmental Law.</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Equipment</w:t>
      </w:r>
      <w:r>
        <w:rPr>
          <w:rFonts w:ascii="Arial" w:cs="Arial" w:eastAsia="Arial" w:hAnsi="Arial"/>
          <w:sz w:val="17"/>
          <w:szCs w:val="17"/>
          <w:color w:val="auto"/>
        </w:rPr>
        <w:t>” means equipment, apparatus, fittings and personal property of every kind and nature whatsoever purchased, leased or otherwise acquired by the Lessor using amounts advanced by the Participants pursuant to the Participation Agreement and now or subsequently attached to, contained in or used or usable in any way in connection with any operation or letting of the Leased Property, including, but without limiting the generality of the foregoing, all screens, awnings, storm doors and windows, heating, electrical, switch gear, uninterrupted power supply, and mechanical equipment, lighting, switchboards, plumbing, ventilation, air conditioning and air-cooling apparatus, refrigerating and incinerating equipment, escalators, generators, elevators, loading and unloading equipment and systems, laundry equipment, cleaning systems (including window cleaning apparatus), communications systems (including satellite dishes and antennae), sprinkler systems and other fire prevention and extinguishing apparatus and materials, security systems, motors, engines, machinery, pipes, pumps, tanks, conduits, fittings and fixtures of every kind and description.</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similar rights entitling the holder thereof to purchase or acquire any of the foregoing. Notwithstanding the foregoing, (a) Permitted Convertible Notes, (b) Permitted Call Spread Swap Agreements and (c) any Indebtedness that is convertible into Equity Interests and/or cash by reference to the value (howsoever defined or determined) of Equity Interests shall not constitute Equity Interests.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means any trade or business (whether or not incorporated) that, together with the Parent Guarantor, is treated as a single employer 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Parent Guarantor or any of its ERISA Affiliates of any liability under Title IV of ERISA with respect to the termination of any Plan; (e) the receipt by the Parent Guarantor or any ERISA Affiliate from the PBGC or a plan administrator of any written notice relating 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5" w:name="page96"/>
    <w:bookmarkEnd w:id="95"/>
    <w:p>
      <w:pPr>
        <w:jc w:val="both"/>
        <w:spacing w:after="0" w:line="255" w:lineRule="auto"/>
        <w:rPr>
          <w:sz w:val="20"/>
          <w:szCs w:val="20"/>
          <w:color w:val="auto"/>
        </w:rPr>
      </w:pPr>
      <w:r>
        <w:rPr>
          <w:rFonts w:ascii="Arial" w:cs="Arial" w:eastAsia="Arial" w:hAnsi="Arial"/>
          <w:sz w:val="18"/>
          <w:szCs w:val="18"/>
          <w:color w:val="auto"/>
        </w:rPr>
        <w:t>intention to terminate any Plan or Plans or to appoint a trustee to administer any Plan; (f) the incurrence by the Parent Guarantor or any of its ERISA Affiliates of any liability with respect to the withdrawal or partial withdrawal of the Parent Guarantor or any of its ERISA Affiliates from any Plan or Multiemployer Plan; or (g) the receipt by the Parent Guarantor or any ERISA Affiliate of any written notice, or the receipt by any Multiemployer Plan from the Parent Guarantor or any ERISA Affiliate of any written notice, concerning the imposition upon the Parent Guarantor or any of its ERISA Affiliates of Withdrawal Liability or a determination that a Multiemployer Plan is, or is expected to be, insolvent or in reorganization, within the meaning of Title IV of ERISA.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is defined at Section 16.1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any Significant Casualty or Significant Condemnation.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Excepted Payments</w:t>
      </w:r>
      <w:r>
        <w:rPr>
          <w:rFonts w:ascii="Arial" w:cs="Arial" w:eastAsia="Arial" w:hAnsi="Arial"/>
          <w:sz w:val="16"/>
          <w:szCs w:val="16"/>
          <w:color w:val="auto"/>
        </w:rPr>
        <w:t>” means: (a) all indemnity payments or payments under any guaranty (including indemnity payments made pursuant to Article XIII of the Participation Agreement) to which any Participant or any of their respective Affiliates, agents, officers, directors or employees is entitled pursuant to the Operative Documents; (b) any amounts (other than Basic Rent or amounts payable by Lessee pursuant to Section 15.2 of the Lease or Article XVI or XVIII of the Lease) payable under any Operative Document to reimburse the Lessor or any of its Affiliates (including the reasonable expenses of the Lessor or such Affiliates incurred in connection with any such payment) for performing or complying with any of the obligations of the Lessee under and as permitted by any Operative Document; (c) any amount payable to any Participant by any transferee permitted under the Operative Documents of the interest of any Participant as the purchase price of the Participant’s interest (or a portion thereof); (d) any insurance proceeds (or payments with respect to self-insured risks or policy deductibles) under liability policies; (e) any insurance proceeds under policies maintained by the Administrative Agent or any Participant in accordance with Section 13.4 of the Lease; (f) Transaction Expenses or Fees paid or payable to or for the benefit of the Administrative Agent, the Arranger or any Participant; (g) all right, title and interest of the Lessor to the Leased Property or any portion thereof or any other property to the extent any of the foregoing has been released from the Liens of the Security Instruments following the payment of the Purchase Amount or Lease Balance, as applicable; and (h) any payments in respect of interest to the extent attributable to payments referred to in clauses (a) through (g) above.</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Excepted Rights</w:t>
      </w:r>
      <w:r>
        <w:rPr>
          <w:rFonts w:ascii="Arial" w:cs="Arial" w:eastAsia="Arial" w:hAnsi="Arial"/>
          <w:sz w:val="16"/>
          <w:szCs w:val="16"/>
          <w:color w:val="auto"/>
        </w:rPr>
        <w:t>” means the Lessor’s right (a) to receive from Parent Guarantor, Lessee or the Administrative Agent all notices, certificates, reports, filings, opinions of counsel, copies of all documents and all information which the Parent Guarantor and/or Lessee is permitted or required to give or furnish to the “</w:t>
      </w:r>
      <w:r>
        <w:rPr>
          <w:rFonts w:ascii="Arial" w:cs="Arial" w:eastAsia="Arial" w:hAnsi="Arial"/>
          <w:sz w:val="16"/>
          <w:szCs w:val="16"/>
          <w:i w:val="1"/>
          <w:iCs w:val="1"/>
          <w:color w:val="auto"/>
        </w:rPr>
        <w:t>Lessor</w:t>
      </w:r>
      <w:r>
        <w:rPr>
          <w:rFonts w:ascii="Arial" w:cs="Arial" w:eastAsia="Arial" w:hAnsi="Arial"/>
          <w:sz w:val="16"/>
          <w:szCs w:val="16"/>
          <w:color w:val="auto"/>
        </w:rPr>
        <w:t>” pursuant to the Lease or any other Operative Document, (b) to exercise the inspection rights provided for in Section 4.2 of the Lease, (c) to give any demand notice under Section 16.1 of the Lease and to demand payment from the Lessee under the Lease in default in respect thereof and to retain the right to cause the Lessee to take any action and execute and deliver such documents and assurances as the “</w:t>
      </w:r>
      <w:r>
        <w:rPr>
          <w:rFonts w:ascii="Arial" w:cs="Arial" w:eastAsia="Arial" w:hAnsi="Arial"/>
          <w:sz w:val="16"/>
          <w:szCs w:val="16"/>
          <w:i w:val="1"/>
          <w:iCs w:val="1"/>
          <w:color w:val="auto"/>
        </w:rPr>
        <w:t>Lessor</w:t>
      </w:r>
      <w:r>
        <w:rPr>
          <w:rFonts w:ascii="Arial" w:cs="Arial" w:eastAsia="Arial" w:hAnsi="Arial"/>
          <w:sz w:val="16"/>
          <w:szCs w:val="16"/>
          <w:color w:val="auto"/>
        </w:rPr>
        <w:t>” may from time to time reasonably request pursuant to Article XVI of the Lease and (d) Lessor’s rights under Section 15.5 of the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6" w:name="page97"/>
    <w:bookmarkEnd w:id="96"/>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Excluded Property</w:t>
      </w:r>
      <w:r>
        <w:rPr>
          <w:rFonts w:ascii="Arial" w:cs="Arial" w:eastAsia="Arial" w:hAnsi="Arial"/>
          <w:sz w:val="17"/>
          <w:szCs w:val="17"/>
          <w:color w:val="auto"/>
        </w:rPr>
        <w:t xml:space="preserve">” means (a) “Reserved Company Assets” and “Excluded Contracts” as such terms are defined in the Purchase Agreement, (b) computer software, (c) all furniture, furnishings, fixtures, equipment, vehicles, tools, and tangible personal property of every kind and description owned by or leased to (other than by the Lessee) any of the tenants, (d) any other personal property listed on Schedule 1.32 to the Purchase Agreement, (e) Lessee Property, (f) any lease (other than a sublease of Leased Property), license, contract or agreement to which Lessee is a party or under which Lessee has rights, and any of its rights or interests thereunder, if and to the extent that a security interest (i) is prohibited by or in violation of any Applicable Law, or (ii) is prohibited by or in violation of any term, provision or condition of any such lease, license, contract or agreement or creates a right of termination in favor of any other party thereto other than the Lessee or any of its Subsidiaries (unless such Applicable Law, term, provision or condition would be rendered ineffective with respect to the creation of the security interest under the applicable Operative Documents pursuant to Sections 9-406, 9-407, 9-408 or 9-409 of the UCC (or any successor provision or provisions) of any relevant jurisdiction or any other applicable law (including the Bankruptcy Code) or principles of equity);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lease, license, contract or agreement would otherwise constitute Collateral but for this clause (f), Collateral shall include (and such security interest shall attach) immediately at such time as the contractual or legal prohibition shall no longer be applicable thereto and to the extent severable, shall attach immediately to any portion of such lease, license, contract or agreement (that would otherwise constitute Collateral but for this clause (f)) not subject to the prohibitions specified in (i) or (ii) above;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exclusions referred to in this clause (f) shall not include any Proceeds of any such lease, license, contract or agreement that would otherwise constitute Collateral but for this clause (f) (to the extent such Proceeds do not otherwise constitute Excluded Property).</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Subsidiary</w:t>
      </w:r>
      <w:r>
        <w:rPr>
          <w:rFonts w:ascii="Arial" w:cs="Arial" w:eastAsia="Arial" w:hAnsi="Arial"/>
          <w:sz w:val="16"/>
          <w:szCs w:val="16"/>
          <w:color w:val="auto"/>
        </w:rPr>
        <w:t>” means (a) any Domestic Foreign Holdco Subsidiary, (b) any Domestic Subsidiary whose Equity Interests are owned directly or indirectly by a CFC, (c) any Subsidiary that is prohibited by applicable law or contractual obligations (other than any contractual obligation in favor of the Parent Guarantor or any of its Subsidiaries) existing on the Restatement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consent, approval, license or authorization has been obtained), (d) any captive insurance company and (e) any Domestic Subsidiary that, at the applicable time of determination, (i) does not constitute a Material Subsidiary, (ii) is not a borrower or guarantor under the Bank Credit Agreement at such time and (iii) is not required to be a guarantor under the Bank Credit Agreement at such time.</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Exclusive License</w:t>
      </w:r>
      <w:r>
        <w:rPr>
          <w:rFonts w:ascii="Arial" w:cs="Arial" w:eastAsia="Arial" w:hAnsi="Arial"/>
          <w:sz w:val="18"/>
          <w:szCs w:val="18"/>
          <w:color w:val="auto"/>
        </w:rPr>
        <w:t>” means any license to develop and commercialize a drug or other product line of any Person with a term greater than five (5) years and made on an exclusive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Lease</w:t>
      </w:r>
      <w:r>
        <w:rPr>
          <w:rFonts w:ascii="Arial" w:cs="Arial" w:eastAsia="Arial" w:hAnsi="Arial"/>
          <w:sz w:val="18"/>
          <w:szCs w:val="18"/>
          <w:color w:val="auto"/>
        </w:rPr>
        <w:t>” means, collectively:</w:t>
      </w:r>
    </w:p>
    <w:p>
      <w:pPr>
        <w:spacing w:after="0" w:line="225" w:lineRule="exact"/>
        <w:rPr>
          <w:sz w:val="20"/>
          <w:szCs w:val="20"/>
          <w:color w:val="auto"/>
        </w:rPr>
      </w:pPr>
    </w:p>
    <w:p>
      <w:pPr>
        <w:ind w:firstLine="656"/>
        <w:spacing w:after="0" w:line="277" w:lineRule="auto"/>
        <w:tabs>
          <w:tab w:leader="none" w:pos="9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certain Lease dated as of December 21, 2006, by and between BMR-Landmark at Eastview LLC and the Parent Guarantor, as amended by that certain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7" w:name="page98"/>
    <w:bookmarkEnd w:id="97"/>
    <w:p>
      <w:pPr>
        <w:jc w:val="both"/>
        <w:spacing w:after="0" w:line="269" w:lineRule="auto"/>
        <w:rPr>
          <w:sz w:val="20"/>
          <w:szCs w:val="20"/>
          <w:color w:val="auto"/>
        </w:rPr>
      </w:pPr>
      <w:r>
        <w:rPr>
          <w:rFonts w:ascii="Arial" w:cs="Arial" w:eastAsia="Arial" w:hAnsi="Arial"/>
          <w:sz w:val="17"/>
          <w:szCs w:val="17"/>
          <w:color w:val="auto"/>
        </w:rPr>
        <w:t>Amendment to Lease dated as of October 24, 2007, that certain Second Amendment to Lease dated as of September 30, 2008, that certain Third Amendment to Lease dated as of April 29, 2009, that certain Fourth Amendment to Lease dated as of December 3, 2009, that certain Fifth Amendment to Lease dated as of February 11, 2010, that certain Sixth Amendment to Lease dated as of June 4, 2010, that certain Seventh Amendment to Lease dated as of December 22, 2010, that certain Eighth Amendment to Lease dated as of August 1, 2011, that certain Ninth Amendment to Lease dated as of September 30, 2011, that certain Tenth Amendment to Lease dated as of October 25, 2012, that certain Eleventh Amendment to Lease dated as of April 3, 2013, that certain Twelfth Amendment to Lease dated as of May 31, 2013, that certain Thirteenth Amendment to Lease dated as of May 31, 2013, that certain Fourteenth Amendment to Lease dated as of October 25, 2013, that certain Fifteenth Amendment to Lease dated as of June 12, 2014, that certain Sixteenth Amendment to Lease dated as of June 30, 2015, that certain Seventeenth Amendment to Lease, dated as of August 10, 2015, that certain Eighteenth Amendment to Lease, dated as of March 3, 2017, and the Omnibus Lease Amendment, as the same may have been further assigned, amended, amended and restated, supplemented or modified from time to time, whereby Parent Guarantor leases certain premises from Lessee at 735, 745, 755, 765, 767 and 777 Old Saw Mill River Road in Tarrytown, New York;</w:t>
      </w:r>
    </w:p>
    <w:p>
      <w:pPr>
        <w:spacing w:after="0" w:line="183" w:lineRule="exact"/>
        <w:rPr>
          <w:sz w:val="20"/>
          <w:szCs w:val="20"/>
          <w:color w:val="auto"/>
        </w:rPr>
      </w:pPr>
    </w:p>
    <w:p>
      <w:pPr>
        <w:jc w:val="both"/>
        <w:ind w:firstLine="656"/>
        <w:spacing w:after="0" w:line="257" w:lineRule="auto"/>
        <w:tabs>
          <w:tab w:leader="none" w:pos="91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certain Mt. Pleasant Lease dated as of April 3, 2013, by and between BMR-Landmark at Eastview LLC and Parent Guarantor, as amended by that certain First Amendment to Mt. Pleasant Lease dated as of June 30, 2015, that certain Second Amendment to Mt. Pleasant Lease, dated as of March 3, 2017, and the Omnibus Lease Amendment, as the same may have been further assigned, amended, amended and restated, supplemented or modified from time to time, whereby Parent Guarantor leases certain premises from Lessee in the Mt. Pleasant Project known as Building 8 and Building 9 in Tarrytown, New York; and</w:t>
      </w:r>
    </w:p>
    <w:p>
      <w:pPr>
        <w:spacing w:after="0" w:line="188" w:lineRule="exact"/>
        <w:rPr>
          <w:rFonts w:ascii="Arial" w:cs="Arial" w:eastAsia="Arial" w:hAnsi="Arial"/>
          <w:sz w:val="18"/>
          <w:szCs w:val="18"/>
          <w:color w:val="auto"/>
        </w:rPr>
      </w:pPr>
    </w:p>
    <w:p>
      <w:pPr>
        <w:jc w:val="both"/>
        <w:ind w:firstLine="656"/>
        <w:spacing w:after="0" w:line="270" w:lineRule="auto"/>
        <w:tabs>
          <w:tab w:leader="none" w:pos="90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that certain Amended and Restated Agreement of Lease dated as of October 28, 2009, by and between BMR-Landmark at Eastview LLC and Progenics Pharmaceuticals, Inc., as amended by that certain First Amendment to Amended and Restated Agreement of Lease dated as of June 1, 2010, that certain Second Amendment to Amended and Restated Agreement of Lease dated as of November 19, 2010, that certain Third Amendment to Amended and Restated Agreement of Lease dated as of January 23, 2012, that certain Letter Agreement dated as of February 6, 2012, that certain Fourth Amendment to Amended and Restated Agreement of Lease dated as of May 30, 2013, as amended by Subordination, Non-Disturbance and Attornment Agreement dated January 27, 2016, that certain Assignment and Assumption Agreement dated as of May 6, 2016 between Progenics Pharmaceuticals, Inc. and Parent Guarantor, that certain Fifth Amendment to Amended and Restated Agreement of Lease dated as of May 6, 2016, that certain Sixth Amendment to Amended and Restated Agreement of Lease dated as of March 3, 2017, and the Omnibus Lease Amendment, as the same may have been further assigned, amended, amended and restated, supplemented or modified from time to time, whereby Parent Guarantor leases certain premises from Lessee at 771 Old Saw Mill River Road, Tarrytown, New York.</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Expiration Date</w:t>
      </w:r>
      <w:r>
        <w:rPr>
          <w:rFonts w:ascii="Arial" w:cs="Arial" w:eastAsia="Arial" w:hAnsi="Arial"/>
          <w:sz w:val="18"/>
          <w:szCs w:val="18"/>
          <w:color w:val="auto"/>
        </w:rPr>
        <w:t>” means the fifth anniversary of the Original Closing Date as such date may be renewed or otherwise extended pursuant to Section 4.7 of the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F.R.S. 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w:t>
      </w:r>
      <w:r>
        <w:rPr>
          <w:rFonts w:ascii="Arial" w:cs="Arial" w:eastAsia="Arial" w:hAnsi="Arial"/>
          <w:sz w:val="18"/>
          <w:szCs w:val="18"/>
          <w:color w:val="auto"/>
        </w:rPr>
        <w:t>” means the office, laboratory and research and development campus commonly known as “Landmark at Eastview” installed on the Site, including all buildings, structures, fixtures, Equipment and other improvements of every kind related thereto existing at any time and from time to time (including those purchased with amounts advanced by the Participants pursuant to the Participation Agreement) on or under the Site, together with any and all easements, rights of way or use, rights of ingress or egress, privileges, benefits, and Appurtenant Rights, including streets, sidewalks, ways, alleys, vaults and strips of land adjoining, abutting, adjacent, appurtenant or contiguous to the Site, all paving, grading, utility pipes, fencing, conduits and lines, signs, retaining walls, lighting, electrical and drainage structures, parking areas and roadways, all Modifications and other additions to or changes in the Facility at any time, but in any such case, excluding any Excluded Property.</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means with respect to the Leased Property or any portion thereof, as of the date of the determination, the amount (which in any event shall not be less than zero) as determined by the Appraiser (or any other independent appraiser chosen by Lessor at the direction of the Administrative Agent and reasonably acceptable to Lessee) that would be paid in an arm’s-length transaction between an informed and willing buyer (other than a buyer currently in possession) and an informed and willing seller, under no compulsion to buy or sell, and neither of which is related to Lessor, Administrative Agent or Lessee or any Affiliate thereof, for the purchase of the Leased Property or such portion thereof, as applicable. Such fair market value shall (a) be calculated assuming that the Leased Property is in the condition and state of repair required to be maintained by the terms of the Lease (unless such fair market value is being determined for purposes evaluating the items described in Section 5.3(d) or Section 13.2 of the Participation Agreement, in which case this assumption shall not be made) and (b) take into account the effect of any sublease of the Leased Property to any Person that is not an Affiliate of Lessee, to the extent such sublease is permitted pursuant to the Lease.</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means Sections 1471 through 1474 of the Code, as of the Original Closing Date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Funds Effective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if such day is not a Business Day and such rate is not so published for such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the next whole multiple of 1/100 of 1%) charged to Bank of America, N.A. on such day on such transactions as determined by the Administrative Agent;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Funds Effective Rate shall be less than zero, such rate shall be deemed to be zero for purposes of the Operative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 Letters</w:t>
      </w:r>
      <w:r>
        <w:rPr>
          <w:rFonts w:ascii="Arial" w:cs="Arial" w:eastAsia="Arial" w:hAnsi="Arial"/>
          <w:sz w:val="18"/>
          <w:szCs w:val="18"/>
          <w:color w:val="auto"/>
        </w:rPr>
        <w:t>” means, collectively, the Arranger Fee Letter and the Administrative Agent Fee Letter, and each a “Fee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Fees</w:t>
      </w:r>
      <w:r>
        <w:rPr>
          <w:rFonts w:ascii="Arial" w:cs="Arial" w:eastAsia="Arial" w:hAnsi="Arial"/>
          <w:sz w:val="18"/>
          <w:szCs w:val="18"/>
          <w:color w:val="auto"/>
        </w:rPr>
        <w:t>” is defined in Section 4.4 of the Participation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Officer</w:t>
      </w:r>
      <w:r>
        <w:rPr>
          <w:rFonts w:ascii="Arial" w:cs="Arial" w:eastAsia="Arial" w:hAnsi="Arial"/>
          <w:sz w:val="18"/>
          <w:szCs w:val="18"/>
          <w:color w:val="auto"/>
        </w:rPr>
        <w:t>” means the chief financial officer, principal accounting officer, treasurer, assistant treasurer, senior vice president-finance or controller (or, if applicable, deputy controller) of the Lessee (or, as the context may require, a Guarantor).</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Financials</w:t>
      </w:r>
      <w:r>
        <w:rPr>
          <w:rFonts w:ascii="Arial" w:cs="Arial" w:eastAsia="Arial" w:hAnsi="Arial"/>
          <w:sz w:val="16"/>
          <w:szCs w:val="16"/>
          <w:color w:val="auto"/>
        </w:rPr>
        <w:t>” means the annual or quarterly financial statements of the Parent Guarantor and its consolidated Subsidiaries required to be delivered pursuant to Section 8(a)(i) or 8(a)(ii) of the Guaranty and accompanying certificates required to be delivered pursuant to Section 8(a)(iii) of the Guaranty.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FIRPTA</w:t>
      </w:r>
      <w:r>
        <w:rPr>
          <w:rFonts w:ascii="Arial" w:cs="Arial" w:eastAsia="Arial" w:hAnsi="Arial"/>
          <w:sz w:val="18"/>
          <w:szCs w:val="18"/>
          <w:color w:val="auto"/>
        </w:rPr>
        <w:t>” means a certification as to the nonforeign status for federal tax withholding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FIRREA</w:t>
      </w:r>
      <w:r>
        <w:rPr>
          <w:rFonts w:ascii="Arial" w:cs="Arial" w:eastAsia="Arial" w:hAnsi="Arial"/>
          <w:sz w:val="16"/>
          <w:szCs w:val="16"/>
          <w:color w:val="auto"/>
        </w:rPr>
        <w:t>” means the Financial Institution Reform, Recovery and Enforcement Act of 1989, as amended, and all regulations promulgated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 Subsidiary that is not a Domestic Subsidiary.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w:t>
      </w:r>
      <w:r>
        <w:rPr>
          <w:rFonts w:ascii="Arial" w:cs="Arial" w:eastAsia="Arial" w:hAnsi="Arial"/>
          <w:sz w:val="18"/>
          <w:szCs w:val="18"/>
          <w:color w:val="auto"/>
        </w:rPr>
        <w:t>” “</w:t>
      </w:r>
      <w:r>
        <w:rPr>
          <w:rFonts w:ascii="Arial" w:cs="Arial" w:eastAsia="Arial" w:hAnsi="Arial"/>
          <w:sz w:val="18"/>
          <w:szCs w:val="18"/>
          <w:i w:val="1"/>
          <w:iCs w:val="1"/>
          <w:color w:val="auto"/>
        </w:rPr>
        <w:t>Funded</w:t>
      </w:r>
      <w:r>
        <w:rPr>
          <w:rFonts w:ascii="Arial" w:cs="Arial" w:eastAsia="Arial" w:hAnsi="Arial"/>
          <w:sz w:val="18"/>
          <w:szCs w:val="18"/>
          <w:color w:val="auto"/>
        </w:rPr>
        <w:t>” or “</w:t>
      </w:r>
      <w:r>
        <w:rPr>
          <w:rFonts w:ascii="Arial" w:cs="Arial" w:eastAsia="Arial" w:hAnsi="Arial"/>
          <w:sz w:val="18"/>
          <w:szCs w:val="18"/>
          <w:i w:val="1"/>
          <w:iCs w:val="1"/>
          <w:color w:val="auto"/>
        </w:rPr>
        <w:t>Funding</w:t>
      </w:r>
      <w:r>
        <w:rPr>
          <w:rFonts w:ascii="Arial" w:cs="Arial" w:eastAsia="Arial" w:hAnsi="Arial"/>
          <w:sz w:val="18"/>
          <w:szCs w:val="18"/>
          <w:color w:val="auto"/>
        </w:rPr>
        <w:t>” means the funding by a Participant of a portion of the principal under its Note or a portion of its Lessor Amount (as the case may be) constituting a portion of the Advance as described in Article III of the Participation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Indemnity Agreement</w:t>
      </w:r>
      <w:r>
        <w:rPr>
          <w:rFonts w:ascii="Arial" w:cs="Arial" w:eastAsia="Arial" w:hAnsi="Arial"/>
          <w:sz w:val="18"/>
          <w:szCs w:val="18"/>
          <w:color w:val="auto"/>
        </w:rPr>
        <w:t>” means the Funding Indemnity Agreement, between Lessee and Administrative Agent, delivered in connection with the Advance.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subject to clause (b) of this Appendix 1 to the Participation Agreement.</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General Indemnitee</w:t>
      </w:r>
      <w:r>
        <w:rPr>
          <w:rFonts w:ascii="Arial" w:cs="Arial" w:eastAsia="Arial" w:hAnsi="Arial"/>
          <w:sz w:val="17"/>
          <w:szCs w:val="17"/>
          <w:color w:val="auto"/>
        </w:rPr>
        <w:t>” or “</w:t>
      </w:r>
      <w:r>
        <w:rPr>
          <w:rFonts w:ascii="Arial" w:cs="Arial" w:eastAsia="Arial" w:hAnsi="Arial"/>
          <w:sz w:val="17"/>
          <w:szCs w:val="17"/>
          <w:i w:val="1"/>
          <w:iCs w:val="1"/>
          <w:color w:val="auto"/>
        </w:rPr>
        <w:t>Tax Indemnitee</w:t>
      </w:r>
      <w:r>
        <w:rPr>
          <w:rFonts w:ascii="Arial" w:cs="Arial" w:eastAsia="Arial" w:hAnsi="Arial"/>
          <w:sz w:val="17"/>
          <w:szCs w:val="17"/>
          <w:color w:val="auto"/>
        </w:rPr>
        <w:t xml:space="preserve">” means each Participant, the Administrative Agent (in its individual capacity and as agent), the Arranger, any additional, separate co-agent appointed in accordance with the terms of the Participation Agreement, and the respective Affiliates, successors, permitted assigns, permitted transferees, contractors, employees, officers, directors, shareholders, partners, participants (including, without limitation, any assignee or transferee permitted by Article XII of the Participation Agreement), representatives and agents of each of the foregoing Persons;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no event shall Lessee or any of its Affiliates be a General Indemnitee or Tax Indemnitee.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Action</w:t>
      </w:r>
      <w:r>
        <w:rPr>
          <w:rFonts w:ascii="Arial" w:cs="Arial" w:eastAsia="Arial" w:hAnsi="Arial"/>
          <w:sz w:val="18"/>
          <w:szCs w:val="18"/>
          <w:color w:val="auto"/>
        </w:rPr>
        <w:t>” means all permits, authorizations, registrations, consents, approvals, waivers, exceptions, variances, orders, judgments, written interpretations, decrees,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0" w:name="page101"/>
    <w:bookmarkEnd w:id="100"/>
    <w:p>
      <w:pPr>
        <w:jc w:val="both"/>
        <w:spacing w:after="0" w:line="276" w:lineRule="auto"/>
        <w:rPr>
          <w:sz w:val="20"/>
          <w:szCs w:val="20"/>
          <w:color w:val="auto"/>
        </w:rPr>
      </w:pPr>
      <w:r>
        <w:rPr>
          <w:rFonts w:ascii="Arial" w:cs="Arial" w:eastAsia="Arial" w:hAnsi="Arial"/>
          <w:sz w:val="17"/>
          <w:szCs w:val="17"/>
          <w:color w:val="auto"/>
        </w:rPr>
        <w:t>licenses, exemptions, publications, filings, comfort letters (to the extent any are in effect at the applicable time with respect to the applicable Person or property), no further action letters (to the extent any are in effect at the applicable time with respect to the applicable Person or property), environmental deed restrictions (to the extent any are in effect at the applicable time with respect to the applicable Person or property), notices to and declarations of or with, or required by, any Governmental Authority, or required by any Applicable Laws, and shall include, without limitation, all environmental and operating permits and licenses that are required for the ownership, occupancy, full use and operation of the Leased Property.</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federal, any state or other political subdivision thereof or any other entity exercising executive, legislative, judicial, regulatory or administrative functions of or pertaining to government.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Gross Proceeds</w:t>
      </w:r>
      <w:r>
        <w:rPr>
          <w:rFonts w:ascii="Arial" w:cs="Arial" w:eastAsia="Arial" w:hAnsi="Arial"/>
          <w:sz w:val="18"/>
          <w:szCs w:val="18"/>
          <w:color w:val="auto"/>
        </w:rPr>
        <w:t>” is defined in Section 20.1(l)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Grossed-Up Basis</w:t>
      </w:r>
      <w:r>
        <w:rPr>
          <w:rFonts w:ascii="Arial" w:cs="Arial" w:eastAsia="Arial" w:hAnsi="Arial"/>
          <w:sz w:val="18"/>
          <w:szCs w:val="18"/>
          <w:color w:val="auto"/>
        </w:rPr>
        <w:t>” is defined in Section 13.4(c)(ii) of the Participation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of or by any Person (the “</w:t>
      </w:r>
      <w:r>
        <w:rPr>
          <w:rFonts w:ascii="Arial" w:cs="Arial" w:eastAsia="Arial" w:hAnsi="Arial"/>
          <w:sz w:val="16"/>
          <w:szCs w:val="16"/>
          <w:i w:val="1"/>
          <w:iCs w:val="1"/>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by a bank or other financial institution to support such Indebtedness or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Parent Guarantor or Lessee in good faith.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individually and collectively, the Parent Guarantor and the Subsidiary Guarantors.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Guaranty</w:t>
      </w:r>
      <w:r>
        <w:rPr>
          <w:rFonts w:ascii="Arial" w:cs="Arial" w:eastAsia="Arial" w:hAnsi="Arial"/>
          <w:sz w:val="18"/>
          <w:szCs w:val="18"/>
          <w:color w:val="auto"/>
        </w:rPr>
        <w:t>” means that certain Guaranty, dated as of the Original Closing Date, as amended and restated by that certain Amended and Restated Guaranty substantially in the form of Exhibit D to the Participation Agreement, dated as of the Restatement Date, executed by the Parent Guarantor and each Subsidiary Guarantor party thereto from time to time and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1" w:name="page102"/>
    <w:bookmarkEnd w:id="101"/>
    <w:p>
      <w:pPr>
        <w:jc w:val="both"/>
        <w:spacing w:after="0" w:line="277" w:lineRule="auto"/>
        <w:rPr>
          <w:sz w:val="20"/>
          <w:szCs w:val="20"/>
          <w:color w:val="auto"/>
        </w:rPr>
      </w:pPr>
      <w:r>
        <w:rPr>
          <w:rFonts w:ascii="Arial" w:cs="Arial" w:eastAsia="Arial" w:hAnsi="Arial"/>
          <w:sz w:val="18"/>
          <w:szCs w:val="18"/>
          <w:color w:val="auto"/>
        </w:rPr>
        <w:t>Person required pursuant to Article VI of the Lease in connection with an Affiliate Transferee, including any and all supplements to the foregoing, as the foregoing may be further amended, restated, supplemented or otherwise modified from time to time.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Substance</w:t>
      </w:r>
      <w:r>
        <w:rPr>
          <w:rFonts w:ascii="Arial" w:cs="Arial" w:eastAsia="Arial" w:hAnsi="Arial"/>
          <w:sz w:val="18"/>
          <w:szCs w:val="18"/>
          <w:color w:val="auto"/>
        </w:rPr>
        <w:t>” means any substance, waste or material that (i) is toxic, explosive, corrosive, flammable, infectious, radioactive, carcinogenic, mutagenic or otherwise hazardous by listing characteristic or definition under any Environmental Law including asbestos, polychlorinated biphenyls, radon gas, petroleum, crude oil or any fraction thereof, petroleum derivatives, by products and other hydrocarbons or (ii) that is or becomes otherwise regulated pursuant to any Environmental Law.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Highest Lawful Rate</w:t>
      </w:r>
      <w:r>
        <w:rPr>
          <w:rFonts w:ascii="Arial" w:cs="Arial" w:eastAsia="Arial" w:hAnsi="Arial"/>
          <w:sz w:val="18"/>
          <w:szCs w:val="18"/>
          <w:color w:val="auto"/>
        </w:rPr>
        <w:t>” is defined in Section 4.6(b) of the Participation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Depot Ground Lease</w:t>
      </w:r>
      <w:r>
        <w:rPr>
          <w:rFonts w:ascii="Arial" w:cs="Arial" w:eastAsia="Arial" w:hAnsi="Arial"/>
          <w:sz w:val="18"/>
          <w:szCs w:val="18"/>
          <w:color w:val="auto"/>
        </w:rPr>
        <w:t>” means that certain Ground Lease, dated September 7, 2006, by and between Eastview Holdings LLC and Home Depot U.S.A., Inc., as the same may be amended, restated, modified, supplemented, extended or replaced.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IFRS</w:t>
      </w:r>
      <w:r>
        <w:rPr>
          <w:rFonts w:ascii="Arial" w:cs="Arial" w:eastAsia="Arial" w:hAnsi="Arial"/>
          <w:sz w:val="18"/>
          <w:szCs w:val="18"/>
          <w:color w:val="auto"/>
        </w:rPr>
        <w:t>” means the International Financial Reporting Standards and applicable accounting requirements (as issued by the International Accounting Standards Board and the International Financial Reporting Standards Interpretations Committee and/or adopted by the European Union) or other generally accepted accounting principles applicable to a Person in a particular country.</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Impositions</w:t>
      </w:r>
      <w:r>
        <w:rPr>
          <w:rFonts w:ascii="Arial" w:cs="Arial" w:eastAsia="Arial" w:hAnsi="Arial"/>
          <w:sz w:val="16"/>
          <w:szCs w:val="16"/>
          <w:color w:val="auto"/>
        </w:rPr>
        <w:t>” means any and all liabilities, losses, expenses and costs of any kind whatsoever for fees, taxes, levies, imposts, duties, charges, assessments or withholdings of any nature whatsoever imposed by a Governmental Authority (“</w:t>
      </w:r>
      <w:r>
        <w:rPr>
          <w:rFonts w:ascii="Arial" w:cs="Arial" w:eastAsia="Arial" w:hAnsi="Arial"/>
          <w:sz w:val="16"/>
          <w:szCs w:val="16"/>
          <w:i w:val="1"/>
          <w:iCs w:val="1"/>
          <w:color w:val="auto"/>
        </w:rPr>
        <w:t>Taxes</w:t>
      </w:r>
      <w:r>
        <w:rPr>
          <w:rFonts w:ascii="Arial" w:cs="Arial" w:eastAsia="Arial" w:hAnsi="Arial"/>
          <w:sz w:val="16"/>
          <w:szCs w:val="16"/>
          <w:color w:val="auto"/>
        </w:rPr>
        <w:t>”) (including (i) real property taxes and personal property taxes on any property covered by the Lease that is classified by Governmental Authorities as personal property, and real estate or ad valorem taxes in the nature of property taxes; (ii) sales taxes, use taxes and other similar taxes (including rent taxes and intangibles taxes); (iii) any excise taxes; (iv) real estate transfer taxes, conveyance taxes, mortgage taxes, intangible taxes, stamp taxes and documentary recording taxes and fees; (v) taxes that are or are in the nature of franchise, income, value added, gross receipts, privilege and doing business taxes, license and registration fees; and (vi) assessments on the Site or Facility, including all assessments for public improvements or benefits, whether or not such improvements are commenced or completed within the Term), and in each case all interest, additions to tax and penalties thereon, which at any time may be levied, assessed or imposed by any Federal, state or local authority upon or with respect to (a) any Tax Indemnitee, the Leased Property or any part thereof or interest therein, or the Lessee or any sublessee or user of the Leased Property; (b) the financing, refinancing, demolition, construction, substitution, subleasing, assignment, control, condition, servicing, maintenance, repair, ownership, possession, purchase, rental, lease, activity conducted on, delivery, insuring, use,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2" w:name="page103"/>
    <w:bookmarkEnd w:id="102"/>
    <w:p>
      <w:pPr>
        <w:jc w:val="both"/>
        <w:spacing w:after="0" w:line="273" w:lineRule="auto"/>
        <w:rPr>
          <w:sz w:val="20"/>
          <w:szCs w:val="20"/>
          <w:color w:val="auto"/>
        </w:rPr>
      </w:pPr>
      <w:r>
        <w:rPr>
          <w:rFonts w:ascii="Arial" w:cs="Arial" w:eastAsia="Arial" w:hAnsi="Arial"/>
          <w:sz w:val="17"/>
          <w:szCs w:val="17"/>
          <w:color w:val="auto"/>
        </w:rPr>
        <w:t>improvement, transfer, return or other disposition of the Leased Property or any part thereof or interest therein; (c) the Notes, Lessor Amount, or other indebtedness with respect to the Leased Property or any part thereof or interest therein or transfer thereof; (d) the rentals, receipts or earnings arising from the Leased Property or any part thereof or interest therein; (e) the Operative Documents or any payment made or accrued pursuant thereto; (f) the income or other proceeds received with respect to the Leased Property or any part thereof or interest therein upon the sale or disposition thereof; (g) any contract relating to the construction, acquisition or delivery of the Facility or any part thereof or interest therein; (h) the issuance of the Notes, (i) any transaction contemplated by Section 10.1(f) of the Participation Agreement; or (j) otherwise in connection with the Overall Transaction.</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Notwithstanding anything in the first paragraph of this definition (except as provided in the final paragraph of this definition) the term “Impositions” shall not mean or include:</w:t>
      </w:r>
    </w:p>
    <w:p>
      <w:pPr>
        <w:spacing w:after="0" w:line="170" w:lineRule="exact"/>
        <w:rPr>
          <w:sz w:val="20"/>
          <w:szCs w:val="20"/>
          <w:color w:val="auto"/>
        </w:rPr>
      </w:pPr>
    </w:p>
    <w:p>
      <w:pPr>
        <w:jc w:val="both"/>
        <w:ind w:left="660" w:firstLine="645"/>
        <w:spacing w:after="0" w:line="271" w:lineRule="auto"/>
        <w:tabs>
          <w:tab w:leader="none" w:pos="1529"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Taxes and impositions imposed upon a Tax Indemnitee (other than Taxes that are, or are in the nature of, sales, use, value added, rental, transfer, property or ad valorem taxes with respect to the Leased Property or any sublease or other transfer thereof) that are imposed by any Governmental Authority and that are based upon or measured by the overall gross or net income or overall gross or net receipts (including, without limitation, any minimum taxes, income or capital gains taxes, or taxes on, measured by, with respect to, or in the nature of capital, net worth, excess profits, items of tax preference, capital stock, franchise, business privilege or doing business taxes or any taxes in the nature of an intangibles tax, an ad valorem tax or property tax imposed on a Participant, Sub-Participant, or any holder of a Note or Lessor Amount by reason of owning or holding a Note or Lessor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(i) shall not be interpreted to prevent a payment from being made on an After Tax Basis if such payment is otherwise required to be so made;</w:t>
      </w:r>
    </w:p>
    <w:p>
      <w:pPr>
        <w:spacing w:after="0" w:line="178" w:lineRule="exact"/>
        <w:rPr>
          <w:rFonts w:ascii="Arial" w:cs="Arial" w:eastAsia="Arial" w:hAnsi="Arial"/>
          <w:sz w:val="17"/>
          <w:szCs w:val="17"/>
          <w:color w:val="auto"/>
        </w:rPr>
      </w:pPr>
    </w:p>
    <w:p>
      <w:pPr>
        <w:jc w:val="both"/>
        <w:ind w:left="660" w:firstLine="645"/>
        <w:spacing w:after="0" w:line="264" w:lineRule="auto"/>
        <w:tabs>
          <w:tab w:leader="none" w:pos="15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Tax or imposition to the extent, but only to such extent, it relates to any act, event or omission that occurs, or relates to a period, after the termination of the Lease (but not any Tax or imposition that relates to any period prior to the termination of the Lease with respect to the Leased Property to which such Tax or Imposition relates;</w:t>
      </w:r>
    </w:p>
    <w:p>
      <w:pPr>
        <w:spacing w:after="0" w:line="181" w:lineRule="exact"/>
        <w:rPr>
          <w:rFonts w:ascii="Arial" w:cs="Arial" w:eastAsia="Arial" w:hAnsi="Arial"/>
          <w:sz w:val="18"/>
          <w:szCs w:val="18"/>
          <w:color w:val="auto"/>
        </w:rPr>
      </w:pPr>
    </w:p>
    <w:p>
      <w:pPr>
        <w:jc w:val="both"/>
        <w:ind w:left="660" w:firstLine="645"/>
        <w:spacing w:after="0" w:line="302" w:lineRule="auto"/>
        <w:tabs>
          <w:tab w:leader="none" w:pos="1629"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any Tax or imposition for so long as, but only for so long as, it is being contested in accordance with the provisions of Section 13.4(b) of the Participation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limit the Lessee’s obligation under Section 13.4(b) of the Participation Agreement to advance to such Tax Indemnitee amounts with respect to Taxes or impositions that are being contested in accordance with Section 13.4(b) of the Participation Agreement or any expenses incurred by such Tax Indemnitee in connection with such contest;</w:t>
      </w:r>
    </w:p>
    <w:p>
      <w:pPr>
        <w:spacing w:after="0" w:line="154" w:lineRule="exact"/>
        <w:rPr>
          <w:rFonts w:ascii="Arial" w:cs="Arial" w:eastAsia="Arial" w:hAnsi="Arial"/>
          <w:sz w:val="16"/>
          <w:szCs w:val="16"/>
          <w:color w:val="auto"/>
        </w:rPr>
      </w:pPr>
    </w:p>
    <w:p>
      <w:pPr>
        <w:jc w:val="both"/>
        <w:ind w:left="660" w:firstLine="645"/>
        <w:spacing w:after="0" w:line="312" w:lineRule="auto"/>
        <w:tabs>
          <w:tab w:leader="none" w:pos="1621"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Taxes or impositions imposed upon a Tax Indemnitee with respect to any transfer, sale, financing or other disposition by such Tax Indemnitee of any interest in the Leased Property or any part thereof, or any interest therein or any interest or obligation under the Operative Documents or any Note or Lessor Amount, or from any sale, assignment, transfer or other disposition of any interest in a Tax Indemnitee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3" w:name="page104"/>
    <w:bookmarkEnd w:id="103"/>
    <w:p>
      <w:pPr>
        <w:jc w:val="both"/>
        <w:spacing w:after="0" w:line="259" w:lineRule="auto"/>
        <w:rPr>
          <w:sz w:val="20"/>
          <w:szCs w:val="20"/>
          <w:color w:val="auto"/>
        </w:rPr>
      </w:pPr>
      <w:r>
        <w:rPr>
          <w:rFonts w:ascii="Arial" w:cs="Arial" w:eastAsia="Arial" w:hAnsi="Arial"/>
          <w:sz w:val="18"/>
          <w:szCs w:val="18"/>
          <w:color w:val="auto"/>
        </w:rPr>
        <w:t>Affiliate thereof, (other than any transfer in connection with (1) the exercise by the Lessee of its Early Termination Option or any termination option or other purchase of the Leased Property by the Lessee (including the Purchase Option) or the exercise by Lessee of the Sale Option, (2) the occurrence of an Event of Default, (3) a Casualty or Condemnation affecting the Leased Property or (4) any assignment, sublease, modification or addition of or to the Leased Property by the Lessee);</w:t>
      </w:r>
    </w:p>
    <w:p>
      <w:pPr>
        <w:spacing w:after="0" w:line="187" w:lineRule="exact"/>
        <w:rPr>
          <w:sz w:val="20"/>
          <w:szCs w:val="20"/>
          <w:color w:val="auto"/>
        </w:rPr>
      </w:pPr>
    </w:p>
    <w:p>
      <w:pPr>
        <w:jc w:val="both"/>
        <w:ind w:firstLine="645"/>
        <w:spacing w:after="0" w:line="312" w:lineRule="auto"/>
        <w:tabs>
          <w:tab w:leader="none" w:pos="907"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Taxes or impositions imposed on a Tax Indemnitee to the extent such Tax Indemnitee or its Affiliate actually receives the benefit of a credit (or otherwise has a reduction in a liability for Taxes) in respect thereof against Taxes that are not indemnified under the Participation Agreement (but only to the extent such credit is not taken into account in calculating the indemnity payment on an After Tax Basis);</w:t>
      </w:r>
    </w:p>
    <w:p>
      <w:pPr>
        <w:spacing w:after="0" w:line="146" w:lineRule="exact"/>
        <w:rPr>
          <w:rFonts w:ascii="Arial" w:cs="Arial" w:eastAsia="Arial" w:hAnsi="Arial"/>
          <w:sz w:val="16"/>
          <w:szCs w:val="16"/>
          <w:color w:val="auto"/>
        </w:rPr>
      </w:pPr>
    </w:p>
    <w:p>
      <w:pPr>
        <w:ind w:firstLine="645"/>
        <w:spacing w:after="0" w:line="277" w:lineRule="auto"/>
        <w:tabs>
          <w:tab w:leader="none" w:pos="95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Taxes or impositions imposed against or payable by a Tax Indemnitee resulting from, or that would not have been imposed but for, the gross negligence or willful misconduct of such Tax Indemnitee or its Affiliates;</w:t>
      </w:r>
    </w:p>
    <w:p>
      <w:pPr>
        <w:spacing w:after="0" w:line="170" w:lineRule="exact"/>
        <w:rPr>
          <w:rFonts w:ascii="Arial" w:cs="Arial" w:eastAsia="Arial" w:hAnsi="Arial"/>
          <w:sz w:val="18"/>
          <w:szCs w:val="18"/>
          <w:color w:val="auto"/>
        </w:rPr>
      </w:pPr>
    </w:p>
    <w:p>
      <w:pPr>
        <w:jc w:val="both"/>
        <w:ind w:firstLine="645"/>
        <w:spacing w:after="0" w:line="312" w:lineRule="auto"/>
        <w:tabs>
          <w:tab w:leader="none" w:pos="1004" w:val="left"/>
        </w:tabs>
        <w:numPr>
          <w:ilvl w:val="0"/>
          <w:numId w:val="91"/>
        </w:numPr>
        <w:rPr>
          <w:rFonts w:ascii="Arial" w:cs="Arial" w:eastAsia="Arial" w:hAnsi="Arial"/>
          <w:sz w:val="16"/>
          <w:szCs w:val="16"/>
          <w:color w:val="auto"/>
        </w:rPr>
      </w:pPr>
      <w:r>
        <w:rPr>
          <w:rFonts w:ascii="Arial" w:cs="Arial" w:eastAsia="Arial" w:hAnsi="Arial"/>
          <w:sz w:val="16"/>
          <w:szCs w:val="16"/>
          <w:color w:val="auto"/>
        </w:rPr>
        <w:t>Taxes or impositions imposed on or payable by a Tax Indemnitee to the extent such Taxes or impositions would not have been imposed but for a breach by the Tax Indemnitee or any Affiliate thereof of any representations, warranties or covenants set forth in the Operative Documents (unless such breach is caused by the Lessee’s breach of its representations, warranties or covenants set forth in the Operative Documents);</w:t>
      </w:r>
    </w:p>
    <w:p>
      <w:pPr>
        <w:spacing w:after="0" w:line="146" w:lineRule="exact"/>
        <w:rPr>
          <w:rFonts w:ascii="Arial" w:cs="Arial" w:eastAsia="Arial" w:hAnsi="Arial"/>
          <w:sz w:val="16"/>
          <w:szCs w:val="16"/>
          <w:color w:val="auto"/>
        </w:rPr>
      </w:pPr>
    </w:p>
    <w:p>
      <w:pPr>
        <w:jc w:val="both"/>
        <w:ind w:firstLine="645"/>
        <w:spacing w:after="0" w:line="264" w:lineRule="auto"/>
        <w:tabs>
          <w:tab w:leader="none" w:pos="105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Taxes or impositions to the extent resulting from such Tax Indemnitee’s failure to comply with the provisions of Section 13.4(b) of the Participation Agreement, which failure precludes the ability to conduct a contest pursuant to Section 13.4(b) of the Participation Agreement (unless such failure is caused by the Lessee’s breach of its obligations under the Operative Documents); and</w:t>
      </w:r>
    </w:p>
    <w:p>
      <w:pPr>
        <w:spacing w:after="0" w:line="181" w:lineRule="exact"/>
        <w:rPr>
          <w:rFonts w:ascii="Arial" w:cs="Arial" w:eastAsia="Arial" w:hAnsi="Arial"/>
          <w:sz w:val="18"/>
          <w:szCs w:val="18"/>
          <w:color w:val="auto"/>
        </w:rPr>
      </w:pPr>
    </w:p>
    <w:p>
      <w:pPr>
        <w:ind w:firstLine="645"/>
        <w:spacing w:after="0" w:line="277" w:lineRule="auto"/>
        <w:tabs>
          <w:tab w:leader="none" w:pos="96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Taxes or impositions imposed on or with respect to or payable as a result of activities of a Tax Indemnitee or its Affiliate unrelated to the Overall Transaction.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the foregoing, the exclusions from the definition of “Impositions” set forth in clauses (i), (ii), (iv) and (ix) shall not apply (but the other exclusions shall apply) to any Taxes or any increase in Taxes imposed on a Tax Indemnitee net of any decrease in Taxes realized by such Tax Indemnitee, to the extent that such Tax increase or decrease would not have occurred if on the Original Closing Date the Participants had advanced funds to the Lessee in the form of a loan secured by the Leased Property in an amount equal to the Participant Costs funded on the Original Closing Date, with debt service for such loan equal to the Basic Rent payable on each Payment Date and a principal balance at the maturity of such loan in an amount equal to the then outstanding Loans and Lessor Amount at the end of the Term of the Lease.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Improvement</w:t>
      </w:r>
      <w:r>
        <w:rPr>
          <w:rFonts w:ascii="Arial" w:cs="Arial" w:eastAsia="Arial" w:hAnsi="Arial"/>
          <w:sz w:val="18"/>
          <w:szCs w:val="18"/>
          <w:color w:val="auto"/>
        </w:rPr>
        <w:t>” is defined in Section 10.2(b)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169545</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9" w:right="239" w:bottom="1440" w:gutter="0" w:footer="0" w:header="0"/>
        </w:sectPr>
      </w:pPr>
    </w:p>
    <w:bookmarkStart w:id="104" w:name="page105"/>
    <w:bookmarkEnd w:id="104"/>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xml:space="preserve">” of any Person means, without duplication, (a) all obligations of such Person for borrowed money, (b) the principal amount of all obligations of such Person evidenced by bonds, debentures, notes or similar instruments, (c) all obligations of such Person under conditional sale or other title retention agreements relating to property acquired by such Person (excluding trade accounts payable incurred in the ordinary course of business), (d) all obligations of such Person in respect of the deferred purchase price of property or services (excluding current accounts payable incurred in the ordinary course of business), (e) all Indebtedness of others secured by (or for which the holder of such Indebtedness has an existing unconditional right to be secured by) any Lien on property owned or acquired by such Person, whether or not the Indebtedness secured thereby has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Person has not assumed or otherwise become liable in respect of such Indebtedness, such obligations shall be deemed to be in an amount equal to the lesser of (i) the amount of such Indebtedness and (ii) fair market value of such property at the time of determination (in the Parent Guarantor’s or Lessee’s good faith estimate), (f) all Guarantees by such Person of Indebtedness of others, (g) all Capital Lease Obligations of such Person, (h) all obligations, contingent or otherwise, of such Person as an account party in respect of letters of credit and letters of guaranty issued by banks or other financial institutions, (i) all obligations, contingent or otherwise, of such Person in respect of bankers’ acceptances and (j) all obligations of such Person under Sale and Leaseback Transactions. The Indebtedness of any Person shall include the Indebtedness of any other entity (including any partnership in which such Person is a general partner) to the extent such Person is liable therefor by operation of law as a result of such Person’s ownership interest in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 (x) such specified amount and (y) the fair market value of such identified asset as determined by such Person in good faith. Notwithstanding anything to the contrary in this definition, the term “Indebtedness” shall not include (i) deferred or prepaid revenue, (ii) purchase price holdbacks to satisfy warranty or other unperformed obligations of a seller, (iii) obligations arising under any Swap Agreement, (iv) contingent or deferred payment obligations (including, without limitation, any purchase price adjustments, indemnification obligations, reimbursement obligations, funding or investment commitments, or earnout, non-compete, consulting, royalty, milestone, option, development or other incentive payment obligations) with respect to (A) any Collaboration Arrangement or (B) any Acquisition, disposition, other acquisition of assets or other business combination, (v) obligations arising under any Permitted Call Spread Swap Agreement,</w:t>
      </w:r>
    </w:p>
    <w:p>
      <w:pPr>
        <w:spacing w:after="0" w:line="12" w:lineRule="exact"/>
        <w:rPr>
          <w:sz w:val="20"/>
          <w:szCs w:val="20"/>
          <w:color w:val="auto"/>
        </w:rPr>
      </w:pPr>
    </w:p>
    <w:p>
      <w:pPr>
        <w:ind w:right="20" w:firstLine="8"/>
        <w:spacing w:after="0" w:line="261" w:lineRule="auto"/>
        <w:tabs>
          <w:tab w:leader="none" w:pos="3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obligations of such Person arising under any Tax Abatement Transaction, (vii) the Obligations and Liabilities, and (viii) all obligations of such Person under or relating to any Operating Lease.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Indemnitee</w:t>
      </w:r>
      <w:r>
        <w:rPr>
          <w:rFonts w:ascii="Arial" w:cs="Arial" w:eastAsia="Arial" w:hAnsi="Arial"/>
          <w:sz w:val="18"/>
          <w:szCs w:val="18"/>
          <w:color w:val="auto"/>
        </w:rPr>
        <w:t>” means any of Lessor, a Participant Indemnitee, a General Indemnitee or a Tax Indemnitee, as applicable.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Index Debt</w:t>
      </w:r>
      <w:r>
        <w:rPr>
          <w:rFonts w:ascii="Arial" w:cs="Arial" w:eastAsia="Arial" w:hAnsi="Arial"/>
          <w:sz w:val="18"/>
          <w:szCs w:val="18"/>
          <w:color w:val="auto"/>
        </w:rPr>
        <w:t>” means senior, unsecured, long-term indebtedness for borrowed money of the Parent Guarantor that is not guaranteed by any other person or entity or subject to any other credit enhancement.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w:t>
      </w:r>
      <w:r>
        <w:rPr>
          <w:rFonts w:ascii="Arial" w:cs="Arial" w:eastAsia="Arial" w:hAnsi="Arial"/>
          <w:sz w:val="18"/>
          <w:szCs w:val="18"/>
          <w:color w:val="auto"/>
        </w:rPr>
        <w:t>” is defined in Section 15.14 of the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5" w:name="page106"/>
    <w:bookmarkEnd w:id="105"/>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 Memorandum</w:t>
      </w:r>
      <w:r>
        <w:rPr>
          <w:rFonts w:ascii="Arial" w:cs="Arial" w:eastAsia="Arial" w:hAnsi="Arial"/>
          <w:sz w:val="18"/>
          <w:szCs w:val="18"/>
          <w:color w:val="auto"/>
        </w:rPr>
        <w:t>” means that certain Confidential Information Memorandum, dated December 2016, relating to the Parent Guarantor and a lease financing of the Site, as amended and otherwise supplemented on January 27, 2017, and as may be further amended, supplemented or otherwise modified in writing prior to the Original Closing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Insolvency Event</w:t>
      </w:r>
      <w:r>
        <w:rPr>
          <w:rFonts w:ascii="Arial" w:cs="Arial" w:eastAsia="Arial" w:hAnsi="Arial"/>
          <w:sz w:val="16"/>
          <w:szCs w:val="16"/>
          <w:color w:val="auto"/>
        </w:rPr>
        <w:t>” means any Event of Default described in Section 16.1(h) or (i) of the Lease with respect to the Lessee or the Parent Guarantor.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Inspecting Parties</w:t>
      </w:r>
      <w:r>
        <w:rPr>
          <w:rFonts w:ascii="Arial" w:cs="Arial" w:eastAsia="Arial" w:hAnsi="Arial"/>
          <w:sz w:val="18"/>
          <w:szCs w:val="18"/>
          <w:color w:val="auto"/>
        </w:rPr>
        <w:t>” is defined in Section 4.2(a)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Consultant</w:t>
      </w:r>
      <w:r>
        <w:rPr>
          <w:rFonts w:ascii="Arial" w:cs="Arial" w:eastAsia="Arial" w:hAnsi="Arial"/>
          <w:sz w:val="18"/>
          <w:szCs w:val="18"/>
          <w:color w:val="auto"/>
        </w:rPr>
        <w:t>” means A.J. Gallagher &amp; Co. or any successor named by Lessor.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Requirements</w:t>
      </w:r>
      <w:r>
        <w:rPr>
          <w:rFonts w:ascii="Arial" w:cs="Arial" w:eastAsia="Arial" w:hAnsi="Arial"/>
          <w:sz w:val="18"/>
          <w:szCs w:val="18"/>
          <w:color w:val="auto"/>
        </w:rPr>
        <w:t>” means all terms and conditions of any insurance policy required by Section 13.1 and Section 13.2 of the Lease to be maintained by the Lessee.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means the interest accruing on the Loans as computed and payable in accordance with the terms of the Loan Agreement (including, without limitation, in accordance with Section 2.5 of the Loan Agreement).</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Period</w:t>
      </w:r>
      <w:r>
        <w:rPr>
          <w:rFonts w:ascii="Arial" w:cs="Arial" w:eastAsia="Arial" w:hAnsi="Arial"/>
          <w:sz w:val="16"/>
          <w:szCs w:val="16"/>
          <w:color w:val="auto"/>
        </w:rPr>
        <w:t>” means the period commencing on (and including) the Original Closing Date and ending on (but excluding) the next succeeding Payment Date, and thereafter each period commencing on (and including) a Payment Date and ending on (but excluding) the next succeeding Payment Date.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Rate</w:t>
      </w:r>
      <w:r>
        <w:rPr>
          <w:rFonts w:ascii="Arial" w:cs="Arial" w:eastAsia="Arial" w:hAnsi="Arial"/>
          <w:sz w:val="18"/>
          <w:szCs w:val="18"/>
          <w:color w:val="auto"/>
        </w:rPr>
        <w:t>” means with respect to each Loan the interest rate calculated pursuant to Section 2.5(a) of the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w:t>
      </w:r>
      <w:r>
        <w:rPr>
          <w:rFonts w:ascii="Arial" w:cs="Arial" w:eastAsia="Arial" w:hAnsi="Arial"/>
          <w:sz w:val="18"/>
          <w:szCs w:val="18"/>
          <w:color w:val="auto"/>
        </w:rPr>
        <w:t>” means the Lease and Remedies Agreement, dated as of the Original Closing Date, as amended and restated by that certain Amended and Restated Lease and Remedies Agreement, dated as of the Restatement Date, between the Lessor and the Lessee, as amended, restated, supplemented or modified from time to time.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 Balance</w:t>
      </w:r>
      <w:r>
        <w:rPr>
          <w:rFonts w:ascii="Arial" w:cs="Arial" w:eastAsia="Arial" w:hAnsi="Arial"/>
          <w:sz w:val="18"/>
          <w:szCs w:val="18"/>
          <w:color w:val="auto"/>
        </w:rPr>
        <w:t>” means, as of any date of determination, an amount equal to the sum, without duplication, of the Loan Balance with respect to each Lender and the Lessor Balance.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 Renewal</w:t>
      </w:r>
      <w:r>
        <w:rPr>
          <w:rFonts w:ascii="Arial" w:cs="Arial" w:eastAsia="Arial" w:hAnsi="Arial"/>
          <w:sz w:val="18"/>
          <w:szCs w:val="18"/>
          <w:color w:val="auto"/>
        </w:rPr>
        <w:t>” is defined at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 Renewal Term</w:t>
      </w:r>
      <w:r>
        <w:rPr>
          <w:rFonts w:ascii="Arial" w:cs="Arial" w:eastAsia="Arial" w:hAnsi="Arial"/>
          <w:sz w:val="18"/>
          <w:szCs w:val="18"/>
          <w:color w:val="auto"/>
        </w:rPr>
        <w:t>” is defined at Section 4.7(a) of the Participation Agreement.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Leased Property</w:t>
      </w:r>
      <w:r>
        <w:rPr>
          <w:rFonts w:ascii="Arial" w:cs="Arial" w:eastAsia="Arial" w:hAnsi="Arial"/>
          <w:sz w:val="17"/>
          <w:szCs w:val="17"/>
          <w:color w:val="auto"/>
        </w:rPr>
        <w:t>” means, collectively, (a) the Facility, (b) the Site, and (c) all other rights relating to the Site and/or the Facility conveyed to Lessor pursuant to that certain Bill of Sale from the Sellers dated as of March 3, 2017, but, in any such case, excluding Excluded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6" w:name="page107"/>
    <w:bookmarkEnd w:id="10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Leased Property Records</w:t>
      </w:r>
      <w:r>
        <w:rPr>
          <w:rFonts w:ascii="Arial" w:cs="Arial" w:eastAsia="Arial" w:hAnsi="Arial"/>
          <w:sz w:val="18"/>
          <w:szCs w:val="18"/>
          <w:color w:val="auto"/>
        </w:rPr>
        <w:t>” means those maintenance and other records relating to the maintenance and operation of the Leased Property in the possession of Lessee.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w:t>
      </w:r>
      <w:r>
        <w:rPr>
          <w:rFonts w:ascii="Arial" w:cs="Arial" w:eastAsia="Arial" w:hAnsi="Arial"/>
          <w:sz w:val="18"/>
          <w:szCs w:val="18"/>
          <w:color w:val="auto"/>
        </w:rPr>
        <w:t>” means, collectively, each of the financial institutions party to the Participation Agreement from time to time as a Lender and any other Person that shall have become a Lender under the Loan Agreement and Participation Agreement pursuant to an Assignment Agreement or other documentation contemplated thereby, other than any such Person that ceases to be a party to the Loan Agreement and the Participation Agreement pursuant to an Assignment Agreement or as otherwise contemplated thereby.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 Policy</w:t>
      </w:r>
      <w:r>
        <w:rPr>
          <w:rFonts w:ascii="Arial" w:cs="Arial" w:eastAsia="Arial" w:hAnsi="Arial"/>
          <w:sz w:val="18"/>
          <w:szCs w:val="18"/>
          <w:color w:val="auto"/>
        </w:rPr>
        <w:t xml:space="preserve"> ” is defined in Section 6.1(x) of the Participation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Lessee</w:t>
      </w:r>
      <w:r>
        <w:rPr>
          <w:rFonts w:ascii="Arial" w:cs="Arial" w:eastAsia="Arial" w:hAnsi="Arial"/>
          <w:sz w:val="18"/>
          <w:szCs w:val="18"/>
          <w:color w:val="auto"/>
        </w:rPr>
        <w:t>” means Old Saw Mill Holdings LLC, a New York limited liability company, together with its successors and permitted assigns, in its capacity as Lessee under the Lease.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Lessee Property</w:t>
      </w:r>
      <w:r>
        <w:rPr>
          <w:rFonts w:ascii="Arial" w:cs="Arial" w:eastAsia="Arial" w:hAnsi="Arial"/>
          <w:sz w:val="18"/>
          <w:szCs w:val="18"/>
          <w:color w:val="auto"/>
        </w:rPr>
        <w:t>” is defined in Section 10.2(d)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Lessor</w:t>
      </w:r>
      <w:r>
        <w:rPr>
          <w:rFonts w:ascii="Arial" w:cs="Arial" w:eastAsia="Arial" w:hAnsi="Arial"/>
          <w:sz w:val="18"/>
          <w:szCs w:val="18"/>
          <w:color w:val="auto"/>
        </w:rPr>
        <w:t>” means BA Leasing BSC, LLC, a Delaware limited liability company, as Lessor under the Lease.</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Lessor Amount</w:t>
      </w:r>
      <w:r>
        <w:rPr>
          <w:rFonts w:ascii="Arial" w:cs="Arial" w:eastAsia="Arial" w:hAnsi="Arial"/>
          <w:sz w:val="17"/>
          <w:szCs w:val="17"/>
          <w:color w:val="auto"/>
        </w:rPr>
        <w:t>” means, as of any date of determination, the aggregate amount of the Advance made by Lessor from its Lessor Commitment pursuant to Section 3.1 of the Original Participation Agreement, net of any distributions (other than distributions of Yield) with respect thereto.</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Lessor Balance</w:t>
      </w:r>
      <w:r>
        <w:rPr>
          <w:rFonts w:ascii="Arial" w:cs="Arial" w:eastAsia="Arial" w:hAnsi="Arial"/>
          <w:sz w:val="18"/>
          <w:szCs w:val="18"/>
          <w:color w:val="auto"/>
        </w:rPr>
        <w:t>” means, as of any date of determination, an amount equal to the sum of the outstanding Lessor Amount net of any distributions (other than distributions of Yield) with respect thereto, together with all accrued and unpaid Yield thereon.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Lessor Commitment</w:t>
      </w:r>
      <w:r>
        <w:rPr>
          <w:rFonts w:ascii="Arial" w:cs="Arial" w:eastAsia="Arial" w:hAnsi="Arial"/>
          <w:sz w:val="18"/>
          <w:szCs w:val="18"/>
          <w:color w:val="auto"/>
        </w:rPr>
        <w:t>” means the commitment of the Lessor to make available the Lessor Commitment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Lessor Commitment Amount</w:t>
      </w:r>
      <w:r>
        <w:rPr>
          <w:rFonts w:ascii="Arial" w:cs="Arial" w:eastAsia="Arial" w:hAnsi="Arial"/>
          <w:sz w:val="18"/>
          <w:szCs w:val="18"/>
          <w:color w:val="auto"/>
        </w:rPr>
        <w:t>” means the aggregate principal amount set forth on Schedule I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Lessor Documents</w:t>
      </w:r>
      <w:r>
        <w:rPr>
          <w:rFonts w:ascii="Arial" w:cs="Arial" w:eastAsia="Arial" w:hAnsi="Arial"/>
          <w:sz w:val="18"/>
          <w:szCs w:val="18"/>
          <w:color w:val="auto"/>
        </w:rPr>
        <w:t>” means the Operative Documents to which Lessor is a party or is otherwise bound.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Lessor Financing Statements</w:t>
      </w:r>
      <w:r>
        <w:rPr>
          <w:rFonts w:ascii="Arial" w:cs="Arial" w:eastAsia="Arial" w:hAnsi="Arial"/>
          <w:sz w:val="18"/>
          <w:szCs w:val="18"/>
          <w:color w:val="auto"/>
        </w:rPr>
        <w:t>” means UCC financing statements appropriately completed for filing in the applicable jurisdiction in order to protect the Lessor’s interest under the Lease to the extent the Lease is a security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Lessor Lien</w:t>
      </w:r>
      <w:r>
        <w:rPr>
          <w:rFonts w:ascii="Arial" w:cs="Arial" w:eastAsia="Arial" w:hAnsi="Arial"/>
          <w:sz w:val="18"/>
          <w:szCs w:val="18"/>
          <w:color w:val="auto"/>
        </w:rPr>
        <w:t>” means any Lien, true lease or sublease or disposition or other transfer of title to or any interest in the Leased Property or rights in the Operative Documents arising as a result of (a) any claim against the Lessor, Administrative Agent or any Participant not resulting from the Overall Transaction or otherwise contemplated by the Operative Documents, (b) 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7" w:name="page108"/>
    <w:bookmarkEnd w:id="107"/>
    <w:p>
      <w:pPr>
        <w:jc w:val="both"/>
        <w:spacing w:after="0" w:line="253" w:lineRule="auto"/>
        <w:rPr>
          <w:sz w:val="20"/>
          <w:szCs w:val="20"/>
          <w:color w:val="auto"/>
        </w:rPr>
      </w:pPr>
      <w:r>
        <w:rPr>
          <w:rFonts w:ascii="Arial" w:cs="Arial" w:eastAsia="Arial" w:hAnsi="Arial"/>
          <w:sz w:val="18"/>
          <w:szCs w:val="18"/>
          <w:color w:val="auto"/>
        </w:rPr>
        <w:t>or omission of the Lessor, Administrative Agent or any Participant which is not required or permitted by the Operative Documents or is in violation of any of the terms of the Operative Documents, (c) any claim against Lessor, Administrative Agent or any Participant with respect to Taxes or Transaction Expenses against which Lessee is not required to indemnify the Lessor, Administrative Agent or any Participant, in its individual capacity, pursuant to Article XIII of the Participation Agreement, (d) any claim against the Lessor, Administrative Agent or any Participant arising out of any transfer by the Lessor or the Administrative Agent of all or any portion of the interest of the Lessor or the Administrative Agent in the Leased Property or the Operative Documents other than the transfer of title to or possession of the Leased Property by the Lessor pursuant to and in accordance with the Operative Documents, including pursuant to the exercise of remedies, or (e) any claim against any Participant arising out of any transfer by such Participant of any Note or Lessor Amount, or any interest therein, other than in accordance with the Participation Agreement and, in the case of a transfer of any Note, in accordance with the Loan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Lessor Shortfall Amount</w:t>
      </w:r>
      <w:r>
        <w:rPr>
          <w:rFonts w:ascii="Arial" w:cs="Arial" w:eastAsia="Arial" w:hAnsi="Arial"/>
          <w:sz w:val="18"/>
          <w:szCs w:val="18"/>
          <w:color w:val="auto"/>
        </w:rPr>
        <w:t>” is defined in Section 3.1(c)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Liabilities</w:t>
      </w:r>
      <w:r>
        <w:rPr>
          <w:rFonts w:ascii="Arial" w:cs="Arial" w:eastAsia="Arial" w:hAnsi="Arial"/>
          <w:sz w:val="18"/>
          <w:szCs w:val="18"/>
          <w:color w:val="auto"/>
        </w:rPr>
        <w:t>” is defined in Section 1 of the Guaranty.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LIBO Rate</w:t>
      </w:r>
      <w:r>
        <w:rPr>
          <w:rFonts w:ascii="Arial" w:cs="Arial" w:eastAsia="Arial" w:hAnsi="Arial"/>
          <w:sz w:val="17"/>
          <w:szCs w:val="17"/>
          <w:color w:val="auto"/>
        </w:rPr>
        <w:t>” means, for any date and at any time, the rate per annum equal to (i) the applicable London interbank offered rate per annum for deposits in Dollars appearing on Bloomberg LIBO Page (or any successor or substitute page or screen that displays such rate, or on the appropriate page of such other information service that publishes such rate as shall be selected by the Administrative Agent from time to time in its reasonable discretion) (in each case the “</w:t>
      </w:r>
      <w:r>
        <w:rPr>
          <w:rFonts w:ascii="Arial" w:cs="Arial" w:eastAsia="Arial" w:hAnsi="Arial"/>
          <w:sz w:val="17"/>
          <w:szCs w:val="17"/>
          <w:u w:val="single" w:color="auto"/>
          <w:color w:val="auto"/>
        </w:rPr>
        <w:t>LIBOR Screen Rate</w:t>
      </w:r>
      <w:r>
        <w:rPr>
          <w:rFonts w:ascii="Arial" w:cs="Arial" w:eastAsia="Arial" w:hAnsi="Arial"/>
          <w:sz w:val="17"/>
          <w:szCs w:val="17"/>
          <w:color w:val="auto"/>
        </w:rPr>
        <w:t>”) as of 11:00 a.m., London time, two (2) Business Days prior to the commencement of such Interest Period, for deposits in the relevant currency (for delivery on the first day of such Interest Period) with a term equivalent to such Interest Period or (ii) if such rate is not available at such time for any reason, or if Bloomberg LIBOR Page or applicable successor or substitute screen or page is not available, the applicable LIBO Rate for the relevant Interest Period shall be the rate per annum determined by the Administrative Agent to be the arithmetic average of the rates at which Bank of America, N.A. offers to place deposits in U.S. dollars with first-class banks in the London interbank market at approximately 11:00 a.m. (London time) two (2) Business Days prior to the first day of such Interest Period, in the approximate amount of Bank of America, N.A.’s or its Affiliate’s relevant portion of the aggregate outstanding principal amount of the Notes and Lessor Amount and having a maturity approximately equal to such Interest Period. In no event shall the LIBO Rate be less than zero (0). It is understood and agreed that all of the terms and conditions of this definition of “LIBO Rate” shall be subject to Section 14.2 of the Participation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 Screen Rate</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ground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master lease or title retention agreement (or any financing lease having substantially the same economic effect as any of the foregoing) relating to such asset.</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Agreement</w:t>
      </w:r>
      <w:r>
        <w:rPr>
          <w:rFonts w:ascii="Arial" w:cs="Arial" w:eastAsia="Arial" w:hAnsi="Arial"/>
          <w:sz w:val="18"/>
          <w:szCs w:val="18"/>
          <w:color w:val="auto"/>
        </w:rPr>
        <w:t>” means the Loan Agreement dated as of March 3, 2017, between Lessor, as Borrower thereunder, Administrative Agent, and the Lenders, as amended, restated, supplemented or modified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Balance</w:t>
      </w:r>
      <w:r>
        <w:rPr>
          <w:rFonts w:ascii="Arial" w:cs="Arial" w:eastAsia="Arial" w:hAnsi="Arial"/>
          <w:sz w:val="18"/>
          <w:szCs w:val="18"/>
          <w:color w:val="auto"/>
        </w:rPr>
        <w:t>” means, as of any date of determination with respect to any Lender, the aggregate principal amount of Loans made by such Lender net of any distributions (other than distributions of Interest) with respect thereto (together with all accrued and unpaid Interest).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Commitment</w:t>
      </w:r>
      <w:r>
        <w:rPr>
          <w:rFonts w:ascii="Arial" w:cs="Arial" w:eastAsia="Arial" w:hAnsi="Arial"/>
          <w:sz w:val="18"/>
          <w:szCs w:val="18"/>
          <w:color w:val="auto"/>
        </w:rPr>
        <w:t>” means the commitments of the Lenders to make Loans to the Borrower on the Original Closing Date in an aggregate principal amount set forth on Schedule II to the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Documents</w:t>
      </w:r>
      <w:r>
        <w:rPr>
          <w:rFonts w:ascii="Arial" w:cs="Arial" w:eastAsia="Arial" w:hAnsi="Arial"/>
          <w:sz w:val="18"/>
          <w:szCs w:val="18"/>
          <w:color w:val="auto"/>
        </w:rPr>
        <w:t>” means the Loan Agreement and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Loans</w:t>
      </w:r>
      <w:r>
        <w:rPr>
          <w:rFonts w:ascii="Arial" w:cs="Arial" w:eastAsia="Arial" w:hAnsi="Arial"/>
          <w:sz w:val="18"/>
          <w:szCs w:val="18"/>
          <w:color w:val="auto"/>
        </w:rPr>
        <w:t>” means the Loans made by each Lender under and pursuant to Article II of the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Acquisition</w:t>
      </w:r>
      <w:r>
        <w:rPr>
          <w:rFonts w:ascii="Arial" w:cs="Arial" w:eastAsia="Arial" w:hAnsi="Arial"/>
          <w:sz w:val="18"/>
          <w:szCs w:val="18"/>
          <w:color w:val="auto"/>
        </w:rPr>
        <w:t>” is defined in the definition of Consolidated EBITDA.</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means a material adverse effect on (a) the business, results of operations or financial condition of Parent Guarantor and its Subsidiaries taken as a whole, (b) the ability of (i) Lessee to perform its payment obligations under the Operative Documents (taken as a whole) or (ii) the Lessee and the Guarantors, taken as a whole, to perform their payment obligations under the Operative Documents (taken as a whole), (c) the material rights or remedies of the Administrative Agent and the Participants under the Operative Documents (taken as a whole), (d) the rights or interests of Administrative Agent, Lessor or the Lenders in the Leased Property (taken as a whole) or (e) the validity or priority of the Liens on the Collateral (taken as a whole).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Disposition</w:t>
      </w:r>
      <w:r>
        <w:rPr>
          <w:rFonts w:ascii="Arial" w:cs="Arial" w:eastAsia="Arial" w:hAnsi="Arial"/>
          <w:sz w:val="18"/>
          <w:szCs w:val="18"/>
          <w:color w:val="auto"/>
        </w:rPr>
        <w:t>” is defined in the definition of Consolidated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Domestic Subsidiary</w:t>
      </w:r>
      <w:r>
        <w:rPr>
          <w:rFonts w:ascii="Arial" w:cs="Arial" w:eastAsia="Arial" w:hAnsi="Arial"/>
          <w:sz w:val="18"/>
          <w:szCs w:val="18"/>
          <w:color w:val="auto"/>
        </w:rPr>
        <w:t>” means each Material Subsidiary that is a Domestic Subsidiary and not an Excluded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Environmental Violation</w:t>
      </w:r>
      <w:r>
        <w:rPr>
          <w:rFonts w:ascii="Arial" w:cs="Arial" w:eastAsia="Arial" w:hAnsi="Arial"/>
          <w:sz w:val="18"/>
          <w:szCs w:val="18"/>
          <w:color w:val="auto"/>
        </w:rPr>
        <w:t>” is defined in Section 14.3 of the Lease.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Indebtedness (other than, for the avoidance of doubt, the Obligations or the obligations under the Guaranty and other than any intercompany indebtedness), or obligations in respect of one or more Swap Agreements, of any one or more of the Lessee or any Guarantor in an aggregate principal amount exceeding $100,000,000. For purposes of determining Material Indebtedness, the “principal amount” of the obligations of the Lessee or any Guarantor in respect of any Swap Agreement at any time shall be the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9" w:name="page110"/>
    <w:bookmarkEnd w:id="109"/>
    <w:p>
      <w:pPr>
        <w:jc w:val="both"/>
        <w:spacing w:after="0" w:line="277" w:lineRule="auto"/>
        <w:rPr>
          <w:sz w:val="20"/>
          <w:szCs w:val="20"/>
          <w:color w:val="auto"/>
        </w:rPr>
      </w:pPr>
      <w:r>
        <w:rPr>
          <w:rFonts w:ascii="Arial" w:cs="Arial" w:eastAsia="Arial" w:hAnsi="Arial"/>
          <w:sz w:val="18"/>
          <w:szCs w:val="18"/>
          <w:color w:val="auto"/>
        </w:rPr>
        <w:t>aggregate amount (giving effect to any netting agreements) that the Lessee or any such Guarantor would be required to pay if such Swap Agreement were terminated at such time.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Subsidiary</w:t>
      </w:r>
      <w:r>
        <w:rPr>
          <w:rFonts w:ascii="Arial" w:cs="Arial" w:eastAsia="Arial" w:hAnsi="Arial"/>
          <w:sz w:val="18"/>
          <w:szCs w:val="18"/>
          <w:color w:val="auto"/>
        </w:rPr>
        <w:t>” means, at any time of determination, each wholly-owned Subsidiary which, as of the most recent fiscal year of the Parent Guarantor, for the period of four consecutive fiscal quarters then ended, for which financial statements have been delivered pursuant to Section 8(a)(i) of the Guaranty, contributed greater than ten percent (10%) of Consolidated EBITDA for such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means the Expiration Date, as extended from time to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Memorandum of Lease</w:t>
      </w:r>
      <w:r>
        <w:rPr>
          <w:rFonts w:ascii="Arial" w:cs="Arial" w:eastAsia="Arial" w:hAnsi="Arial"/>
          <w:sz w:val="18"/>
          <w:szCs w:val="18"/>
          <w:color w:val="auto"/>
        </w:rPr>
        <w:t>” means the Memorandum of Lease and Remedies Agreement, dated as of March 3, 2017, between the Lessee and the Lessor, as may be amended, restated, amended and restated, supplemented or otherwise modified from time to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Milestone Payments</w:t>
      </w:r>
      <w:r>
        <w:rPr>
          <w:rFonts w:ascii="Arial" w:cs="Arial" w:eastAsia="Arial" w:hAnsi="Arial"/>
          <w:sz w:val="18"/>
          <w:szCs w:val="18"/>
          <w:color w:val="auto"/>
        </w:rPr>
        <w:t>” means payments based on the achievement of specified revenue, profit or other performance targets (financial or otherwise), in any such case, that are made pursuant to contractual arrangements during the period of twelve months ending on the Bank Credit Agreement Effective Date or arising thereafter in connection with any drug or pharmaceutical product research and development or Collaboration Arrangements or any Drug Acquisition and that are recognized as expense in the period in which they are incurred.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Modifications</w:t>
      </w:r>
      <w:r>
        <w:rPr>
          <w:rFonts w:ascii="Arial" w:cs="Arial" w:eastAsia="Arial" w:hAnsi="Arial"/>
          <w:sz w:val="18"/>
          <w:szCs w:val="18"/>
          <w:color w:val="auto"/>
        </w:rPr>
        <w:t>” is defined in Section 10.1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Nonconformance Amount</w:t>
      </w:r>
      <w:r>
        <w:rPr>
          <w:rFonts w:ascii="Arial" w:cs="Arial" w:eastAsia="Arial" w:hAnsi="Arial"/>
          <w:sz w:val="18"/>
          <w:szCs w:val="18"/>
          <w:color w:val="auto"/>
        </w:rPr>
        <w:t>” is defined in Section 13.2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Non-Renewing Participant</w:t>
      </w:r>
      <w:r>
        <w:rPr>
          <w:rFonts w:ascii="Arial" w:cs="Arial" w:eastAsia="Arial" w:hAnsi="Arial"/>
          <w:sz w:val="18"/>
          <w:szCs w:val="18"/>
          <w:color w:val="auto"/>
        </w:rPr>
        <w:t>” is defined in Section 4.7(c) of the Participation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Nonseverable</w:t>
      </w:r>
      <w:r>
        <w:rPr>
          <w:rFonts w:ascii="Arial" w:cs="Arial" w:eastAsia="Arial" w:hAnsi="Arial"/>
          <w:sz w:val="18"/>
          <w:szCs w:val="18"/>
          <w:color w:val="auto"/>
        </w:rPr>
        <w:t>” means a Modification or part of a Modification which cannot be readily removed from the Leased Property without causing material damage to or materially impairing the Fair Market Value, utility, useful life or residual value thereof as set forth in the Appraisal delivered on or prior to the Original Closing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is defined in Section 2.3 of the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Obligations</w:t>
      </w:r>
      <w:r>
        <w:rPr>
          <w:rFonts w:ascii="Arial" w:cs="Arial" w:eastAsia="Arial" w:hAnsi="Arial"/>
          <w:sz w:val="17"/>
          <w:szCs w:val="17"/>
          <w:color w:val="auto"/>
        </w:rPr>
        <w:t>” means all obligations (monetary or otherwise) of the Lessee arising under or in connection with any of the Operative Documents.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w:t>
      </w:r>
      <w:r>
        <w:rPr>
          <w:rFonts w:ascii="Arial" w:cs="Arial" w:eastAsia="Arial" w:hAnsi="Arial"/>
          <w:sz w:val="18"/>
          <w:szCs w:val="18"/>
          <w:color w:val="auto"/>
        </w:rPr>
        <w:t>” means the Office of Foreign Assets Control of the United States Department of the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0" w:name="page111"/>
    <w:bookmarkEnd w:id="110"/>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Omnibus Lease Amendment</w:t>
      </w:r>
      <w:r>
        <w:rPr>
          <w:rFonts w:ascii="Arial" w:cs="Arial" w:eastAsia="Arial" w:hAnsi="Arial"/>
          <w:sz w:val="18"/>
          <w:szCs w:val="18"/>
          <w:color w:val="auto"/>
        </w:rPr>
        <w:t>” means that certain Omnibus Agreement Regarding Leases, dated as of March 3, 2017, by and between Lessee and the Parent Guarantor.</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Lease</w:t>
      </w:r>
      <w:r>
        <w:rPr>
          <w:rFonts w:ascii="Arial" w:cs="Arial" w:eastAsia="Arial" w:hAnsi="Arial"/>
          <w:sz w:val="18"/>
          <w:szCs w:val="18"/>
          <w:color w:val="auto"/>
        </w:rPr>
        <w:t>” means any Specified Lease Arrangement or other arrangement that is accounted for as an operating lease for purposes of the Operative Documents pursuant to clause (b) of this Appendix 1 to the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Operative Documents</w:t>
      </w:r>
      <w:r>
        <w:rPr>
          <w:rFonts w:ascii="Arial" w:cs="Arial" w:eastAsia="Arial" w:hAnsi="Arial"/>
          <w:sz w:val="18"/>
          <w:szCs w:val="18"/>
          <w:color w:val="auto"/>
        </w:rPr>
        <w:t>” means the following:</w:t>
      </w:r>
    </w:p>
    <w:p>
      <w:pPr>
        <w:spacing w:after="0" w:line="225" w:lineRule="exact"/>
        <w:rPr>
          <w:sz w:val="20"/>
          <w:szCs w:val="20"/>
          <w:color w:val="auto"/>
        </w:rPr>
      </w:pPr>
    </w:p>
    <w:p>
      <w:pPr>
        <w:ind w:left="1940" w:hanging="554"/>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Participation Agreement;</w:t>
      </w:r>
    </w:p>
    <w:p>
      <w:pPr>
        <w:spacing w:after="0" w:line="225" w:lineRule="exact"/>
        <w:rPr>
          <w:rFonts w:ascii="Arial" w:cs="Arial" w:eastAsia="Arial" w:hAnsi="Arial"/>
          <w:sz w:val="18"/>
          <w:szCs w:val="18"/>
          <w:color w:val="auto"/>
        </w:rPr>
      </w:pPr>
    </w:p>
    <w:p>
      <w:pPr>
        <w:ind w:left="1940" w:hanging="554"/>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Purchase Agreement;</w:t>
      </w:r>
    </w:p>
    <w:p>
      <w:pPr>
        <w:spacing w:after="0" w:line="225" w:lineRule="exact"/>
        <w:rPr>
          <w:rFonts w:ascii="Arial" w:cs="Arial" w:eastAsia="Arial" w:hAnsi="Arial"/>
          <w:sz w:val="18"/>
          <w:szCs w:val="18"/>
          <w:color w:val="auto"/>
        </w:rPr>
      </w:pPr>
    </w:p>
    <w:p>
      <w:pPr>
        <w:ind w:left="1940" w:hanging="554"/>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Lease;</w:t>
      </w:r>
    </w:p>
    <w:p>
      <w:pPr>
        <w:spacing w:after="0" w:line="225" w:lineRule="exact"/>
        <w:rPr>
          <w:rFonts w:ascii="Arial" w:cs="Arial" w:eastAsia="Arial" w:hAnsi="Arial"/>
          <w:sz w:val="18"/>
          <w:szCs w:val="18"/>
          <w:color w:val="auto"/>
        </w:rPr>
      </w:pPr>
    </w:p>
    <w:p>
      <w:pPr>
        <w:ind w:left="1940" w:hanging="554"/>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Loan Agreement;</w:t>
      </w:r>
    </w:p>
    <w:p>
      <w:pPr>
        <w:spacing w:after="0" w:line="225" w:lineRule="exact"/>
        <w:rPr>
          <w:rFonts w:ascii="Arial" w:cs="Arial" w:eastAsia="Arial" w:hAnsi="Arial"/>
          <w:sz w:val="18"/>
          <w:szCs w:val="18"/>
          <w:color w:val="auto"/>
        </w:rPr>
      </w:pPr>
    </w:p>
    <w:p>
      <w:pPr>
        <w:ind w:left="1940" w:hanging="554"/>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Notes;</w:t>
      </w:r>
    </w:p>
    <w:p>
      <w:pPr>
        <w:spacing w:after="0" w:line="225" w:lineRule="exact"/>
        <w:rPr>
          <w:rFonts w:ascii="Arial" w:cs="Arial" w:eastAsia="Arial" w:hAnsi="Arial"/>
          <w:sz w:val="18"/>
          <w:szCs w:val="18"/>
          <w:color w:val="auto"/>
        </w:rPr>
      </w:pPr>
    </w:p>
    <w:p>
      <w:pPr>
        <w:ind w:left="1940" w:hanging="554"/>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Security Instruments;</w:t>
      </w:r>
    </w:p>
    <w:p>
      <w:pPr>
        <w:spacing w:after="0" w:line="225" w:lineRule="exact"/>
        <w:rPr>
          <w:rFonts w:ascii="Arial" w:cs="Arial" w:eastAsia="Arial" w:hAnsi="Arial"/>
          <w:sz w:val="18"/>
          <w:szCs w:val="18"/>
          <w:color w:val="auto"/>
        </w:rPr>
      </w:pPr>
    </w:p>
    <w:p>
      <w:pPr>
        <w:ind w:left="1940" w:hanging="554"/>
        <w:spacing w:after="0" w:line="277" w:lineRule="auto"/>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Administrative Agent Fee Letter and the Arranger Fee Letter (solely with respect to the provisions thereof relating to the Arranger Fee for purposes of Section 4.4 of the Participation Agreement);</w:t>
      </w:r>
    </w:p>
    <w:p>
      <w:pPr>
        <w:spacing w:after="0" w:line="170" w:lineRule="exact"/>
        <w:rPr>
          <w:rFonts w:ascii="Arial" w:cs="Arial" w:eastAsia="Arial" w:hAnsi="Arial"/>
          <w:sz w:val="18"/>
          <w:szCs w:val="18"/>
          <w:color w:val="auto"/>
        </w:rPr>
      </w:pPr>
    </w:p>
    <w:p>
      <w:pPr>
        <w:ind w:left="1940" w:hanging="554"/>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Memorandum of Lease;</w:t>
      </w:r>
    </w:p>
    <w:p>
      <w:pPr>
        <w:spacing w:after="0" w:line="225" w:lineRule="exact"/>
        <w:rPr>
          <w:rFonts w:ascii="Arial" w:cs="Arial" w:eastAsia="Arial" w:hAnsi="Arial"/>
          <w:sz w:val="18"/>
          <w:szCs w:val="18"/>
          <w:color w:val="auto"/>
        </w:rPr>
      </w:pPr>
    </w:p>
    <w:p>
      <w:pPr>
        <w:ind w:left="1940" w:hanging="554"/>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Guaranty;</w:t>
      </w:r>
    </w:p>
    <w:p>
      <w:pPr>
        <w:spacing w:after="0" w:line="225" w:lineRule="exact"/>
        <w:rPr>
          <w:rFonts w:ascii="Arial" w:cs="Arial" w:eastAsia="Arial" w:hAnsi="Arial"/>
          <w:sz w:val="18"/>
          <w:szCs w:val="18"/>
          <w:color w:val="auto"/>
        </w:rPr>
      </w:pPr>
    </w:p>
    <w:p>
      <w:pPr>
        <w:ind w:left="1940" w:hanging="554"/>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Assignment of Purchase Agreement;</w:t>
      </w:r>
    </w:p>
    <w:p>
      <w:pPr>
        <w:spacing w:after="0" w:line="225" w:lineRule="exact"/>
        <w:rPr>
          <w:rFonts w:ascii="Arial" w:cs="Arial" w:eastAsia="Arial" w:hAnsi="Arial"/>
          <w:sz w:val="18"/>
          <w:szCs w:val="18"/>
          <w:color w:val="auto"/>
        </w:rPr>
      </w:pPr>
    </w:p>
    <w:p>
      <w:pPr>
        <w:ind w:left="1940" w:hanging="554"/>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Funding Indemnity Agreement; and</w:t>
      </w:r>
    </w:p>
    <w:p>
      <w:pPr>
        <w:spacing w:after="0" w:line="225" w:lineRule="exact"/>
        <w:rPr>
          <w:rFonts w:ascii="Arial" w:cs="Arial" w:eastAsia="Arial" w:hAnsi="Arial"/>
          <w:sz w:val="18"/>
          <w:szCs w:val="18"/>
          <w:color w:val="auto"/>
        </w:rPr>
      </w:pPr>
    </w:p>
    <w:p>
      <w:pPr>
        <w:ind w:left="1940" w:hanging="554"/>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Closing Date</w:t>
      </w:r>
      <w:r>
        <w:rPr>
          <w:rFonts w:ascii="Arial" w:cs="Arial" w:eastAsia="Arial" w:hAnsi="Arial"/>
          <w:sz w:val="18"/>
          <w:szCs w:val="18"/>
          <w:color w:val="auto"/>
        </w:rPr>
        <w:t>” is defined in the recitals to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Executed Counterpart</w:t>
      </w:r>
      <w:r>
        <w:rPr>
          <w:rFonts w:ascii="Arial" w:cs="Arial" w:eastAsia="Arial" w:hAnsi="Arial"/>
          <w:sz w:val="18"/>
          <w:szCs w:val="18"/>
          <w:color w:val="auto"/>
        </w:rPr>
        <w:t>” is defined in Section 25.9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Payment</w:t>
      </w:r>
      <w:r>
        <w:rPr>
          <w:rFonts w:ascii="Arial" w:cs="Arial" w:eastAsia="Arial" w:hAnsi="Arial"/>
          <w:sz w:val="18"/>
          <w:szCs w:val="18"/>
          <w:color w:val="auto"/>
        </w:rPr>
        <w:t>” is defined in Section 13.5 of the Participation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Overall Transaction</w:t>
      </w:r>
      <w:r>
        <w:rPr>
          <w:rFonts w:ascii="Arial" w:cs="Arial" w:eastAsia="Arial" w:hAnsi="Arial"/>
          <w:sz w:val="18"/>
          <w:szCs w:val="18"/>
          <w:color w:val="auto"/>
        </w:rPr>
        <w:t>” means, collectively, the execution, delivery and performance by each of the Lessee, the Guarantors and Participants of the Operative Documents to which such Person is a party, the Funding, the use of the proceeds thereof, the issuance of Notes under the Loan Agreement and the lease of the Leased Property by the Lessor to the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1" w:name="page112"/>
    <w:bookmarkEnd w:id="11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Overdue Rate</w:t>
      </w:r>
      <w:r>
        <w:rPr>
          <w:rFonts w:ascii="Arial" w:cs="Arial" w:eastAsia="Arial" w:hAnsi="Arial"/>
          <w:sz w:val="18"/>
          <w:szCs w:val="18"/>
          <w:color w:val="auto"/>
        </w:rPr>
        <w:t>” means, with respect to any Loan or Lessor Amount, the lesser of (i) the Alternate Base Rate for such Loan or Lessor Amount plus 2.0% per annum and (ii) the Highest Lawful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Owner’s Policy</w:t>
      </w:r>
      <w:r>
        <w:rPr>
          <w:rFonts w:ascii="Arial" w:cs="Arial" w:eastAsia="Arial" w:hAnsi="Arial"/>
          <w:sz w:val="18"/>
          <w:szCs w:val="18"/>
          <w:color w:val="auto"/>
        </w:rPr>
        <w:t>” is defined in Section 6.1(x)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Regeneron Pharmaceuticals, Inc., a New York corporation.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Balance</w:t>
      </w:r>
      <w:r>
        <w:rPr>
          <w:rFonts w:ascii="Arial" w:cs="Arial" w:eastAsia="Arial" w:hAnsi="Arial"/>
          <w:sz w:val="18"/>
          <w:szCs w:val="18"/>
          <w:color w:val="auto"/>
        </w:rPr>
        <w:t>” means, with respect to any Participant as of any date of determination: (i) with respect to any Lender, the Loan Balance held by such Lender or (ii) with respect to Lessor, the Lessor Balance.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Costs</w:t>
      </w:r>
      <w:r>
        <w:rPr>
          <w:rFonts w:ascii="Arial" w:cs="Arial" w:eastAsia="Arial" w:hAnsi="Arial"/>
          <w:sz w:val="18"/>
          <w:szCs w:val="18"/>
          <w:color w:val="auto"/>
        </w:rPr>
        <w:t>” means the aggregate amount of the Purchase Price and reimbursement of the Deposit (to the extent not applied to the payment of the Purchase Price to the Sellers), subject to the Aggregate Commitment Amount.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Financing Statements</w:t>
      </w:r>
      <w:r>
        <w:rPr>
          <w:rFonts w:ascii="Arial" w:cs="Arial" w:eastAsia="Arial" w:hAnsi="Arial"/>
          <w:sz w:val="18"/>
          <w:szCs w:val="18"/>
          <w:color w:val="auto"/>
        </w:rPr>
        <w:t>” means UCC financing statements appropriately completed and executed for filing in the applicable jurisdiction in order to perfect a security interest in favor of the Administrative Agent for the benefit of the Participants in the Lessee Collateral.</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Participant Indemnitee</w:t>
      </w:r>
      <w:r>
        <w:rPr>
          <w:rFonts w:ascii="Arial" w:cs="Arial" w:eastAsia="Arial" w:hAnsi="Arial"/>
          <w:sz w:val="17"/>
          <w:szCs w:val="17"/>
          <w:color w:val="auto"/>
        </w:rPr>
        <w:t xml:space="preserve">” means each Participant, the Administrative Agent (in its individual capacity and as agent), the Arranger, any additional, separate or co-agent appointed in accordance with the terms of the Participation Agreement, and their respective Affiliates, successors, permitted assigns, permitted transferees, contractors, employees, officers, directors, shareholders, partners, participants, representatives and agents of each of the foregoing Persons;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no event shall Lessee or any Guarantor or any of their Affiliates be a Participant Indemnitee.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w:t>
      </w:r>
      <w:r>
        <w:rPr>
          <w:rFonts w:ascii="Arial" w:cs="Arial" w:eastAsia="Arial" w:hAnsi="Arial"/>
          <w:sz w:val="18"/>
          <w:szCs w:val="18"/>
          <w:i w:val="1"/>
          <w:iCs w:val="1"/>
          <w:color w:val="auto"/>
        </w:rPr>
        <w:t>or</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Participants</w:t>
      </w:r>
      <w:r>
        <w:rPr>
          <w:rFonts w:ascii="Arial" w:cs="Arial" w:eastAsia="Arial" w:hAnsi="Arial"/>
          <w:sz w:val="18"/>
          <w:szCs w:val="18"/>
          <w:color w:val="auto"/>
        </w:rPr>
        <w:t>” means, individually and collectively, as the context may require, the Lessor and the Lenders.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Participation Agreement</w:t>
      </w:r>
      <w:r>
        <w:rPr>
          <w:rFonts w:ascii="Arial" w:cs="Arial" w:eastAsia="Arial" w:hAnsi="Arial"/>
          <w:sz w:val="18"/>
          <w:szCs w:val="18"/>
          <w:color w:val="auto"/>
        </w:rPr>
        <w:t>” means that certain Participation Agreement, dated as of the Original Closing Date, as amended and restated by that certain Amended and Restated Participation Agreement, dated as of the Restatement Date, by and among the Lessee, the Lessor. the Lenders party thereto from time to time and the Administrative Agent, as amended, restated, supplemented or modified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Date</w:t>
      </w:r>
      <w:r>
        <w:rPr>
          <w:rFonts w:ascii="Arial" w:cs="Arial" w:eastAsia="Arial" w:hAnsi="Arial"/>
          <w:sz w:val="18"/>
          <w:szCs w:val="18"/>
          <w:color w:val="auto"/>
        </w:rPr>
        <w:t>” means (a) the third (3rd) day of the month in which the Base Term Commencement Date occurs and the third (3rd) day of every month thereafter. If the third (3rd) day of any month is not a Business Day, then the Payment Date shall be the next following Business Day, unless the result of such extension would carry such Payment Date into the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2" w:name="page113"/>
    <w:bookmarkEnd w:id="112"/>
    <w:p>
      <w:pPr>
        <w:jc w:val="both"/>
        <w:spacing w:after="0" w:line="277" w:lineRule="auto"/>
        <w:rPr>
          <w:sz w:val="20"/>
          <w:szCs w:val="20"/>
          <w:color w:val="auto"/>
        </w:rPr>
      </w:pPr>
      <w:r>
        <w:rPr>
          <w:rFonts w:ascii="Arial" w:cs="Arial" w:eastAsia="Arial" w:hAnsi="Arial"/>
          <w:sz w:val="18"/>
          <w:szCs w:val="18"/>
          <w:color w:val="auto"/>
        </w:rPr>
        <w:t>succeeding month, in which case such payment shall be made on the immediately preceding Business Day and (b) in any case, the Expiration Date (or, if applicable, the Termination Date).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Default</w:t>
      </w:r>
      <w:r>
        <w:rPr>
          <w:rFonts w:ascii="Arial" w:cs="Arial" w:eastAsia="Arial" w:hAnsi="Arial"/>
          <w:sz w:val="18"/>
          <w:szCs w:val="18"/>
          <w:color w:val="auto"/>
        </w:rPr>
        <w:t>” means the failure of Lessee to make any payment of (i) any amounts due pursuant to Sections 15.1, 18.1, 19.1(b) or 20.1 of the Lease when due and payable, or (ii) Basic Rent or, to the extent not subject to clause (i) above, any other amount required to be paid by Lessee pursuant to the Operative Documents when due and payable and, in any such case of this clause (ii), such failure shall continue unremedied for a period of five (5) Business Days.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Office</w:t>
      </w:r>
      <w:r>
        <w:rPr>
          <w:rFonts w:ascii="Arial" w:cs="Arial" w:eastAsia="Arial" w:hAnsi="Arial"/>
          <w:sz w:val="18"/>
          <w:szCs w:val="18"/>
          <w:color w:val="auto"/>
        </w:rPr>
        <w:t>” means the office of the Lessor or the Administrative Agent identified on Schedule III to the Participation Agreement as its Payment Office.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767 Improvements</w:t>
      </w:r>
      <w:r>
        <w:rPr>
          <w:rFonts w:ascii="Arial" w:cs="Arial" w:eastAsia="Arial" w:hAnsi="Arial"/>
          <w:sz w:val="18"/>
          <w:szCs w:val="18"/>
          <w:color w:val="auto"/>
        </w:rPr>
        <w:t>” means the Improvements described on Schedule C to the Lease.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Call Spread Swap Agreement</w:t>
      </w:r>
      <w:r>
        <w:rPr>
          <w:rFonts w:ascii="Arial" w:cs="Arial" w:eastAsia="Arial" w:hAnsi="Arial"/>
          <w:sz w:val="17"/>
          <w:szCs w:val="17"/>
          <w:color w:val="auto"/>
        </w:rPr>
        <w:t xml:space="preserve">” means (a) any Swap Agreement (including, but not limited to, any bond hedge transaction or capped call transaction) pursuant to which the Parent Guarantor acquires an option requiring the counterparty thereto to deliver to the Parent Guarantor shares of common stock of the Parent Guarantor, the cash value of such shares or a combination thereof from time to time upon exercise of such option and (b) any Swap Agreement pursuant to which the Parent Guarantor issues to the counterparty thereto warrants to acquire common stock of the Parent Guarantor (whether such warrant is settled in shares, cash or a combination thereof), in each case entered into by the Parent Guarantor in connection with the issuance of Permitted Convertible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terms, conditions and covenants of each such Swap Agreement shall be such as are customary for Swap Agreements of such type (as determined by the Board of Directors of the Parent Guarantor in good faith). For the avoidance of doubt, “</w:t>
      </w:r>
      <w:r>
        <w:rPr>
          <w:rFonts w:ascii="Arial" w:cs="Arial" w:eastAsia="Arial" w:hAnsi="Arial"/>
          <w:sz w:val="17"/>
          <w:szCs w:val="17"/>
          <w:i w:val="1"/>
          <w:iCs w:val="1"/>
          <w:color w:val="auto"/>
        </w:rPr>
        <w:t>Permitted Call Spread</w:t>
      </w:r>
      <w:r>
        <w:rPr>
          <w:rFonts w:ascii="Arial" w:cs="Arial" w:eastAsia="Arial" w:hAnsi="Arial"/>
          <w:sz w:val="17"/>
          <w:szCs w:val="17"/>
          <w:color w:val="auto"/>
        </w:rPr>
        <w:t xml:space="preserve"> </w:t>
      </w:r>
      <w:r>
        <w:rPr>
          <w:rFonts w:ascii="Arial" w:cs="Arial" w:eastAsia="Arial" w:hAnsi="Arial"/>
          <w:sz w:val="17"/>
          <w:szCs w:val="17"/>
          <w:i w:val="1"/>
          <w:iCs w:val="1"/>
          <w:color w:val="auto"/>
        </w:rPr>
        <w:t>Swap Agreement</w:t>
      </w:r>
      <w:r>
        <w:rPr>
          <w:rFonts w:ascii="Arial" w:cs="Arial" w:eastAsia="Arial" w:hAnsi="Arial"/>
          <w:sz w:val="17"/>
          <w:szCs w:val="17"/>
          <w:color w:val="auto"/>
        </w:rPr>
        <w:t>” includes any convertible note hedge and warrant transaction similar to any such transaction that was previously entered into by the Parent</w:t>
      </w:r>
      <w:r>
        <w:rPr>
          <w:rFonts w:ascii="Arial" w:cs="Arial" w:eastAsia="Arial" w:hAnsi="Arial"/>
          <w:sz w:val="17"/>
          <w:szCs w:val="17"/>
          <w:i w:val="1"/>
          <w:iCs w:val="1"/>
          <w:color w:val="auto"/>
        </w:rPr>
        <w:t xml:space="preserve"> </w:t>
      </w:r>
      <w:r>
        <w:rPr>
          <w:rFonts w:ascii="Arial" w:cs="Arial" w:eastAsia="Arial" w:hAnsi="Arial"/>
          <w:sz w:val="17"/>
          <w:szCs w:val="17"/>
          <w:color w:val="auto"/>
        </w:rPr>
        <w:t>Guarantor in connection with the Parent Guarantor’s 1.875% convertible senior notes due October 1, 2016.</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Convertible Notes</w:t>
      </w:r>
      <w:r>
        <w:rPr>
          <w:rFonts w:ascii="Arial" w:cs="Arial" w:eastAsia="Arial" w:hAnsi="Arial"/>
          <w:sz w:val="18"/>
          <w:szCs w:val="18"/>
          <w:color w:val="auto"/>
        </w:rPr>
        <w:t>” means any unsecured notes issued by the Parent Guarantor that are convertible into common stock of the Parent Guarantor, cash or any combination thereof. For the avoidance of doubt, “</w:t>
      </w:r>
      <w:r>
        <w:rPr>
          <w:rFonts w:ascii="Arial" w:cs="Arial" w:eastAsia="Arial" w:hAnsi="Arial"/>
          <w:sz w:val="18"/>
          <w:szCs w:val="18"/>
          <w:i w:val="1"/>
          <w:iCs w:val="1"/>
          <w:color w:val="auto"/>
        </w:rPr>
        <w:t>Permitted Convertible Notes</w:t>
      </w:r>
      <w:r>
        <w:rPr>
          <w:rFonts w:ascii="Arial" w:cs="Arial" w:eastAsia="Arial" w:hAnsi="Arial"/>
          <w:sz w:val="18"/>
          <w:szCs w:val="18"/>
          <w:color w:val="auto"/>
        </w:rPr>
        <w:t>” includes any such notes similar to the Parent Guarantor’s 1.875% convertible senior notes due October 1, 2016.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Developed Area Release Payment</w:t>
      </w:r>
      <w:r>
        <w:rPr>
          <w:rFonts w:ascii="Arial" w:cs="Arial" w:eastAsia="Arial" w:hAnsi="Arial"/>
          <w:sz w:val="18"/>
          <w:szCs w:val="18"/>
          <w:color w:val="auto"/>
        </w:rPr>
        <w:t>” means Sixteen Million Six Hundred Thousand Dollars ($16,600,000).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Developed Areas</w:t>
      </w:r>
      <w:r>
        <w:rPr>
          <w:rFonts w:ascii="Arial" w:cs="Arial" w:eastAsia="Arial" w:hAnsi="Arial"/>
          <w:sz w:val="18"/>
          <w:szCs w:val="18"/>
          <w:color w:val="auto"/>
        </w:rPr>
        <w:t>” is defined in Section 10.3(b)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3" w:name="page114"/>
    <w:bookmarkEnd w:id="113"/>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Development Projects</w:t>
      </w:r>
      <w:r>
        <w:rPr>
          <w:rFonts w:ascii="Arial" w:cs="Arial" w:eastAsia="Arial" w:hAnsi="Arial"/>
          <w:sz w:val="18"/>
          <w:szCs w:val="18"/>
          <w:color w:val="auto"/>
        </w:rPr>
        <w:t>” means the work and development permitted under Sections 10.3(a) and 10.3(b) of the Lease.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left="-656" w:right="20" w:firstLine="656"/>
        <w:spacing w:after="0" w:line="277" w:lineRule="auto"/>
        <w:tabs>
          <w:tab w:leader="none" w:pos="237"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Liens imposed by law for Taxes that have not yet been paid (to the extent such non-payment does not violate Section 8(d) of the Guaranty) or are being contested in compliance with Section 8(d) of the Guaranty, and Liens for unpaid utility charges;</w:t>
      </w:r>
    </w:p>
    <w:p>
      <w:pPr>
        <w:spacing w:after="0" w:line="170" w:lineRule="exact"/>
        <w:rPr>
          <w:rFonts w:ascii="Arial" w:cs="Arial" w:eastAsia="Arial" w:hAnsi="Arial"/>
          <w:sz w:val="18"/>
          <w:szCs w:val="18"/>
          <w:color w:val="auto"/>
        </w:rPr>
      </w:pPr>
    </w:p>
    <w:p>
      <w:pPr>
        <w:jc w:val="both"/>
        <w:ind w:left="-656" w:firstLine="656"/>
        <w:spacing w:after="0" w:line="286" w:lineRule="auto"/>
        <w:tabs>
          <w:tab w:leader="none" w:pos="247" w:val="left"/>
        </w:tabs>
        <w:numPr>
          <w:ilvl w:val="0"/>
          <w:numId w:val="94"/>
        </w:numPr>
        <w:rPr>
          <w:rFonts w:ascii="Arial" w:cs="Arial" w:eastAsia="Arial" w:hAnsi="Arial"/>
          <w:sz w:val="17"/>
          <w:szCs w:val="17"/>
          <w:color w:val="auto"/>
        </w:rPr>
      </w:pPr>
      <w:r>
        <w:rPr>
          <w:rFonts w:ascii="Arial" w:cs="Arial" w:eastAsia="Arial" w:hAnsi="Arial"/>
          <w:sz w:val="17"/>
          <w:szCs w:val="17"/>
          <w:color w:val="auto"/>
        </w:rPr>
        <w:t>carriers’, warehousemen’s, materialmen’s, mechanics’, workers’, repairmen’s, employees’, suppliers’ or other like Liens imposed by law arising in the ordinary course of business and securing obligations that are not overdue by more than sixty (60) days (or if more than 60 days overdue, are unfiled and no other action has been taken to enforce such Liens) or are being contested in compliance with Section 8(d) of the Guaranty;</w:t>
      </w:r>
    </w:p>
    <w:p>
      <w:pPr>
        <w:spacing w:after="0" w:line="165" w:lineRule="exact"/>
        <w:rPr>
          <w:rFonts w:ascii="Arial" w:cs="Arial" w:eastAsia="Arial" w:hAnsi="Arial"/>
          <w:sz w:val="17"/>
          <w:szCs w:val="17"/>
          <w:color w:val="auto"/>
        </w:rPr>
      </w:pPr>
    </w:p>
    <w:p>
      <w:pPr>
        <w:jc w:val="both"/>
        <w:ind w:left="-656" w:firstLine="656"/>
        <w:spacing w:after="0" w:line="264" w:lineRule="auto"/>
        <w:tabs>
          <w:tab w:leader="none" w:pos="2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connection with workers’ compensation, unemployment insurance and other social security or retirement benefits laws or regulations or employment laws, to secure liability to insurance carriers under insurance or self-insurance arrangements or to secure other public, statutory or regulatory obligations;</w:t>
      </w:r>
    </w:p>
    <w:p>
      <w:pPr>
        <w:spacing w:after="0" w:line="181" w:lineRule="exact"/>
        <w:rPr>
          <w:rFonts w:ascii="Arial" w:cs="Arial" w:eastAsia="Arial" w:hAnsi="Arial"/>
          <w:sz w:val="18"/>
          <w:szCs w:val="18"/>
          <w:color w:val="auto"/>
        </w:rPr>
      </w:pPr>
    </w:p>
    <w:p>
      <w:pPr>
        <w:jc w:val="both"/>
        <w:ind w:left="-656" w:firstLine="656"/>
        <w:spacing w:after="0" w:line="264" w:lineRule="auto"/>
        <w:tabs>
          <w:tab w:leader="none" w:pos="2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pledges and deposits to secure the performance of bids, trade contracts, government contracts, leases, statutory obligations, customer deposits and advances, surety, customs and appeal bonds, performance and completion bonds and other obligations of a like nature, in each case in the ordinary course of business, and Liens to secure letters of credit or bank guarantees supporting any of the foregoing;</w:t>
      </w:r>
    </w:p>
    <w:p>
      <w:pPr>
        <w:spacing w:after="0" w:line="181" w:lineRule="exact"/>
        <w:rPr>
          <w:rFonts w:ascii="Arial" w:cs="Arial" w:eastAsia="Arial" w:hAnsi="Arial"/>
          <w:sz w:val="18"/>
          <w:szCs w:val="18"/>
          <w:color w:val="auto"/>
        </w:rPr>
      </w:pPr>
    </w:p>
    <w:p>
      <w:pPr>
        <w:ind w:left="-656" w:firstLine="656"/>
        <w:spacing w:after="0" w:line="342" w:lineRule="auto"/>
        <w:tabs>
          <w:tab w:leader="none" w:pos="242"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Lien granted or arising in connection with any legal proceeding (including judgment Liens) to the extent such proceeding has not resulted in an Event of Default under Section 16.1(k) of the Lease or Liens securing appeal or surety bonds related to such legal proceedings or judgments;</w:t>
      </w:r>
    </w:p>
    <w:p>
      <w:pPr>
        <w:spacing w:after="0" w:line="123" w:lineRule="exact"/>
        <w:rPr>
          <w:rFonts w:ascii="Arial" w:cs="Arial" w:eastAsia="Arial" w:hAnsi="Arial"/>
          <w:sz w:val="16"/>
          <w:szCs w:val="16"/>
          <w:color w:val="auto"/>
        </w:rPr>
      </w:pPr>
    </w:p>
    <w:p>
      <w:pPr>
        <w:jc w:val="both"/>
        <w:ind w:left="-656" w:firstLine="656"/>
        <w:spacing w:after="0" w:line="264" w:lineRule="auto"/>
        <w:tabs>
          <w:tab w:leader="none" w:pos="2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charges or encumbrances on real property imposed by law or arising in the ordinary course of business that do not secure any monetary obligations and do not materially detract from the value of the affected property or materially interfere with the ordinary conduct of business of the Parent Guarantor and its Subsidiaries, taken as a whole;</w:t>
      </w:r>
    </w:p>
    <w:p>
      <w:pPr>
        <w:spacing w:after="0" w:line="181" w:lineRule="exact"/>
        <w:rPr>
          <w:rFonts w:ascii="Arial" w:cs="Arial" w:eastAsia="Arial" w:hAnsi="Arial"/>
          <w:sz w:val="18"/>
          <w:szCs w:val="18"/>
          <w:color w:val="auto"/>
        </w:rPr>
      </w:pPr>
    </w:p>
    <w:p>
      <w:pPr>
        <w:ind w:left="-656" w:firstLine="656"/>
        <w:spacing w:after="0" w:line="277" w:lineRule="auto"/>
        <w:tabs>
          <w:tab w:leader="none" w:pos="267"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interest or title of, and other statutory and common law liens of, a landlord, lessor or sublessor under any lease or sublease or any Lien affecting solely the interest of the landlord, lessor or sublessor;</w:t>
      </w:r>
    </w:p>
    <w:p>
      <w:pPr>
        <w:spacing w:after="0" w:line="170" w:lineRule="exact"/>
        <w:rPr>
          <w:rFonts w:ascii="Arial" w:cs="Arial" w:eastAsia="Arial" w:hAnsi="Arial"/>
          <w:sz w:val="18"/>
          <w:szCs w:val="18"/>
          <w:color w:val="auto"/>
        </w:rPr>
      </w:pPr>
    </w:p>
    <w:p>
      <w:pPr>
        <w:jc w:val="both"/>
        <w:ind w:left="-656" w:right="20" w:firstLine="656"/>
        <w:spacing w:after="0" w:line="312" w:lineRule="auto"/>
        <w:tabs>
          <w:tab w:leader="none" w:pos="254" w:val="left"/>
        </w:tabs>
        <w:numPr>
          <w:ilvl w:val="0"/>
          <w:numId w:val="94"/>
        </w:numPr>
        <w:rPr>
          <w:rFonts w:ascii="Arial" w:cs="Arial" w:eastAsia="Arial" w:hAnsi="Arial"/>
          <w:sz w:val="16"/>
          <w:szCs w:val="16"/>
          <w:color w:val="auto"/>
        </w:rPr>
      </w:pPr>
      <w:r>
        <w:rPr>
          <w:rFonts w:ascii="Arial" w:cs="Arial" w:eastAsia="Arial" w:hAnsi="Arial"/>
          <w:sz w:val="16"/>
          <w:szCs w:val="16"/>
          <w:color w:val="auto"/>
        </w:rPr>
        <w:t>leases, licenses, subleases or sublicenses (i) that are granted to others and do not adversely interfere in any material respect with the business of the Parent Guarantor and its Subsidiaries as conducted at the time granted, taken as a whole, (ii) between or among any of the Lessee, any Guarantor or any of their respective Subsidiaries (or any combination thereof) or (iii) granted to other Persons and not prohibited under Section 9(c) of the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119380</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9" w:right="239" w:bottom="1440" w:gutter="0" w:footer="0" w:header="0"/>
        </w:sectPr>
      </w:pPr>
    </w:p>
    <w:bookmarkStart w:id="114" w:name="page115"/>
    <w:bookmarkEnd w:id="114"/>
    <w:p>
      <w:pPr>
        <w:ind w:left="-8" w:right="20" w:firstLine="656"/>
        <w:spacing w:after="0" w:line="277" w:lineRule="auto"/>
        <w:tabs>
          <w:tab w:leader="none" w:pos="877"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purported Liens evidenced by the filing of precautionary UCC financing statements or similar filings relating to operating leases of personal property entered into by the Parent Guarantor or any of its Subsidiaries in the ordinary course of business;</w:t>
      </w:r>
    </w:p>
    <w:p>
      <w:pPr>
        <w:spacing w:after="0" w:line="170" w:lineRule="exact"/>
        <w:rPr>
          <w:rFonts w:ascii="Arial" w:cs="Arial" w:eastAsia="Arial" w:hAnsi="Arial"/>
          <w:sz w:val="18"/>
          <w:szCs w:val="18"/>
          <w:color w:val="auto"/>
        </w:rPr>
      </w:pPr>
    </w:p>
    <w:p>
      <w:pPr>
        <w:jc w:val="both"/>
        <w:ind w:left="-8" w:firstLine="656"/>
        <w:spacing w:after="0" w:line="264" w:lineRule="auto"/>
        <w:tabs>
          <w:tab w:leader="none" w:pos="889"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interest or title of a licensor under any license or sublicense entered into by the Parent Guarantor or any Subsidiary as a licensee or sublicensee (i) existing on the Original Closing Date or the Restatement Date, (ii) in the ordinary course of its business or (iii) not otherwise prohibited by the Operative Documents;</w:t>
      </w:r>
    </w:p>
    <w:p>
      <w:pPr>
        <w:spacing w:after="0" w:line="181" w:lineRule="exact"/>
        <w:rPr>
          <w:rFonts w:ascii="Arial" w:cs="Arial" w:eastAsia="Arial" w:hAnsi="Arial"/>
          <w:sz w:val="18"/>
          <w:szCs w:val="18"/>
          <w:color w:val="auto"/>
        </w:rPr>
      </w:pPr>
    </w:p>
    <w:p>
      <w:pPr>
        <w:ind w:left="912" w:hanging="264"/>
        <w:spacing w:after="0"/>
        <w:tabs>
          <w:tab w:leader="none" w:pos="912" w:val="left"/>
        </w:tabs>
        <w:numPr>
          <w:ilvl w:val="0"/>
          <w:numId w:val="95"/>
        </w:numPr>
        <w:rPr>
          <w:rFonts w:ascii="Arial" w:cs="Arial" w:eastAsia="Arial" w:hAnsi="Arial"/>
          <w:sz w:val="17"/>
          <w:szCs w:val="17"/>
          <w:color w:val="auto"/>
        </w:rPr>
      </w:pPr>
      <w:r>
        <w:rPr>
          <w:rFonts w:ascii="Arial" w:cs="Arial" w:eastAsia="Arial" w:hAnsi="Arial"/>
          <w:sz w:val="17"/>
          <w:szCs w:val="17"/>
          <w:color w:val="auto"/>
        </w:rPr>
        <w:t>with respect to any real property, immaterial title defects or irregularities that do not materially impair the use of such real property; and</w:t>
      </w:r>
    </w:p>
    <w:p>
      <w:pPr>
        <w:spacing w:after="0" w:line="236" w:lineRule="exact"/>
        <w:rPr>
          <w:rFonts w:ascii="Arial" w:cs="Arial" w:eastAsia="Arial" w:hAnsi="Arial"/>
          <w:sz w:val="17"/>
          <w:szCs w:val="17"/>
          <w:color w:val="auto"/>
        </w:rPr>
      </w:pPr>
    </w:p>
    <w:p>
      <w:pPr>
        <w:ind w:left="-8" w:firstLine="656"/>
        <w:spacing w:after="0" w:line="277" w:lineRule="auto"/>
        <w:tabs>
          <w:tab w:leader="none" w:pos="859"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Liens on real property, fixtures, equipment, other fixed or capital assets or other related assets in connection with a Tax Abatement Transaction in favor of the Related Municipal Party.</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Lien</w:t>
      </w:r>
      <w:r>
        <w:rPr>
          <w:rFonts w:ascii="Arial" w:cs="Arial" w:eastAsia="Arial" w:hAnsi="Arial"/>
          <w:sz w:val="16"/>
          <w:szCs w:val="16"/>
          <w:color w:val="auto"/>
        </w:rPr>
        <w:t>” means (a) the respective rights and interests of the parties to the Operative Documents, as provided in the Operative Documents,</w:t>
      </w:r>
    </w:p>
    <w:p>
      <w:pPr>
        <w:spacing w:after="0" w:line="46" w:lineRule="exact"/>
        <w:rPr>
          <w:sz w:val="20"/>
          <w:szCs w:val="20"/>
          <w:color w:val="auto"/>
        </w:rPr>
      </w:pPr>
    </w:p>
    <w:p>
      <w:pPr>
        <w:jc w:val="both"/>
        <w:ind w:left="-8" w:firstLine="8"/>
        <w:spacing w:after="0" w:line="266" w:lineRule="auto"/>
        <w:tabs>
          <w:tab w:leader="none" w:pos="283" w:val="left"/>
        </w:tabs>
        <w:numPr>
          <w:ilvl w:val="0"/>
          <w:numId w:val="96"/>
        </w:numPr>
        <w:rPr>
          <w:rFonts w:ascii="Arial" w:cs="Arial" w:eastAsia="Arial" w:hAnsi="Arial"/>
          <w:sz w:val="17"/>
          <w:szCs w:val="17"/>
          <w:color w:val="auto"/>
        </w:rPr>
      </w:pPr>
      <w:r>
        <w:rPr>
          <w:rFonts w:ascii="Arial" w:cs="Arial" w:eastAsia="Arial" w:hAnsi="Arial"/>
          <w:sz w:val="17"/>
          <w:szCs w:val="17"/>
          <w:color w:val="auto"/>
        </w:rPr>
        <w:t>Lessor Liens, (c) Liens for Taxes or utility charges that have not yet been paid (to the extent such non-payment does not violate the Lease, the Participation Agreement or Section 8(d) of the Guaranty) or being contested in good faith and by appropriate proceedings diligently conducted, so long as (i) no Event of Default shall have occurred and be continuing, (ii) such proceedings shall not involve any meaningful risk of the sale, forfeiture or loss of any of the Leased Property, the other Collateral, the Operative Documents, title thereto or any interest therein and shall not interfere with the use or disposition of the Leased Property, the other Collateral, the Operative Documents or the payment of Rent, (iii) such proceedings do not impair the perfection or priority of the Lien created by the Lease or the Security Instruments and (iv) the Lessee or the Parent Guarantor has set aside on its books adequate reserves in accordance with GAAP in respect of the Lien, (d) materialmen’s, mechanics’, workers’, repairmen’s, employees’, suppliers’ or other like Liens relating to the construction of any Improvements or in connection with any Modifications or arising in the ordinary course of business and securing obligations that are not overdue by more than sixty (60) days or being contested in good faith and by appropriate proceedings so long as (i) no Event of Default shall have occurred and be continuing, (ii) such proceedings shall not involve any meaningful risk of the sale, forfeiture or loss of any of the Leased Property, the other Collateral, the Operative Documents, title thereto or any interest therein and shall not interfere with the use or disposition of the Leased Property, the other Collateral, the Operative Documents or the payment of Rent and (iii) such proceedings do not impair the perfection or priority of the Lien created by the Lease or the Security Instruments and, (e) Liens arising out of judgments or awards with respect to which appeals or other proceedings for review are being prosecuted in good faith and for the payment of which adequate reserves have been provided as required by GAAP or other appropriate provisions have been made, so long as such proceedings have the effect of staying the execution of such judgments or awards and satisfy the conditions for the continuation of proceedings set forth in Section 12.1 of the Lease, (f) the rights of any sublessee under a sublease permitted pursuant to and subject to the terms of the Lease, (g) easements, rights of way and other encumbrances permitted pursuant to Section 11.2 of the Lease, (h) Liens expressly permitted under the Purchase Agreement, (i) easements, zoning restrictions, rights-of-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409" w:right="239" w:bottom="1440" w:gutter="0" w:footer="0" w:header="0"/>
        </w:sectPr>
      </w:pPr>
    </w:p>
    <w:bookmarkStart w:id="115" w:name="page116"/>
    <w:bookmarkEnd w:id="115"/>
    <w:p>
      <w:pPr>
        <w:jc w:val="both"/>
        <w:spacing w:after="0" w:line="269" w:lineRule="auto"/>
        <w:rPr>
          <w:sz w:val="20"/>
          <w:szCs w:val="20"/>
          <w:color w:val="auto"/>
        </w:rPr>
      </w:pPr>
      <w:r>
        <w:rPr>
          <w:rFonts w:ascii="Arial" w:cs="Arial" w:eastAsia="Arial" w:hAnsi="Arial"/>
          <w:sz w:val="17"/>
          <w:szCs w:val="17"/>
          <w:color w:val="auto"/>
        </w:rPr>
        <w:t>way and similar charges or other Liens imposed by law or arising in the ordinary course of business that do not secure any monetary obligations and do not materially detract from the value of the affected property or materially interfere with the ordinary conduct of business of the Parent Guarantor and its Subsidiaries, taken as a whole, (j) with respect to any real property, immaterial title defects or irregularities that do not materially impair the use of such real property, (k) Liens of any of the types referred to in clause (c), (d) or (e) above that have been bonded for not less than the full amount in dispute (or as to which other security arrangements satisfactory to the Lessor have been made), which bonding (or arrangements) shall comply with Applicable Laws, and has effectively stayed any execution or enforcement of such Liens, (l) Liens described on any of the Title Policies, (m) Liens on real property, fixtures, equipment, other fixed or capital assets or other related assets in connection with a Specified Tax Abatement Transaction in favor of the Related Municipal Party, (n) materialmen’s, mechanics’, workers’, repairmen’s, employees’, suppliers’ or other like Liens relating to the construction of any Improvements or in connection with any Modifications or arising in the ordinary course of business not exceeding (or, if less, attaching to Leased Property having a value not exceeding) $1,000,000 in the aggregate for this clause (n), and (o) Liens for Taxes that have not yet been paid securing obligations not exceeding (or, if less, attaching to Leased Property having a value not exceeding) $50,000 in the aggregate for this clause (o).</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Modification</w:t>
      </w:r>
      <w:r>
        <w:rPr>
          <w:rFonts w:ascii="Arial" w:cs="Arial" w:eastAsia="Arial" w:hAnsi="Arial"/>
          <w:sz w:val="18"/>
          <w:szCs w:val="18"/>
          <w:color w:val="auto"/>
        </w:rPr>
        <w:t>” is defined in Section 10.1(a) of the Lease.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Restructurings</w:t>
      </w:r>
      <w:r>
        <w:rPr>
          <w:rFonts w:ascii="Arial" w:cs="Arial" w:eastAsia="Arial" w:hAnsi="Arial"/>
          <w:sz w:val="16"/>
          <w:szCs w:val="16"/>
          <w:color w:val="auto"/>
        </w:rPr>
        <w:t>” means a transaction or series of transactions pursuant to which direct and indirect Subsidiaries of the Parent Guarantor are converted, restructured or reorganized for tax planning or due to changes or potential changes in any relevant legal or regulatory framework, whether by</w:t>
      </w:r>
    </w:p>
    <w:p>
      <w:pPr>
        <w:jc w:val="both"/>
        <w:ind w:firstLine="8"/>
        <w:spacing w:after="0" w:line="252" w:lineRule="auto"/>
        <w:tabs>
          <w:tab w:leader="none" w:pos="2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transfer, (ii) acquisition, (iii) contribution, (iv) merger, (v) consolidation, (vi) voluntary dissolution, (vii) liquidation, (viii) recapitalization, (ix) change in identity, form, place of organization, incorporation, domicile or, to the extent relevant, centre of main interests (as that term is used in Article 3(1) of the Council of the European Union Regulation No. 1346/2000 on Insolvency Proceedings), or (x) otherwise, in each case the result of which may cause a direct or indirect sale, assignment or transfer of Equity Interests and/or other assets between and among the Parent Guarantor and/or various Subsidiaries of the Parent Guarantor, and in each case to the extent the Administrative Agent (acting in its reasonable credit judgment) approves such Permitted Restructuring (it being understood and agreed that the proposed Permitted Restructurings disclosed in writing by the Parent Guarantor to the Administrative Agent prior to the Restatement Date are approved).</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Personalty</w:t>
      </w:r>
      <w:r>
        <w:rPr>
          <w:rFonts w:ascii="Arial" w:cs="Arial" w:eastAsia="Arial" w:hAnsi="Arial"/>
          <w:sz w:val="18"/>
          <w:szCs w:val="18"/>
          <w:color w:val="auto"/>
        </w:rPr>
        <w:t>” is defined in Section 24.2(c) of the Lease.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Parent Guarantor or any ERISA Affiliate is (or, if such plan were terminated, would under Section 4069 of ERISA be deemed to be) an “employer” as defined in Section 3(5)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6" w:name="page117"/>
    <w:bookmarkEnd w:id="116"/>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Indebtedness</w:t>
      </w:r>
      <w:r>
        <w:rPr>
          <w:rFonts w:ascii="Arial" w:cs="Arial" w:eastAsia="Arial" w:hAnsi="Arial"/>
          <w:sz w:val="18"/>
          <w:szCs w:val="18"/>
          <w:color w:val="auto"/>
        </w:rPr>
        <w:t>” means (a) Indebtedness of the Parent Guarantor or any Subsidiary secured by any Lien on any asset(s) of the Parent Guarantor or any Subsidiary and (b) unsecured Indebtedness of any Subsidiary (other than Lessee, a Bank Credit Agreement Specified Loan Party or a Subsidiary Guarantor), in each case owing to a Person other than the Parent Guarantor or any Subsidiary.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Agreement</w:t>
      </w:r>
      <w:r>
        <w:rPr>
          <w:rFonts w:ascii="Arial" w:cs="Arial" w:eastAsia="Arial" w:hAnsi="Arial"/>
          <w:sz w:val="18"/>
          <w:szCs w:val="18"/>
          <w:color w:val="auto"/>
        </w:rPr>
        <w:t>” means the Purchase Agreement, dated as of December 30, 2016, between Sellers and Lessee (as assignee of Parent Guarantor).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Amount</w:t>
      </w:r>
      <w:r>
        <w:rPr>
          <w:rFonts w:ascii="Arial" w:cs="Arial" w:eastAsia="Arial" w:hAnsi="Arial"/>
          <w:sz w:val="18"/>
          <w:szCs w:val="18"/>
          <w:color w:val="auto"/>
        </w:rPr>
        <w:t xml:space="preserve">” means, as of any date of determination and without duplication, the sum of (a) the Lease Balance,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all other amounts owing by Lessee to the Administrative Agent, if any, and/or the Participants under the Operative Documents (including, but without duplication, accrued and unpaid Rent),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(c) all Break Costs.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Notice</w:t>
      </w:r>
      <w:r>
        <w:rPr>
          <w:rFonts w:ascii="Arial" w:cs="Arial" w:eastAsia="Arial" w:hAnsi="Arial"/>
          <w:sz w:val="18"/>
          <w:szCs w:val="18"/>
          <w:color w:val="auto"/>
        </w:rPr>
        <w:t>” means an irrevocable written notice by the Lessee delivered to the Lessor pursuant to Section 18.1 of the Lease, notifying the Lessor of the Lessee’s intention to exercise its Early Termination Option, and the proposed purchase date therefor.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Option</w:t>
      </w:r>
      <w:r>
        <w:rPr>
          <w:rFonts w:ascii="Arial" w:cs="Arial" w:eastAsia="Arial" w:hAnsi="Arial"/>
          <w:sz w:val="18"/>
          <w:szCs w:val="18"/>
          <w:color w:val="auto"/>
        </w:rPr>
        <w:t>” is defined in Section 19.1(b)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Price</w:t>
      </w:r>
      <w:r>
        <w:rPr>
          <w:rFonts w:ascii="Arial" w:cs="Arial" w:eastAsia="Arial" w:hAnsi="Arial"/>
          <w:sz w:val="18"/>
          <w:szCs w:val="18"/>
          <w:color w:val="auto"/>
        </w:rPr>
        <w:t>” means Seven Hundred Twenty Million Dollars ($720,000,000.00).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PwC</w:t>
      </w:r>
      <w:r>
        <w:rPr>
          <w:rFonts w:ascii="Arial" w:cs="Arial" w:eastAsia="Arial" w:hAnsi="Arial"/>
          <w:sz w:val="18"/>
          <w:szCs w:val="18"/>
          <w:color w:val="auto"/>
        </w:rPr>
        <w:t>” means PricewaterhouseCoopers LLP.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Recipient</w:t>
      </w:r>
      <w:r>
        <w:rPr>
          <w:rFonts w:ascii="Arial" w:cs="Arial" w:eastAsia="Arial" w:hAnsi="Arial"/>
          <w:sz w:val="18"/>
          <w:szCs w:val="18"/>
          <w:color w:val="auto"/>
        </w:rPr>
        <w:t>” is defined in Section 12.3 of the Participation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Municipal Party</w:t>
      </w:r>
      <w:r>
        <w:rPr>
          <w:rFonts w:ascii="Arial" w:cs="Arial" w:eastAsia="Arial" w:hAnsi="Arial"/>
          <w:sz w:val="18"/>
          <w:szCs w:val="18"/>
          <w:color w:val="auto"/>
        </w:rPr>
        <w:t>” means the industrial development agency or other Governmental Authority party to a Tax Abatement Transaction and, if applicable, any trustee or agent with respect to such Tax Abatement Transaction.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Parties</w:t>
      </w:r>
      <w:r>
        <w:rPr>
          <w:rFonts w:ascii="Arial" w:cs="Arial" w:eastAsia="Arial" w:hAnsi="Arial"/>
          <w:sz w:val="18"/>
          <w:szCs w:val="18"/>
          <w:color w:val="auto"/>
        </w:rPr>
        <w:t>” means, with respect to any specified Person, such Person’s Affiliates and the respective partners, directors, officers, employees, agents, trustees, administrators, managers, advisors and representatives of such Person and of such Person’s Affiliates.</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w:t>
      </w:r>
      <w:r>
        <w:rPr>
          <w:rFonts w:ascii="Arial" w:cs="Arial" w:eastAsia="Arial" w:hAnsi="Arial"/>
          <w:sz w:val="16"/>
          <w:szCs w:val="16"/>
          <w:color w:val="auto"/>
        </w:rPr>
        <w:t>” means any release, migrating, pumping, pouring, emptying, injecting, escaping, leaching, dumping, seepage, spill, leak, flow, discharge, disposal or emission of a Hazardous Substance into the environment, including, without limitation, ambient air, surface water, ground water or land.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Renewal Effective Date</w:t>
      </w:r>
      <w:r>
        <w:rPr>
          <w:rFonts w:ascii="Arial" w:cs="Arial" w:eastAsia="Arial" w:hAnsi="Arial"/>
          <w:sz w:val="18"/>
          <w:szCs w:val="18"/>
          <w:color w:val="auto"/>
        </w:rPr>
        <w:t>” is defined at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Renewal Option</w:t>
      </w:r>
      <w:r>
        <w:rPr>
          <w:rFonts w:ascii="Arial" w:cs="Arial" w:eastAsia="Arial" w:hAnsi="Arial"/>
          <w:sz w:val="18"/>
          <w:szCs w:val="18"/>
          <w:color w:val="auto"/>
        </w:rPr>
        <w:t>” is defined in Section 19.1(a)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Renewal Option Request</w:t>
      </w:r>
      <w:r>
        <w:rPr>
          <w:rFonts w:ascii="Arial" w:cs="Arial" w:eastAsia="Arial" w:hAnsi="Arial"/>
          <w:sz w:val="18"/>
          <w:szCs w:val="18"/>
          <w:color w:val="auto"/>
        </w:rPr>
        <w:t>” is defined at Section 4.7(a) of the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7" w:name="page118"/>
    <w:bookmarkEnd w:id="1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Renewal Option Response Date</w:t>
      </w:r>
      <w:r>
        <w:rPr>
          <w:rFonts w:ascii="Arial" w:cs="Arial" w:eastAsia="Arial" w:hAnsi="Arial"/>
          <w:sz w:val="18"/>
          <w:szCs w:val="18"/>
          <w:color w:val="auto"/>
        </w:rPr>
        <w:t>” is defined at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Renewal Rescission</w:t>
      </w:r>
      <w:r>
        <w:rPr>
          <w:rFonts w:ascii="Arial" w:cs="Arial" w:eastAsia="Arial" w:hAnsi="Arial"/>
          <w:sz w:val="18"/>
          <w:szCs w:val="18"/>
          <w:color w:val="auto"/>
        </w:rPr>
        <w:t>” is defined in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Renewal Rescission Period</w:t>
      </w:r>
      <w:r>
        <w:rPr>
          <w:rFonts w:ascii="Arial" w:cs="Arial" w:eastAsia="Arial" w:hAnsi="Arial"/>
          <w:sz w:val="18"/>
          <w:szCs w:val="18"/>
          <w:color w:val="auto"/>
        </w:rPr>
        <w:t>” is defined in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Rent</w:t>
      </w:r>
      <w:r>
        <w:rPr>
          <w:rFonts w:ascii="Arial" w:cs="Arial" w:eastAsia="Arial" w:hAnsi="Arial"/>
          <w:sz w:val="18"/>
          <w:szCs w:val="18"/>
          <w:color w:val="auto"/>
        </w:rPr>
        <w:t>” means, collectively, the Basic Rent and the Supplemental Rent, in each case payable under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Modification</w:t>
      </w:r>
      <w:r>
        <w:rPr>
          <w:rFonts w:ascii="Arial" w:cs="Arial" w:eastAsia="Arial" w:hAnsi="Arial"/>
          <w:sz w:val="18"/>
          <w:szCs w:val="18"/>
          <w:color w:val="auto"/>
        </w:rPr>
        <w:t>” is defined in Section 10.1(a) of the Lease.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Required Participants</w:t>
      </w:r>
      <w:r>
        <w:rPr>
          <w:rFonts w:ascii="Arial" w:cs="Arial" w:eastAsia="Arial" w:hAnsi="Arial"/>
          <w:sz w:val="17"/>
          <w:szCs w:val="17"/>
          <w:color w:val="auto"/>
        </w:rPr>
        <w:t>” means, at any time, the Participants whose aggregate Credit Exposures (as hereinafter defined) constitute more than 50% of the aggregate Credit Exposure of all Participants at such time. For purposes of the preceding sentence, the term “</w:t>
      </w:r>
      <w:r>
        <w:rPr>
          <w:rFonts w:ascii="Arial" w:cs="Arial" w:eastAsia="Arial" w:hAnsi="Arial"/>
          <w:sz w:val="17"/>
          <w:szCs w:val="17"/>
          <w:i w:val="1"/>
          <w:iCs w:val="1"/>
          <w:color w:val="auto"/>
        </w:rPr>
        <w:t>Credit Exposure</w:t>
      </w:r>
      <w:r>
        <w:rPr>
          <w:rFonts w:ascii="Arial" w:cs="Arial" w:eastAsia="Arial" w:hAnsi="Arial"/>
          <w:sz w:val="17"/>
          <w:szCs w:val="17"/>
          <w:color w:val="auto"/>
        </w:rPr>
        <w:t>” as applied to (i) the Lessor shall mean the outstanding Lessor Amount owed to the Lessor at such time and (ii) each Lender shall mean the aggregate principal amount of Loans held by such Lender at such time net of any distributions (other than distributions of Interest) with respect thereto.</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relative to the Lessee or a Guarantor, as the context may require, the chief executive officer, president, a Financial Officer or chief legal officer of the Lessee or such Guarantor, as applicable, or any other Person designated by the Lessee or such Guarantor, as applicable, in writing to the Administrative Agent and reasonably acceptable to the Administrative Agent.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Officer’s Certificate</w:t>
      </w:r>
      <w:r>
        <w:rPr>
          <w:rFonts w:ascii="Arial" w:cs="Arial" w:eastAsia="Arial" w:hAnsi="Arial"/>
          <w:sz w:val="18"/>
          <w:szCs w:val="18"/>
          <w:color w:val="auto"/>
        </w:rPr>
        <w:t>” means a certificate signed by any Responsible Officer of the Lessee or a Guarantor, as the context may require, which certificate shall certify as true and correct the subject matter being certified to in such certificate.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Restated Operative Documents</w:t>
      </w:r>
      <w:r>
        <w:rPr>
          <w:rFonts w:ascii="Arial" w:cs="Arial" w:eastAsia="Arial" w:hAnsi="Arial"/>
          <w:sz w:val="18"/>
          <w:szCs w:val="18"/>
          <w:color w:val="auto"/>
        </w:rPr>
        <w:t>” means, collectively, the Participation Agreement, the Guaranty, and the Lease, in each case, as amended and restated as of the Restatement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Restatement Date</w:t>
      </w:r>
      <w:r>
        <w:rPr>
          <w:rFonts w:ascii="Arial" w:cs="Arial" w:eastAsia="Arial" w:hAnsi="Arial"/>
          <w:sz w:val="18"/>
          <w:szCs w:val="18"/>
          <w:color w:val="auto"/>
        </w:rPr>
        <w:t>” is defined in Section 2.4 of the Participation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Payment</w:t>
      </w:r>
      <w:r>
        <w:rPr>
          <w:rFonts w:ascii="Arial" w:cs="Arial" w:eastAsia="Arial" w:hAnsi="Arial"/>
          <w:sz w:val="17"/>
          <w:szCs w:val="17"/>
          <w:color w:val="auto"/>
        </w:rPr>
        <w:t>” means (a) any dividend or other distribution (whether in cash, securities or other property) with respect to any Equity Interests in the Parent Guarantor or any Subsidiary, and (b) any payment (whether in cash, securities or other property), including any sinking fund or similar deposit, on account of the purchase, redemption, retirement, acquisition, cancellation or termination of any Equity Interests in the Parent Guarantor or any option, warrant or other similar right to acquire any such Equity Interests in the Parent Guarantor. Notwithstanding the foregoing, and for the avoidance of doubt, any of the foregoing directly on account of any Permitted Convertible Notes or any Permitted Call Spread Swap Agreement, including (i) any issuance of, conversion of (including any cash payment upon conversion), or payment of any principal or premium on, or payment of any interest with respect to, or any other exercise of rights or performance of obligations under any Permitted Convertible Notes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8" w:name="page119"/>
    <w:bookmarkEnd w:id="118"/>
    <w:p>
      <w:pPr>
        <w:ind w:firstLine="8"/>
        <w:spacing w:after="0" w:line="277" w:lineRule="auto"/>
        <w:tabs>
          <w:tab w:leader="none" w:pos="294"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entry into, payment with respect to, or early unwind or settlement of, or any other exercise of rights or performance of obligations under any Permitted Call Spread Swap Agreement, in any such case, shall not constitute a Restricted Payment.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w:t>
      </w:r>
      <w:r>
        <w:rPr>
          <w:rFonts w:ascii="Arial" w:cs="Arial" w:eastAsia="Arial" w:hAnsi="Arial"/>
          <w:sz w:val="18"/>
          <w:szCs w:val="18"/>
          <w:color w:val="auto"/>
        </w:rPr>
        <w:t>” means any sale or other transfer of any property or asset by any Person with the intent to lease such property or asset as lessee.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Option</w:t>
      </w:r>
      <w:r>
        <w:rPr>
          <w:rFonts w:ascii="Arial" w:cs="Arial" w:eastAsia="Arial" w:hAnsi="Arial"/>
          <w:sz w:val="18"/>
          <w:szCs w:val="18"/>
          <w:color w:val="auto"/>
        </w:rPr>
        <w:t>” is defined in Section 19.1(c) of the Lease.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Sale Option Recourse Amount</w:t>
      </w:r>
      <w:r>
        <w:rPr>
          <w:rFonts w:ascii="Arial" w:cs="Arial" w:eastAsia="Arial" w:hAnsi="Arial"/>
          <w:sz w:val="17"/>
          <w:szCs w:val="17"/>
          <w:color w:val="auto"/>
        </w:rPr>
        <w:t>” means, as of any date of determination, the Lease Balance and all other amounts owing by Lessee to the Administrative Agent, if any, and/or the Participants under the Operative Documents (including, but without duplication, accrued and unpaid Rent).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Sanctioned Country</w:t>
      </w:r>
      <w:r>
        <w:rPr>
          <w:rFonts w:ascii="Arial" w:cs="Arial" w:eastAsia="Arial" w:hAnsi="Arial"/>
          <w:sz w:val="18"/>
          <w:szCs w:val="18"/>
          <w:color w:val="auto"/>
        </w:rPr>
        <w:t>” means, at any time, a country, region or territory which is itself the subject or target of any comprehensive Sanctions (which for purposes of illustration and clarification includes, as of the Restatement Date, Crimea, Cuba, Iran, North Korea and Syria).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Sanctioned Person</w:t>
      </w:r>
      <w:r>
        <w:rPr>
          <w:rFonts w:ascii="Arial" w:cs="Arial" w:eastAsia="Arial" w:hAnsi="Arial"/>
          <w:sz w:val="18"/>
          <w:szCs w:val="18"/>
          <w:color w:val="auto"/>
        </w:rPr>
        <w:t>” means, at any time, (a) any Person listed in any Sanctions-related list of designated Persons maintained by OFAC or the U.S. Department of State, (b) any Person located, organized or resident in a Sanctioned Country, or (c) any Person owned 50% or more or controlled by any such Person described in clause (a) or (b) above.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Sanctions</w:t>
      </w:r>
      <w:r>
        <w:rPr>
          <w:rFonts w:ascii="Arial" w:cs="Arial" w:eastAsia="Arial" w:hAnsi="Arial"/>
          <w:sz w:val="17"/>
          <w:szCs w:val="17"/>
          <w:color w:val="auto"/>
        </w:rPr>
        <w:t>” means economic or financial sanctions or trade embargoes imposed, administered or enforced from time to time by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including those administered by OFAC or the U.S. Department of State.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 means the United States Securities and Exchange Commission or any Governmental Authority succeeding to any of its principal functions.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United States Securities Act of 1933.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Instruments</w:t>
      </w:r>
      <w:r>
        <w:rPr>
          <w:rFonts w:ascii="Arial" w:cs="Arial" w:eastAsia="Arial" w:hAnsi="Arial"/>
          <w:sz w:val="18"/>
          <w:szCs w:val="18"/>
          <w:color w:val="auto"/>
        </w:rPr>
        <w:t>” means the Lease, the Assignment of Leases and the UCC Financing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Property</w:t>
      </w:r>
      <w:r>
        <w:rPr>
          <w:rFonts w:ascii="Arial" w:cs="Arial" w:eastAsia="Arial" w:hAnsi="Arial"/>
          <w:sz w:val="18"/>
          <w:szCs w:val="18"/>
          <w:color w:val="auto"/>
        </w:rPr>
        <w:t>” is defined in Section 24.2(b)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Sellers</w:t>
      </w:r>
      <w:r>
        <w:rPr>
          <w:rFonts w:ascii="Arial" w:cs="Arial" w:eastAsia="Arial" w:hAnsi="Arial"/>
          <w:sz w:val="18"/>
          <w:szCs w:val="18"/>
          <w:color w:val="auto"/>
        </w:rPr>
        <w:t>” means BMR-Landmark at Eastview LLC and BMR-Landmark Eastview IV LLC.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Casualty</w:t>
      </w:r>
      <w:r>
        <w:rPr>
          <w:rFonts w:ascii="Arial" w:cs="Arial" w:eastAsia="Arial" w:hAnsi="Arial"/>
          <w:sz w:val="18"/>
          <w:szCs w:val="18"/>
          <w:color w:val="auto"/>
        </w:rPr>
        <w:t>” means that the Leased Property shall suffer (i) damage or destruction if the resulting cost to repair or restore the Leased Property is in excess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9" w:name="page120"/>
    <w:bookmarkEnd w:id="119"/>
    <w:p>
      <w:pPr>
        <w:jc w:val="both"/>
        <w:spacing w:after="0" w:line="277" w:lineRule="auto"/>
        <w:rPr>
          <w:sz w:val="20"/>
          <w:szCs w:val="20"/>
          <w:color w:val="auto"/>
        </w:rPr>
      </w:pPr>
      <w:r>
        <w:rPr>
          <w:rFonts w:ascii="Arial" w:cs="Arial" w:eastAsia="Arial" w:hAnsi="Arial"/>
          <w:sz w:val="18"/>
          <w:szCs w:val="18"/>
          <w:color w:val="auto"/>
        </w:rPr>
        <w:t>$100,000,000 and cannot be restored prior to the Expiration Date or (ii) damage or destruction if the resulting cost to repair or restore the Leased Property is in excess of $250,000,000.</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Condemnation</w:t>
      </w:r>
      <w:r>
        <w:rPr>
          <w:rFonts w:ascii="Arial" w:cs="Arial" w:eastAsia="Arial" w:hAnsi="Arial"/>
          <w:sz w:val="18"/>
          <w:szCs w:val="18"/>
          <w:color w:val="auto"/>
        </w:rPr>
        <w:t>” means that (i) (x) title to all or any material portion of the Leased Property shall be taken or appropriated by a Governmental Authority under the power of eminent domain or otherwise, (y) all or any material portion of the Leased Property shall be taken, confiscated, seized or requisitioned for use by any Governmental Authority under the power of eminent domain or otherwise, and such taking, confiscation, seizure or requisition for use pursuant to this clause (y) is for a period that exceeds one hundred eighty (180) consecutive days or, if less, the remaining portion of the Term, or (ii) as a result of any rule, regulation, order or other action by any Governmental Authority, the use of the Leased Property in commercial operation shall have been prohibited, directly or indirectly, for a period of sixty (60) consecutive days.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Environmental Event</w:t>
      </w:r>
      <w:r>
        <w:rPr>
          <w:rFonts w:ascii="Arial" w:cs="Arial" w:eastAsia="Arial" w:hAnsi="Arial"/>
          <w:sz w:val="18"/>
          <w:szCs w:val="18"/>
          <w:color w:val="auto"/>
        </w:rPr>
        <w:t>” means an Environmental Violation the cost of remediation of which, in the reasonable judgment of an independent environmental consultant would exceed $1,000,000.</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Site</w:t>
      </w:r>
      <w:r>
        <w:rPr>
          <w:rFonts w:ascii="Arial" w:cs="Arial" w:eastAsia="Arial" w:hAnsi="Arial"/>
          <w:sz w:val="18"/>
          <w:szCs w:val="18"/>
          <w:color w:val="auto"/>
        </w:rPr>
        <w:t>” means an approximately 150-acre parcel of real property and the Facility and other improvements thereon located in the towns of Mount Pleasant and Greenburgh, New York as more fully described in the Lease, including any Appurtenant Rights, but, in any such case, excluding Excluded Property.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Lease Arrangements</w:t>
      </w:r>
      <w:r>
        <w:rPr>
          <w:rFonts w:ascii="Arial" w:cs="Arial" w:eastAsia="Arial" w:hAnsi="Arial"/>
          <w:sz w:val="18"/>
          <w:szCs w:val="18"/>
          <w:color w:val="auto"/>
        </w:rPr>
        <w:t>” means, to the extent any of the following constitute Capital Lease Obligations (but for the provisions set forth in clause (b) of this Appendix 1 to the Participation Agreement) or other obligations reflected as a liability on the consolidated balance sheet of the Parent Guarantor, (a) any obligations of the Parent Guarantor and its Subsidiaries owed to any Affiliates of the Parent Guarantor related to leases of assets (whether pursuant to a Sale and Leaseback Transaction or otherwise), (b) any arrangement similar to either of the Existing Leases identified in clause “(a)” or “(b)” of the definition thereof (each as in effect immediately prior to the Original Closing Date), (c) the Obligations and Liabilities and (d) any lease or other obligation that was or would have been categorized as “facility lease obligations” or “facility financing obligations” on the Parent Guarantor’s consolidated balance sheet as of the Bank Credit Agreement Effective Date.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Material Environmental Violation</w:t>
      </w:r>
      <w:r>
        <w:rPr>
          <w:rFonts w:ascii="Arial" w:cs="Arial" w:eastAsia="Arial" w:hAnsi="Arial"/>
          <w:sz w:val="18"/>
          <w:szCs w:val="18"/>
          <w:color w:val="auto"/>
        </w:rPr>
        <w:t>” is defined in Section 14.3(b) of the Lease.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Significant Environmental Event</w:t>
      </w:r>
      <w:r>
        <w:rPr>
          <w:rFonts w:ascii="Arial" w:cs="Arial" w:eastAsia="Arial" w:hAnsi="Arial"/>
          <w:sz w:val="18"/>
          <w:szCs w:val="18"/>
          <w:color w:val="auto"/>
        </w:rPr>
        <w:t>” means (a) the occurrence of a Specified Material Environmental Violation but only to the extent and for so long as the Lessor shall have the right to terminate the Lease pursuant to Section 14.3(b) of the Lease due to such Specified Material Environmental Violation or (b) an Environmental Violation the cost of remediation of which, in the reasonable judgment of the Participants, after consultation with an independent environmental consultant and the Lessee, would exceed $25,000,000.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Tax Abatement Documents</w:t>
      </w:r>
      <w:r>
        <w:rPr>
          <w:rFonts w:ascii="Arial" w:cs="Arial" w:eastAsia="Arial" w:hAnsi="Arial"/>
          <w:sz w:val="18"/>
          <w:szCs w:val="18"/>
          <w:color w:val="auto"/>
        </w:rPr>
        <w:t>” means the documents evidencing each Specified Tax Abatement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20" w:name="page121"/>
    <w:bookmarkEnd w:id="1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Tax Abatement Transaction</w:t>
      </w:r>
      <w:r>
        <w:rPr>
          <w:rFonts w:ascii="Arial" w:cs="Arial" w:eastAsia="Arial" w:hAnsi="Arial"/>
          <w:sz w:val="18"/>
          <w:szCs w:val="18"/>
          <w:color w:val="auto"/>
        </w:rPr>
        <w:t>” means any Tax Abatement Transaction with respect to all or any part of the Leased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Subject Contract</w:t>
      </w:r>
      <w:r>
        <w:rPr>
          <w:rFonts w:ascii="Arial" w:cs="Arial" w:eastAsia="Arial" w:hAnsi="Arial"/>
          <w:sz w:val="18"/>
          <w:szCs w:val="18"/>
          <w:color w:val="auto"/>
        </w:rPr>
        <w:t>” is defined in Section 24.2(b)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Subject Leases</w:t>
      </w:r>
      <w:r>
        <w:rPr>
          <w:rFonts w:ascii="Arial" w:cs="Arial" w:eastAsia="Arial" w:hAnsi="Arial"/>
          <w:sz w:val="18"/>
          <w:szCs w:val="18"/>
          <w:color w:val="auto"/>
        </w:rPr>
        <w:t>” is defined in Section 24.2(b)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Sub-Participant</w:t>
      </w:r>
      <w:r>
        <w:rPr>
          <w:rFonts w:ascii="Arial" w:cs="Arial" w:eastAsia="Arial" w:hAnsi="Arial"/>
          <w:sz w:val="18"/>
          <w:szCs w:val="18"/>
          <w:color w:val="auto"/>
        </w:rPr>
        <w:t>” is defined in Section 12.2 of the Participation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or “</w:t>
      </w:r>
      <w:r>
        <w:rPr>
          <w:rFonts w:ascii="Arial" w:cs="Arial" w:eastAsia="Arial" w:hAnsi="Arial"/>
          <w:sz w:val="17"/>
          <w:szCs w:val="17"/>
          <w:i w:val="1"/>
          <w:iCs w:val="1"/>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i w:val="1"/>
          <w:iCs w:val="1"/>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Unless otherwise qualified, all references to a “Subsidiary” or “subsidiary” in any Operative Document shall refer to a Subsidiary of the Parent Guarantor.</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each Material Domestic Subsidiary that is a party to the Guaranty. The Subsidiary Guarantors on the Restatement Date are identified as such in Schedule IV attached to the Participation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Supplemental Rent</w:t>
      </w:r>
      <w:r>
        <w:rPr>
          <w:rFonts w:ascii="Arial" w:cs="Arial" w:eastAsia="Arial" w:hAnsi="Arial"/>
          <w:sz w:val="18"/>
          <w:szCs w:val="18"/>
          <w:color w:val="auto"/>
        </w:rPr>
        <w:t>” means all amounts, liabilities and obligations for the payment of money (other than Basic Rent) which Lessee assumes or agrees to pay or is otherwise obligated to pay under the Lease or any other Operative Document (whether or not designated as Supplemental Rent) to Lessor, Administrative Agent or any other Person, including, without limitation, Break Costs, any Sale Option Recourse Amount, any Lease Balance and all rent and other amounts payable under the Lease.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Parent Guarantor, Lessee or any Subsidiary shall be a Swap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Abatement Documents</w:t>
      </w:r>
      <w:r>
        <w:rPr>
          <w:rFonts w:ascii="Arial" w:cs="Arial" w:eastAsia="Arial" w:hAnsi="Arial"/>
          <w:sz w:val="18"/>
          <w:szCs w:val="18"/>
          <w:color w:val="auto"/>
        </w:rPr>
        <w:t>” means the documents evidencing each Tax Abatement Transaction.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Abatement Transaction</w:t>
      </w:r>
      <w:r>
        <w:rPr>
          <w:rFonts w:ascii="Arial" w:cs="Arial" w:eastAsia="Arial" w:hAnsi="Arial"/>
          <w:sz w:val="17"/>
          <w:szCs w:val="17"/>
          <w:color w:val="auto"/>
        </w:rPr>
        <w:t>” means a transaction between the Parent Guarantor, Lessee and/or any Subsidiary, on the one hand, and a Related Municipal Party, on the other hand (and, if applicable, other Person(s)), entered into for the purposes of reducing certain of the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21" w:name="page122"/>
    <w:bookmarkEnd w:id="121"/>
    <w:p>
      <w:pPr>
        <w:jc w:val="both"/>
        <w:spacing w:after="0" w:line="272" w:lineRule="auto"/>
        <w:rPr>
          <w:sz w:val="20"/>
          <w:szCs w:val="20"/>
          <w:color w:val="auto"/>
        </w:rPr>
      </w:pPr>
      <w:r>
        <w:rPr>
          <w:rFonts w:ascii="Arial" w:cs="Arial" w:eastAsia="Arial" w:hAnsi="Arial"/>
          <w:sz w:val="17"/>
          <w:szCs w:val="17"/>
          <w:color w:val="auto"/>
        </w:rPr>
        <w:t>Guarantor’s, Lessee’s and/or any Subsidiary’s Tax liabilities through (a) the sale, other transfer, lease or license to such Related Municipal Party of title to or an interest in real property, fixtures, equipment, other fixed or capital assets or other related assets of the Parent Guarantor, Lessee or such Subsidiary, (b) the granting to such Related Municipal Party of Liens on real property, fixtures, equipment, other fixed or capital assets or other related assets of the Parent Guarantor, Lessee or such Subsidiary, (c) a Sale and Leaseback Transaction or other transfer and licensing arrangement between the Parent Guarantor, Lessee and/or any Subsidiary, on the one hand, and such Related Municipal Party, on the other hand (and, if applicable, such other Person(s)), with respect to real property, fixtures, equipment, other fixed or capital assets or other related assets of the Parent Guarantor, Lessee or such Subsidiary, (d) any PILOT agreement or (e) any combination of the foregoing or through arrangements similar thereto.</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Indemnitee</w:t>
      </w:r>
      <w:r>
        <w:rPr>
          <w:rFonts w:ascii="Arial" w:cs="Arial" w:eastAsia="Arial" w:hAnsi="Arial"/>
          <w:sz w:val="18"/>
          <w:szCs w:val="18"/>
          <w:color w:val="auto"/>
        </w:rPr>
        <w:t>” is defined in the definition of General Indemnitee.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is defined in the definition of Impositions.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w:t>
      </w:r>
      <w:r>
        <w:rPr>
          <w:rFonts w:ascii="Arial" w:cs="Arial" w:eastAsia="Arial" w:hAnsi="Arial"/>
          <w:sz w:val="18"/>
          <w:szCs w:val="18"/>
          <w:color w:val="auto"/>
        </w:rPr>
        <w:t>” is defined in Section 2.3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is defined in Section 15.2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Notice</w:t>
      </w:r>
      <w:r>
        <w:rPr>
          <w:rFonts w:ascii="Arial" w:cs="Arial" w:eastAsia="Arial" w:hAnsi="Arial"/>
          <w:sz w:val="18"/>
          <w:szCs w:val="18"/>
          <w:color w:val="auto"/>
        </w:rPr>
        <w:t>” is defined in Section 15.1(a) of the Lease.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Insurance Company</w:t>
      </w:r>
      <w:r>
        <w:rPr>
          <w:rFonts w:ascii="Arial" w:cs="Arial" w:eastAsia="Arial" w:hAnsi="Arial"/>
          <w:sz w:val="18"/>
          <w:szCs w:val="18"/>
          <w:color w:val="auto"/>
        </w:rPr>
        <w:t>” means (i) Chicago Title Insurance Company and First American Title Insurance Company with respect to the Administrative Agent’s Policy and (ii) Chicago Title Insurance Company, First American Title Insurance Company, Commonwealth Land Title Insurance Company and Old Republic National Title Insurance Company with respect to the Owner’s Policy, and, in each case, their successors or another national title insurance company selected by Lessee and reasonably satisfactory to the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Policies</w:t>
      </w:r>
      <w:r>
        <w:rPr>
          <w:rFonts w:ascii="Arial" w:cs="Arial" w:eastAsia="Arial" w:hAnsi="Arial"/>
          <w:sz w:val="18"/>
          <w:szCs w:val="18"/>
          <w:color w:val="auto"/>
        </w:rPr>
        <w:t>” is defined in Section 6.1(x)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Leverage Ratio</w:t>
      </w:r>
      <w:r>
        <w:rPr>
          <w:rFonts w:ascii="Arial" w:cs="Arial" w:eastAsia="Arial" w:hAnsi="Arial"/>
          <w:sz w:val="18"/>
          <w:szCs w:val="18"/>
          <w:color w:val="auto"/>
        </w:rPr>
        <w:t>” is defined in Section 9(f) of the Guaranty.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 Expenses</w:t>
      </w:r>
      <w:r>
        <w:rPr>
          <w:rFonts w:ascii="Arial" w:cs="Arial" w:eastAsia="Arial" w:hAnsi="Arial"/>
          <w:sz w:val="17"/>
          <w:szCs w:val="17"/>
          <w:color w:val="auto"/>
        </w:rPr>
        <w:t>” means all reasonable costs and expenses incurred in connection with the preparation, execution and delivery of the Operative Documents and the transactions contemplated by the Operative Documents, including, without limitation, the following (it being acknowledged that (i) the fees, costs and expenses referred to in clauses (a), (c), (d), (f), (g), (h), and (j) below were previously paid in full, and (ii) to the extent due and payable prior to the Restatement Date, the fees, costs and expenses referred to in clauses (b), (e), and (i) below were previously paid):</w:t>
      </w:r>
    </w:p>
    <w:p>
      <w:pPr>
        <w:spacing w:after="0" w:line="171" w:lineRule="exact"/>
        <w:rPr>
          <w:sz w:val="20"/>
          <w:szCs w:val="20"/>
          <w:color w:val="auto"/>
        </w:rPr>
      </w:pPr>
    </w:p>
    <w:p>
      <w:pPr>
        <w:jc w:val="both"/>
        <w:ind w:left="660" w:firstLine="645"/>
        <w:spacing w:after="0" w:line="264" w:lineRule="auto"/>
        <w:tabs>
          <w:tab w:leader="none" w:pos="15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Arranger Fee payable to BALC and BALC’s reasonable and documented out-of-pocket costs and expenses, including the costs and expenses incurred by BALC, with respect to any syndication and any other reasonable and documented out-of-pocket expenses of Arranger in connection with the consummation of the Overall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22" w:name="page123"/>
    <w:bookmarkEnd w:id="122"/>
    <w:p>
      <w:pPr>
        <w:ind w:left="1632" w:hanging="246"/>
        <w:spacing w:after="0"/>
        <w:tabs>
          <w:tab w:leader="none" w:pos="163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reasonable and documented fees and expenses of Chapman and Cutler LLP, special counsel to the Lessor;</w:t>
      </w:r>
    </w:p>
    <w:p>
      <w:pPr>
        <w:spacing w:after="0" w:line="225" w:lineRule="exact"/>
        <w:rPr>
          <w:rFonts w:ascii="Arial" w:cs="Arial" w:eastAsia="Arial" w:hAnsi="Arial"/>
          <w:sz w:val="18"/>
          <w:szCs w:val="18"/>
          <w:color w:val="auto"/>
        </w:rPr>
      </w:pPr>
    </w:p>
    <w:p>
      <w:pPr>
        <w:ind w:left="652" w:right="20" w:firstLine="734"/>
        <w:spacing w:after="0" w:line="277" w:lineRule="auto"/>
        <w:tabs>
          <w:tab w:leader="none" w:pos="167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initial fees and reasonable and documented out-of-pocket expenses of each of Lessor and Administrative Agent incurred in connection with the consummation of the Overall Transaction;</w:t>
      </w:r>
    </w:p>
    <w:p>
      <w:pPr>
        <w:spacing w:after="0" w:line="170" w:lineRule="exact"/>
        <w:rPr>
          <w:rFonts w:ascii="Arial" w:cs="Arial" w:eastAsia="Arial" w:hAnsi="Arial"/>
          <w:sz w:val="18"/>
          <w:szCs w:val="18"/>
          <w:color w:val="auto"/>
        </w:rPr>
      </w:pPr>
    </w:p>
    <w:p>
      <w:pPr>
        <w:ind w:left="652" w:firstLine="734"/>
        <w:spacing w:after="0" w:line="277" w:lineRule="auto"/>
        <w:tabs>
          <w:tab w:leader="none" w:pos="166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applicable reasonable and documented appraisal fees and reasonable and documented expenses incurred in connection with the Appraisal that was delivered pursuant to Section 6.1(v) of the Participation Agreement;</w:t>
      </w:r>
    </w:p>
    <w:p>
      <w:pPr>
        <w:spacing w:after="0" w:line="170" w:lineRule="exact"/>
        <w:rPr>
          <w:rFonts w:ascii="Arial" w:cs="Arial" w:eastAsia="Arial" w:hAnsi="Arial"/>
          <w:sz w:val="18"/>
          <w:szCs w:val="18"/>
          <w:color w:val="auto"/>
        </w:rPr>
      </w:pPr>
    </w:p>
    <w:p>
      <w:pPr>
        <w:ind w:left="652" w:firstLine="734"/>
        <w:spacing w:after="0" w:line="277" w:lineRule="auto"/>
        <w:tabs>
          <w:tab w:leader="none" w:pos="167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search fees, recording fees, filing fees and Taxes incurred in connection with Lien searches and the filing of UCC Financing Statements, Memorandum of Lease and any and all mortgages, deeds of trust or other Operative Documents;</w:t>
      </w:r>
    </w:p>
    <w:p>
      <w:pPr>
        <w:spacing w:after="0" w:line="170" w:lineRule="exact"/>
        <w:rPr>
          <w:rFonts w:ascii="Arial" w:cs="Arial" w:eastAsia="Arial" w:hAnsi="Arial"/>
          <w:sz w:val="18"/>
          <w:szCs w:val="18"/>
          <w:color w:val="auto"/>
        </w:rPr>
      </w:pPr>
    </w:p>
    <w:p>
      <w:pPr>
        <w:ind w:left="652" w:firstLine="734"/>
        <w:spacing w:after="0" w:line="308" w:lineRule="auto"/>
        <w:tabs>
          <w:tab w:leader="none" w:pos="163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title fees, premiums and escrow costs and other expenses relating to title insurance incurred in connection with the Advance as contemplated by the Operative Documents, and any reasonable and documented expenses incurred for the inspection of the site;</w:t>
      </w:r>
    </w:p>
    <w:p>
      <w:pPr>
        <w:spacing w:after="0" w:line="146" w:lineRule="exact"/>
        <w:rPr>
          <w:rFonts w:ascii="Arial" w:cs="Arial" w:eastAsia="Arial" w:hAnsi="Arial"/>
          <w:sz w:val="17"/>
          <w:szCs w:val="17"/>
          <w:color w:val="auto"/>
        </w:rPr>
      </w:pPr>
    </w:p>
    <w:p>
      <w:pPr>
        <w:ind w:left="1632" w:hanging="246"/>
        <w:spacing w:after="0"/>
        <w:tabs>
          <w:tab w:leader="none" w:pos="163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reasonable and documented costs and expenses for the survey of the Site;</w:t>
      </w:r>
    </w:p>
    <w:p>
      <w:pPr>
        <w:spacing w:after="0" w:line="225" w:lineRule="exact"/>
        <w:rPr>
          <w:rFonts w:ascii="Arial" w:cs="Arial" w:eastAsia="Arial" w:hAnsi="Arial"/>
          <w:sz w:val="18"/>
          <w:szCs w:val="18"/>
          <w:color w:val="auto"/>
        </w:rPr>
      </w:pPr>
    </w:p>
    <w:p>
      <w:pPr>
        <w:ind w:left="1632" w:hanging="246"/>
        <w:spacing w:after="0"/>
        <w:tabs>
          <w:tab w:leader="none" w:pos="163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reasonable and documented costs and expenses for the review of the environmental reports of the Site by Lessor;</w:t>
      </w:r>
    </w:p>
    <w:p>
      <w:pPr>
        <w:spacing w:after="0" w:line="225" w:lineRule="exact"/>
        <w:rPr>
          <w:rFonts w:ascii="Arial" w:cs="Arial" w:eastAsia="Arial" w:hAnsi="Arial"/>
          <w:sz w:val="18"/>
          <w:szCs w:val="18"/>
          <w:color w:val="auto"/>
        </w:rPr>
      </w:pPr>
    </w:p>
    <w:p>
      <w:pPr>
        <w:ind w:left="1592" w:hanging="206"/>
        <w:spacing w:after="0"/>
        <w:tabs>
          <w:tab w:leader="none" w:pos="15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Fees payable to Administrative Agent; and</w:t>
      </w:r>
    </w:p>
    <w:p>
      <w:pPr>
        <w:spacing w:after="0" w:line="225" w:lineRule="exact"/>
        <w:rPr>
          <w:rFonts w:ascii="Arial" w:cs="Arial" w:eastAsia="Arial" w:hAnsi="Arial"/>
          <w:sz w:val="18"/>
          <w:szCs w:val="18"/>
          <w:color w:val="auto"/>
        </w:rPr>
      </w:pPr>
    </w:p>
    <w:p>
      <w:pPr>
        <w:ind w:left="1592" w:hanging="206"/>
        <w:spacing w:after="0"/>
        <w:tabs>
          <w:tab w:leader="none" w:pos="15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reasonable and documented fees and expenses of the Insurance Consultant.</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 Financing Statements</w:t>
      </w:r>
      <w:r>
        <w:rPr>
          <w:rFonts w:ascii="Arial" w:cs="Arial" w:eastAsia="Arial" w:hAnsi="Arial"/>
          <w:sz w:val="18"/>
          <w:szCs w:val="18"/>
          <w:color w:val="auto"/>
        </w:rPr>
        <w:t>” means collectively the Participant Financing Statements and the Lessor Financing Statements.</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Uniform Commercial Code</w:t>
      </w:r>
      <w:r>
        <w:rPr>
          <w:rFonts w:ascii="Arial" w:cs="Arial" w:eastAsia="Arial" w:hAnsi="Arial"/>
          <w:sz w:val="17"/>
          <w:szCs w:val="17"/>
          <w:color w:val="auto"/>
        </w:rPr>
        <w:t>” and “</w:t>
      </w:r>
      <w:r>
        <w:rPr>
          <w:rFonts w:ascii="Arial" w:cs="Arial" w:eastAsia="Arial" w:hAnsi="Arial"/>
          <w:sz w:val="17"/>
          <w:szCs w:val="17"/>
          <w:i w:val="1"/>
          <w:iCs w:val="1"/>
          <w:color w:val="auto"/>
        </w:rPr>
        <w:t>UCC</w:t>
      </w:r>
      <w:r>
        <w:rPr>
          <w:rFonts w:ascii="Arial" w:cs="Arial" w:eastAsia="Arial" w:hAnsi="Arial"/>
          <w:sz w:val="17"/>
          <w:szCs w:val="17"/>
          <w:color w:val="auto"/>
        </w:rPr>
        <w:t>” means the Uniform Commercial Code as in effect from time to time in any applicable jurisdiction.</w:t>
      </w:r>
    </w:p>
    <w:p>
      <w:pPr>
        <w:spacing w:after="0" w:line="23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and “</w:t>
      </w:r>
      <w:r>
        <w:rPr>
          <w:rFonts w:ascii="Arial" w:cs="Arial" w:eastAsia="Arial" w:hAnsi="Arial"/>
          <w:sz w:val="18"/>
          <w:szCs w:val="18"/>
          <w:i w:val="1"/>
          <w:iCs w:val="1"/>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Upfront Fee</w:t>
      </w:r>
      <w:r>
        <w:rPr>
          <w:rFonts w:ascii="Arial" w:cs="Arial" w:eastAsia="Arial" w:hAnsi="Arial"/>
          <w:sz w:val="16"/>
          <w:szCs w:val="16"/>
          <w:color w:val="auto"/>
        </w:rPr>
        <w:t>” means an amount payable to the Administrative Agent, for the account of each Participant, on the Original Closing Date, equal to (A)</w:t>
      </w:r>
    </w:p>
    <w:p>
      <w:pPr>
        <w:spacing w:after="0" w:line="46" w:lineRule="exact"/>
        <w:rPr>
          <w:sz w:val="20"/>
          <w:szCs w:val="20"/>
          <w:color w:val="auto"/>
        </w:rPr>
      </w:pPr>
    </w:p>
    <w:p>
      <w:pPr>
        <w:jc w:val="both"/>
        <w:ind w:left="-8" w:firstLine="8"/>
        <w:spacing w:after="0" w:line="273" w:lineRule="auto"/>
        <w:tabs>
          <w:tab w:leader="none" w:pos="22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15 basis points (0.15%) if the commitment provided by such Participant (on a combined basis with all affiliates of such Participant) during syndication prior to the Original Closing Date is less than $50,000,000, (ii) 20 basis points (0.20%) if the commitment provided by such Participant (on a combined basis with all affiliates of such Participant) during syndication prior to the Original Closing Date is equal to or greater than $50,000,000 but less than $100,000,000 or (iii) 30 basis points (0.30%) if the commitment provided by such Participant (on a combined basis with all affiliates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2466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409" w:right="239" w:bottom="1440" w:gutter="0" w:footer="0" w:header="0"/>
        </w:sectPr>
      </w:pPr>
    </w:p>
    <w:bookmarkStart w:id="123" w:name="page124"/>
    <w:bookmarkEnd w:id="123"/>
    <w:p>
      <w:pPr>
        <w:jc w:val="both"/>
        <w:spacing w:after="0" w:line="277" w:lineRule="auto"/>
        <w:rPr>
          <w:sz w:val="20"/>
          <w:szCs w:val="20"/>
          <w:color w:val="auto"/>
        </w:rPr>
      </w:pPr>
      <w:r>
        <w:rPr>
          <w:rFonts w:ascii="Arial" w:cs="Arial" w:eastAsia="Arial" w:hAnsi="Arial"/>
          <w:sz w:val="18"/>
          <w:szCs w:val="18"/>
          <w:color w:val="auto"/>
        </w:rPr>
        <w:t>Participant) during syndication prior to the Original Closing Date is equal to or greater than $100,000,000, multiplied by, in each such case, (B) the final allocated Commitment of such Participant (to the extent actually funded on the Original Closing Date).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Upfront Payments</w:t>
      </w:r>
      <w:r>
        <w:rPr>
          <w:rFonts w:ascii="Arial" w:cs="Arial" w:eastAsia="Arial" w:hAnsi="Arial"/>
          <w:sz w:val="18"/>
          <w:szCs w:val="18"/>
          <w:color w:val="auto"/>
        </w:rPr>
        <w:t>” means any upfront or similar payments made during the period of twelve months ending on the Bank Credit Agreement Effective Date or arising thereafter in connection with any drug or pharmaceutical product research and development or Collaboration Arrangements or the closing of any Drug Acquisition and that are recognized as expense in the period in which they are incurred.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wholly-owned Subsidiary</w:t>
      </w:r>
      <w:r>
        <w:rPr>
          <w:rFonts w:ascii="Arial" w:cs="Arial" w:eastAsia="Arial" w:hAnsi="Arial"/>
          <w:sz w:val="17"/>
          <w:szCs w:val="17"/>
          <w:color w:val="auto"/>
        </w:rPr>
        <w:t>” means a Subsidiary with respect to which 100% of the issued and outstanding Equity Interests are owned directly or indirectly by the Parent Guarantor (other than (x) directors’ qualifying shares; (y) shares issued to foreign nationals to the extent required by applicable law; and (z) shares held by a Person on trust for, or otherwise where the beneficial interest is held by, the Parent Guarantor (directly or indirectly)).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Withholding Taxes</w:t>
      </w:r>
      <w:r>
        <w:rPr>
          <w:rFonts w:ascii="Arial" w:cs="Arial" w:eastAsia="Arial" w:hAnsi="Arial"/>
          <w:sz w:val="18"/>
          <w:szCs w:val="18"/>
          <w:color w:val="auto"/>
        </w:rPr>
        <w:t>” means Taxes arising under the laws of any national, municipal or local government, political subdivision or taxing authority of the United States or any other jurisdiction imposed or collected by way of withholding (regardless of whether such taxes may also be imposed upon or collected from the recipient of a payment), and fines, interest, penalties or other additions thereto, thereon, in lieu thereof or for non-collection or in respect thereof.</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Yield</w:t>
      </w:r>
      <w:r>
        <w:rPr>
          <w:rFonts w:ascii="Arial" w:cs="Arial" w:eastAsia="Arial" w:hAnsi="Arial"/>
          <w:sz w:val="18"/>
          <w:szCs w:val="18"/>
          <w:color w:val="auto"/>
        </w:rPr>
        <w:t>” means, with respect to each Interest Period, the product of (a) the Yield Rate for such Interest Period and (b) the aggregate Lessor Amount outstanding, as determined for the applicable Interest Period in accordance with Section 4.1 of the Participation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Yield Rate</w:t>
      </w:r>
      <w:r>
        <w:rPr>
          <w:rFonts w:ascii="Arial" w:cs="Arial" w:eastAsia="Arial" w:hAnsi="Arial"/>
          <w:sz w:val="18"/>
          <w:szCs w:val="18"/>
          <w:color w:val="auto"/>
        </w:rPr>
        <w:t>” means, with respect to any Interest Period (A) the sum of the LIBO Rate for such Interest Period, plus the Applicable Margin for the Lessor Amount, and (B) if the provisions of Section 14.1 or Section 14.2 of the Participation Agreement for such Interest Period shall apply, the Alternate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ESSOR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OMMITMENT AS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RIGINAL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580" w:type="dxa"/>
            <w:vAlign w:val="bottom"/>
          </w:tcPr>
          <w:p>
            <w:pPr>
              <w:jc w:val="center"/>
              <w:ind w:right="71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OMMITMENT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ERCENTAGE</w:t>
            </w:r>
          </w:p>
        </w:tc>
      </w:tr>
      <w:tr>
        <w:trPr>
          <w:trHeight w:val="216"/>
        </w:trPr>
        <w:tc>
          <w:tcPr>
            <w:tcW w:w="2740" w:type="dxa"/>
            <w:vAlign w:val="bottom"/>
          </w:tcPr>
          <w:p>
            <w:pPr>
              <w:spacing w:after="0"/>
              <w:rPr>
                <w:sz w:val="18"/>
                <w:szCs w:val="18"/>
                <w:color w:val="auto"/>
              </w:rPr>
            </w:pPr>
          </w:p>
        </w:tc>
        <w:tc>
          <w:tcPr>
            <w:tcW w:w="5100" w:type="dxa"/>
            <w:vAlign w:val="bottom"/>
          </w:tcPr>
          <w:p>
            <w:pPr>
              <w:jc w:val="center"/>
              <w:ind w:left="530"/>
              <w:spacing w:after="0"/>
              <w:rPr>
                <w:sz w:val="20"/>
                <w:szCs w:val="20"/>
                <w:color w:val="auto"/>
              </w:rPr>
            </w:pPr>
            <w:r>
              <w:rPr>
                <w:rFonts w:ascii="Arial" w:cs="Arial" w:eastAsia="Arial" w:hAnsi="Arial"/>
                <w:sz w:val="18"/>
                <w:szCs w:val="18"/>
                <w:b w:val="1"/>
                <w:bCs w:val="1"/>
                <w:color w:val="auto"/>
                <w:w w:val="97"/>
              </w:rPr>
              <w:t>L</w:t>
            </w:r>
            <w:r>
              <w:rPr>
                <w:rFonts w:ascii="Arial" w:cs="Arial" w:eastAsia="Arial" w:hAnsi="Arial"/>
                <w:sz w:val="12"/>
                <w:szCs w:val="12"/>
                <w:b w:val="1"/>
                <w:bCs w:val="1"/>
                <w:color w:val="auto"/>
                <w:w w:val="97"/>
              </w:rPr>
              <w:t>ESSOR</w:t>
            </w:r>
          </w:p>
        </w:tc>
        <w:tc>
          <w:tcPr>
            <w:tcW w:w="3580" w:type="dxa"/>
            <w:vAlign w:val="bottom"/>
          </w:tcPr>
          <w:p>
            <w:pPr>
              <w:jc w:val="center"/>
              <w:ind w:right="6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GGREGATE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OMMITMENT</w:t>
            </w:r>
          </w:p>
        </w:tc>
      </w:t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ESSOR</w:t>
            </w:r>
          </w:p>
        </w:tc>
        <w:tc>
          <w:tcPr>
            <w:tcW w:w="5100" w:type="dxa"/>
            <w:vAlign w:val="bottom"/>
          </w:tcPr>
          <w:p>
            <w:pPr>
              <w:jc w:val="center"/>
              <w:ind w:left="55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OMMITMENT</w:t>
            </w:r>
          </w:p>
        </w:tc>
        <w:tc>
          <w:tcPr>
            <w:tcW w:w="3580" w:type="dxa"/>
            <w:vAlign w:val="bottom"/>
          </w:tcPr>
          <w:p>
            <w:pPr>
              <w:jc w:val="center"/>
              <w:ind w:right="67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w:t>
            </w:r>
            <w:r>
              <w:rPr>
                <w:rFonts w:ascii="Arial" w:cs="Arial" w:eastAsia="Arial" w:hAnsi="Arial"/>
                <w:sz w:val="18"/>
                <w:szCs w:val="18"/>
                <w:b w:val="1"/>
                <w:bCs w:val="1"/>
                <w:color w:val="auto"/>
              </w:rPr>
              <w:t>)</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w:t>
            </w:r>
          </w:p>
        </w:tc>
        <w:tc>
          <w:tcPr>
            <w:tcW w:w="5100" w:type="dxa"/>
            <w:vAlign w:val="bottom"/>
          </w:tcPr>
          <w:p>
            <w:pPr>
              <w:jc w:val="center"/>
              <w:ind w:left="550"/>
              <w:spacing w:after="0"/>
              <w:rPr>
                <w:sz w:val="20"/>
                <w:szCs w:val="20"/>
                <w:color w:val="auto"/>
              </w:rPr>
            </w:pPr>
            <w:r>
              <w:rPr>
                <w:rFonts w:ascii="Arial" w:cs="Arial" w:eastAsia="Arial" w:hAnsi="Arial"/>
                <w:sz w:val="18"/>
                <w:szCs w:val="18"/>
                <w:color w:val="auto"/>
                <w:w w:val="89"/>
              </w:rPr>
              <w:t>$72,000,000</w:t>
            </w:r>
          </w:p>
        </w:tc>
        <w:tc>
          <w:tcPr>
            <w:tcW w:w="3580" w:type="dxa"/>
            <w:vAlign w:val="bottom"/>
          </w:tcPr>
          <w:p>
            <w:pPr>
              <w:jc w:val="center"/>
              <w:ind w:right="670"/>
              <w:spacing w:after="0"/>
              <w:rPr>
                <w:sz w:val="20"/>
                <w:szCs w:val="20"/>
                <w:color w:val="auto"/>
              </w:rPr>
            </w:pPr>
            <w:r>
              <w:rPr>
                <w:rFonts w:ascii="Arial" w:cs="Arial" w:eastAsia="Arial" w:hAnsi="Arial"/>
                <w:sz w:val="18"/>
                <w:szCs w:val="18"/>
                <w:color w:val="auto"/>
                <w:w w:val="94"/>
              </w:rPr>
              <w:t>10%</w:t>
            </w:r>
          </w:p>
        </w:tc>
      </w:tr>
      <w:tr>
        <w:trPr>
          <w:trHeight w:val="418"/>
        </w:trPr>
        <w:tc>
          <w:tcPr>
            <w:tcW w:w="2740" w:type="dxa"/>
            <w:vAlign w:val="bottom"/>
          </w:tcPr>
          <w:p>
            <w:pPr>
              <w:spacing w:after="0"/>
              <w:rPr>
                <w:sz w:val="24"/>
                <w:szCs w:val="24"/>
                <w:color w:val="auto"/>
              </w:rPr>
            </w:pPr>
          </w:p>
        </w:tc>
        <w:tc>
          <w:tcPr>
            <w:tcW w:w="5100" w:type="dxa"/>
            <w:vAlign w:val="bottom"/>
          </w:tcPr>
          <w:p>
            <w:pPr>
              <w:jc w:val="center"/>
              <w:ind w:left="750"/>
              <w:spacing w:after="0"/>
              <w:rPr>
                <w:sz w:val="20"/>
                <w:szCs w:val="20"/>
                <w:color w:val="auto"/>
              </w:rPr>
            </w:pPr>
            <w:r>
              <w:rPr>
                <w:rFonts w:ascii="Arial" w:cs="Arial" w:eastAsia="Arial" w:hAnsi="Arial"/>
                <w:sz w:val="18"/>
                <w:szCs w:val="18"/>
                <w:color w:val="auto"/>
                <w:w w:val="98"/>
              </w:rPr>
              <w:t>S</w:t>
            </w:r>
            <w:r>
              <w:rPr>
                <w:rFonts w:ascii="Arial" w:cs="Arial" w:eastAsia="Arial" w:hAnsi="Arial"/>
                <w:sz w:val="12"/>
                <w:szCs w:val="12"/>
                <w:color w:val="auto"/>
                <w:w w:val="98"/>
              </w:rPr>
              <w:t>CHEDULE</w:t>
            </w:r>
            <w:r>
              <w:rPr>
                <w:rFonts w:ascii="Arial" w:cs="Arial" w:eastAsia="Arial" w:hAnsi="Arial"/>
                <w:sz w:val="18"/>
                <w:szCs w:val="18"/>
                <w:color w:val="auto"/>
                <w:w w:val="98"/>
              </w:rPr>
              <w:t xml:space="preserve"> I</w:t>
            </w:r>
          </w:p>
        </w:tc>
        <w:tc>
          <w:tcPr>
            <w:tcW w:w="3580" w:type="dxa"/>
            <w:vAlign w:val="bottom"/>
          </w:tcPr>
          <w:p>
            <w:pPr>
              <w:spacing w:after="0"/>
              <w:rPr>
                <w:sz w:val="24"/>
                <w:szCs w:val="24"/>
                <w:color w:val="auto"/>
              </w:rPr>
            </w:pPr>
          </w:p>
        </w:tc>
      </w:tr>
      <w:tr>
        <w:trPr>
          <w:trHeight w:val="230"/>
        </w:trPr>
        <w:tc>
          <w:tcPr>
            <w:tcW w:w="2740" w:type="dxa"/>
            <w:vAlign w:val="bottom"/>
          </w:tcPr>
          <w:p>
            <w:pPr>
              <w:spacing w:after="0"/>
              <w:rPr>
                <w:sz w:val="20"/>
                <w:szCs w:val="20"/>
                <w:color w:val="auto"/>
              </w:rPr>
            </w:pPr>
          </w:p>
        </w:tc>
        <w:tc>
          <w:tcPr>
            <w:tcW w:w="5100" w:type="dxa"/>
            <w:vAlign w:val="bottom"/>
          </w:tcPr>
          <w:p>
            <w:pPr>
              <w:jc w:val="center"/>
              <w:ind w:left="750"/>
              <w:spacing w:after="0"/>
              <w:rPr>
                <w:sz w:val="20"/>
                <w:szCs w:val="20"/>
                <w:color w:val="auto"/>
              </w:rPr>
            </w:pPr>
            <w:r>
              <w:rPr>
                <w:rFonts w:ascii="Arial" w:cs="Arial" w:eastAsia="Arial" w:hAnsi="Arial"/>
                <w:sz w:val="18"/>
                <w:szCs w:val="18"/>
                <w:color w:val="auto"/>
                <w:w w:val="90"/>
              </w:rPr>
              <w:t>(to Amended and Restated Participation Agreement)</w:t>
            </w:r>
          </w:p>
        </w:tc>
        <w:tc>
          <w:tcPr>
            <w:tcW w:w="3580" w:type="dxa"/>
            <w:vAlign w:val="bottom"/>
          </w:tcPr>
          <w:p>
            <w:pPr>
              <w:spacing w:after="0"/>
              <w:rPr>
                <w:sz w:val="20"/>
                <w:szCs w:val="20"/>
                <w:color w:val="auto"/>
              </w:rPr>
            </w:pPr>
          </w:p>
        </w:tc>
      </w:tr>
      <w:tr>
        <w:trPr>
          <w:trHeight w:val="277"/>
        </w:trPr>
        <w:tc>
          <w:tcPr>
            <w:tcW w:w="2740" w:type="dxa"/>
            <w:vAlign w:val="bottom"/>
            <w:tcBorders>
              <w:bottom w:val="single" w:sz="8" w:color="C0C0C0"/>
            </w:tcBorders>
          </w:tcPr>
          <w:p>
            <w:pPr>
              <w:spacing w:after="0"/>
              <w:rPr>
                <w:sz w:val="24"/>
                <w:szCs w:val="24"/>
                <w:color w:val="auto"/>
              </w:rPr>
            </w:pPr>
          </w:p>
        </w:tc>
        <w:tc>
          <w:tcPr>
            <w:tcW w:w="5100" w:type="dxa"/>
            <w:vAlign w:val="bottom"/>
            <w:tcBorders>
              <w:bottom w:val="single" w:sz="8" w:color="C0C0C0"/>
            </w:tcBorders>
          </w:tcPr>
          <w:p>
            <w:pPr>
              <w:spacing w:after="0"/>
              <w:rPr>
                <w:sz w:val="24"/>
                <w:szCs w:val="24"/>
                <w:color w:val="auto"/>
              </w:rPr>
            </w:pPr>
          </w:p>
        </w:tc>
        <w:tc>
          <w:tcPr>
            <w:tcW w:w="35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396"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ENDERS</w:t>
      </w:r>
      <w:r>
        <w:rPr>
          <w:rFonts w:ascii="Arial" w:cs="Arial" w:eastAsia="Arial" w:hAnsi="Arial"/>
          <w:sz w:val="22"/>
          <w:szCs w:val="22"/>
          <w:b w:val="1"/>
          <w:bCs w:val="1"/>
          <w:color w:val="auto"/>
        </w:rPr>
        <w:t>’ C</w:t>
      </w:r>
      <w:r>
        <w:rPr>
          <w:rFonts w:ascii="Arial" w:cs="Arial" w:eastAsia="Arial" w:hAnsi="Arial"/>
          <w:sz w:val="14"/>
          <w:szCs w:val="14"/>
          <w:b w:val="1"/>
          <w:bCs w:val="1"/>
          <w:color w:val="auto"/>
        </w:rPr>
        <w:t>OMMITMENTS AS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RIGINAL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2"/>
          </w:tcPr>
          <w:p>
            <w:pPr>
              <w:jc w:val="center"/>
              <w:ind w:right="64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p>
        </w:tc>
        <w:tc>
          <w:tcPr>
            <w:tcW w:w="25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2"/>
          </w:tcPr>
          <w:p>
            <w:pPr>
              <w:jc w:val="center"/>
              <w:ind w:right="660"/>
              <w:spacing w:after="0"/>
              <w:rPr>
                <w:sz w:val="20"/>
                <w:szCs w:val="20"/>
                <w:color w:val="auto"/>
              </w:rPr>
            </w:pPr>
            <w:r>
              <w:rPr>
                <w:rFonts w:ascii="Arial" w:cs="Arial" w:eastAsia="Arial" w:hAnsi="Arial"/>
                <w:sz w:val="18"/>
                <w:szCs w:val="18"/>
                <w:color w:val="auto"/>
                <w:w w:val="94"/>
              </w:rPr>
              <w:t>P</w:t>
            </w:r>
            <w:r>
              <w:rPr>
                <w:rFonts w:ascii="Arial" w:cs="Arial" w:eastAsia="Arial" w:hAnsi="Arial"/>
                <w:sz w:val="12"/>
                <w:szCs w:val="12"/>
                <w:color w:val="auto"/>
                <w:w w:val="94"/>
              </w:rPr>
              <w:t>ERCENTAGE</w:t>
            </w: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P</w:t>
            </w:r>
            <w:r>
              <w:rPr>
                <w:rFonts w:ascii="Arial" w:cs="Arial" w:eastAsia="Arial" w:hAnsi="Arial"/>
                <w:sz w:val="12"/>
                <w:szCs w:val="12"/>
                <w:color w:val="auto"/>
                <w:w w:val="94"/>
              </w:rPr>
              <w:t>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2"/>
          </w:tcPr>
          <w:p>
            <w:pPr>
              <w:jc w:val="center"/>
              <w:ind w:right="640"/>
              <w:spacing w:after="0"/>
              <w:rPr>
                <w:sz w:val="20"/>
                <w:szCs w:val="20"/>
                <w:color w:val="auto"/>
              </w:rPr>
            </w:pPr>
            <w:r>
              <w:rPr>
                <w:rFonts w:ascii="Arial" w:cs="Arial" w:eastAsia="Arial" w:hAnsi="Arial"/>
                <w:sz w:val="18"/>
                <w:szCs w:val="18"/>
                <w:color w:val="auto"/>
                <w:w w:val="97"/>
              </w:rPr>
              <w:t>(</w:t>
            </w:r>
            <w:r>
              <w:rPr>
                <w:rFonts w:ascii="Arial" w:cs="Arial" w:eastAsia="Arial" w:hAnsi="Arial"/>
                <w:sz w:val="12"/>
                <w:szCs w:val="12"/>
                <w:color w:val="auto"/>
                <w:w w:val="97"/>
              </w:rPr>
              <w:t>OF THE</w:t>
            </w:r>
            <w:r>
              <w:rPr>
                <w:rFonts w:ascii="Arial" w:cs="Arial" w:eastAsia="Arial" w:hAnsi="Arial"/>
                <w:sz w:val="18"/>
                <w:szCs w:val="18"/>
                <w:color w:val="auto"/>
                <w:w w:val="97"/>
              </w:rPr>
              <w:t xml:space="preserve"> A</w:t>
            </w:r>
            <w:r>
              <w:rPr>
                <w:rFonts w:ascii="Arial" w:cs="Arial" w:eastAsia="Arial" w:hAnsi="Arial"/>
                <w:sz w:val="12"/>
                <w:szCs w:val="12"/>
                <w:color w:val="auto"/>
                <w:w w:val="97"/>
              </w:rPr>
              <w:t>GGREGATE</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2"/>
                <w:szCs w:val="12"/>
                <w:color w:val="auto"/>
                <w:w w:val="96"/>
              </w:rPr>
              <w:t>OF THE</w:t>
            </w:r>
            <w:r>
              <w:rPr>
                <w:rFonts w:ascii="Arial" w:cs="Arial" w:eastAsia="Arial" w:hAnsi="Arial"/>
                <w:sz w:val="18"/>
                <w:szCs w:val="18"/>
                <w:color w:val="auto"/>
                <w:w w:val="96"/>
              </w:rPr>
              <w:t xml:space="preserve"> A</w:t>
            </w:r>
            <w:r>
              <w:rPr>
                <w:rFonts w:ascii="Arial" w:cs="Arial" w:eastAsia="Arial" w:hAnsi="Arial"/>
                <w:sz w:val="12"/>
                <w:szCs w:val="12"/>
                <w:color w:val="auto"/>
                <w:w w:val="96"/>
              </w:rPr>
              <w:t>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3"/>
          </w:tcPr>
          <w:p>
            <w:pPr>
              <w:jc w:val="center"/>
              <w:ind w:right="6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OAN</w:t>
            </w:r>
          </w:p>
        </w:tc>
        <w:tc>
          <w:tcPr>
            <w:tcW w:w="2520" w:type="dxa"/>
            <w:vAlign w:val="bottom"/>
            <w:gridSpan w:val="2"/>
          </w:tcPr>
          <w:p>
            <w:pPr>
              <w:jc w:val="center"/>
              <w:ind w:right="6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OAN</w:t>
            </w:r>
            <w:r>
              <w:rPr>
                <w:rFonts w:ascii="Arial" w:cs="Arial" w:eastAsia="Arial" w:hAnsi="Arial"/>
                <w:sz w:val="18"/>
                <w:szCs w:val="18"/>
                <w:color w:val="auto"/>
              </w:rPr>
              <w:t xml:space="preserve"> C</w:t>
            </w:r>
            <w:r>
              <w:rPr>
                <w:rFonts w:ascii="Arial" w:cs="Arial" w:eastAsia="Arial" w:hAnsi="Arial"/>
                <w:sz w:val="12"/>
                <w:szCs w:val="12"/>
                <w:color w:val="auto"/>
              </w:rPr>
              <w:t>OMMITMENT</w:t>
            </w:r>
          </w:p>
        </w:tc>
        <w:tc>
          <w:tcPr>
            <w:tcW w:w="25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ENDERS</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jc w:val="center"/>
              <w:ind w:right="6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p>
        </w:tc>
        <w:tc>
          <w:tcPr>
            <w:tcW w:w="2520" w:type="dxa"/>
            <w:vAlign w:val="bottom"/>
            <w:gridSpan w:val="2"/>
          </w:tcPr>
          <w:p>
            <w:pPr>
              <w:jc w:val="center"/>
              <w:ind w:right="64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MOUNT</w:t>
            </w:r>
            <w:r>
              <w:rPr>
                <w:rFonts w:ascii="Arial" w:cs="Arial" w:eastAsia="Arial" w:hAnsi="Arial"/>
                <w:sz w:val="18"/>
                <w:szCs w:val="18"/>
                <w:color w:val="auto"/>
              </w:rPr>
              <w:t>)</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A</w:t>
            </w:r>
            <w:r>
              <w:rPr>
                <w:rFonts w:ascii="Arial" w:cs="Arial" w:eastAsia="Arial" w:hAnsi="Arial"/>
                <w:sz w:val="12"/>
                <w:szCs w:val="12"/>
                <w:color w:val="auto"/>
                <w:w w:val="99"/>
              </w:rPr>
              <w:t>MOUNT</w:t>
            </w: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5FFFF"/>
          </w:tcPr>
          <w:p>
            <w:pPr>
              <w:spacing w:after="0"/>
              <w:rPr>
                <w:sz w:val="20"/>
                <w:szCs w:val="20"/>
                <w:color w:val="auto"/>
              </w:rPr>
            </w:pPr>
            <w:r>
              <w:rPr>
                <w:rFonts w:ascii="Arial" w:cs="Arial" w:eastAsia="Arial" w:hAnsi="Arial"/>
                <w:sz w:val="18"/>
                <w:szCs w:val="18"/>
                <w:color w:val="auto"/>
              </w:rPr>
              <w:t>BA Leasing BSC, LLC</w:t>
            </w:r>
          </w:p>
        </w:tc>
        <w:tc>
          <w:tcPr>
            <w:tcW w:w="2340" w:type="dxa"/>
            <w:vAlign w:val="bottom"/>
            <w:gridSpan w:val="3"/>
            <w:shd w:val="clear" w:color="auto" w:fill="E5FFFF"/>
          </w:tcPr>
          <w:p>
            <w:pPr>
              <w:jc w:val="center"/>
              <w:ind w:left="870"/>
              <w:spacing w:after="0"/>
              <w:rPr>
                <w:sz w:val="20"/>
                <w:szCs w:val="20"/>
                <w:color w:val="auto"/>
              </w:rPr>
            </w:pPr>
            <w:r>
              <w:rPr>
                <w:rFonts w:ascii="Arial" w:cs="Arial" w:eastAsia="Arial" w:hAnsi="Arial"/>
                <w:sz w:val="18"/>
                <w:szCs w:val="18"/>
                <w:color w:val="auto"/>
                <w:w w:val="88"/>
              </w:rPr>
              <w:t>$153,000,000</w:t>
            </w: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180" w:type="dxa"/>
            <w:vAlign w:val="bottom"/>
            <w:shd w:val="clear" w:color="auto" w:fill="E5FFFF"/>
          </w:tcPr>
          <w:p>
            <w:pPr>
              <w:jc w:val="center"/>
              <w:ind w:right="210"/>
              <w:spacing w:after="0"/>
              <w:rPr>
                <w:sz w:val="20"/>
                <w:szCs w:val="20"/>
                <w:color w:val="auto"/>
              </w:rPr>
            </w:pPr>
            <w:r>
              <w:rPr>
                <w:rFonts w:ascii="Arial" w:cs="Arial" w:eastAsia="Arial" w:hAnsi="Arial"/>
                <w:sz w:val="18"/>
                <w:szCs w:val="18"/>
                <w:color w:val="auto"/>
                <w:w w:val="91"/>
              </w:rPr>
              <w:t>23.61%</w:t>
            </w:r>
          </w:p>
        </w:tc>
        <w:tc>
          <w:tcPr>
            <w:tcW w:w="340" w:type="dxa"/>
            <w:vAlign w:val="bottom"/>
            <w:shd w:val="clear" w:color="auto" w:fill="E5FFFF"/>
          </w:tcPr>
          <w:p>
            <w:pPr>
              <w:spacing w:after="0"/>
              <w:rPr>
                <w:sz w:val="18"/>
                <w:szCs w:val="18"/>
                <w:color w:val="auto"/>
              </w:rPr>
            </w:pPr>
          </w:p>
        </w:tc>
        <w:tc>
          <w:tcPr>
            <w:tcW w:w="25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8"/>
              </w:rPr>
              <w:t>21.25%</w:t>
            </w:r>
          </w:p>
        </w:tc>
        <w:tc>
          <w:tcPr>
            <w:tcW w:w="0" w:type="dxa"/>
            <w:vAlign w:val="bottom"/>
          </w:tcPr>
          <w:p>
            <w:pPr>
              <w:spacing w:after="0"/>
              <w:rPr>
                <w:sz w:val="1"/>
                <w:szCs w:val="1"/>
                <w:color w:val="auto"/>
              </w:rPr>
            </w:pP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color w:val="auto"/>
              </w:rPr>
              <w:t>The Bank of Tokyo-Mitsubishi UFJ, Ltd.</w:t>
            </w:r>
          </w:p>
        </w:tc>
        <w:tc>
          <w:tcPr>
            <w:tcW w:w="234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$95,000,000</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14.66%</w:t>
            </w:r>
          </w:p>
        </w:tc>
        <w:tc>
          <w:tcPr>
            <w:tcW w:w="34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8"/>
              </w:rPr>
              <w:t>13.19%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5FFFF"/>
          </w:tcPr>
          <w:p>
            <w:pPr>
              <w:spacing w:after="0"/>
              <w:rPr>
                <w:sz w:val="20"/>
                <w:szCs w:val="20"/>
                <w:color w:val="auto"/>
              </w:rPr>
            </w:pPr>
            <w:r>
              <w:rPr>
                <w:rFonts w:ascii="Arial" w:cs="Arial" w:eastAsia="Arial" w:hAnsi="Arial"/>
                <w:sz w:val="18"/>
                <w:szCs w:val="18"/>
                <w:color w:val="auto"/>
              </w:rPr>
              <w:t>JPMorgan Chase Bank, N.A.</w:t>
            </w:r>
          </w:p>
        </w:tc>
        <w:tc>
          <w:tcPr>
            <w:tcW w:w="2340" w:type="dxa"/>
            <w:vAlign w:val="bottom"/>
            <w:gridSpan w:val="3"/>
            <w:shd w:val="clear" w:color="auto" w:fill="E5FFFF"/>
          </w:tcPr>
          <w:p>
            <w:pPr>
              <w:jc w:val="center"/>
              <w:ind w:left="870"/>
              <w:spacing w:after="0"/>
              <w:rPr>
                <w:sz w:val="20"/>
                <w:szCs w:val="20"/>
                <w:color w:val="auto"/>
              </w:rPr>
            </w:pPr>
            <w:r>
              <w:rPr>
                <w:rFonts w:ascii="Arial" w:cs="Arial" w:eastAsia="Arial" w:hAnsi="Arial"/>
                <w:sz w:val="18"/>
                <w:szCs w:val="18"/>
                <w:color w:val="auto"/>
                <w:w w:val="89"/>
              </w:rPr>
              <w:t>$95,000,000</w:t>
            </w: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180" w:type="dxa"/>
            <w:vAlign w:val="bottom"/>
            <w:shd w:val="clear" w:color="auto" w:fill="E5FFFF"/>
          </w:tcPr>
          <w:p>
            <w:pPr>
              <w:jc w:val="center"/>
              <w:ind w:right="210"/>
              <w:spacing w:after="0"/>
              <w:rPr>
                <w:sz w:val="20"/>
                <w:szCs w:val="20"/>
                <w:color w:val="auto"/>
              </w:rPr>
            </w:pPr>
            <w:r>
              <w:rPr>
                <w:rFonts w:ascii="Arial" w:cs="Arial" w:eastAsia="Arial" w:hAnsi="Arial"/>
                <w:sz w:val="18"/>
                <w:szCs w:val="18"/>
                <w:color w:val="auto"/>
                <w:w w:val="91"/>
              </w:rPr>
              <w:t>14.66%</w:t>
            </w:r>
          </w:p>
        </w:tc>
        <w:tc>
          <w:tcPr>
            <w:tcW w:w="340" w:type="dxa"/>
            <w:vAlign w:val="bottom"/>
            <w:shd w:val="clear" w:color="auto" w:fill="E5FFFF"/>
          </w:tcPr>
          <w:p>
            <w:pPr>
              <w:spacing w:after="0"/>
              <w:rPr>
                <w:sz w:val="18"/>
                <w:szCs w:val="18"/>
                <w:color w:val="auto"/>
              </w:rPr>
            </w:pPr>
          </w:p>
        </w:tc>
        <w:tc>
          <w:tcPr>
            <w:tcW w:w="25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8"/>
              </w:rPr>
              <w:t>13.19%</w:t>
            </w:r>
          </w:p>
        </w:tc>
        <w:tc>
          <w:tcPr>
            <w:tcW w:w="0" w:type="dxa"/>
            <w:vAlign w:val="bottom"/>
          </w:tcPr>
          <w:p>
            <w:pPr>
              <w:spacing w:after="0"/>
              <w:rPr>
                <w:sz w:val="1"/>
                <w:szCs w:val="1"/>
                <w:color w:val="auto"/>
              </w:rPr>
            </w:pP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color w:val="auto"/>
              </w:rPr>
              <w:t>U.S. Bank National Association</w:t>
            </w:r>
          </w:p>
        </w:tc>
        <w:tc>
          <w:tcPr>
            <w:tcW w:w="234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$95,000,000</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14.66%</w:t>
            </w:r>
          </w:p>
        </w:tc>
        <w:tc>
          <w:tcPr>
            <w:tcW w:w="34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8"/>
              </w:rPr>
              <w:t>13.19%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5FFFF"/>
          </w:tcPr>
          <w:p>
            <w:pPr>
              <w:spacing w:after="0"/>
              <w:rPr>
                <w:sz w:val="20"/>
                <w:szCs w:val="20"/>
                <w:color w:val="auto"/>
              </w:rPr>
            </w:pPr>
            <w:r>
              <w:rPr>
                <w:rFonts w:ascii="Arial" w:cs="Arial" w:eastAsia="Arial" w:hAnsi="Arial"/>
                <w:sz w:val="18"/>
                <w:szCs w:val="18"/>
                <w:color w:val="auto"/>
              </w:rPr>
              <w:t>Fifth Third Bank</w:t>
            </w:r>
          </w:p>
        </w:tc>
        <w:tc>
          <w:tcPr>
            <w:tcW w:w="2340" w:type="dxa"/>
            <w:vAlign w:val="bottom"/>
            <w:gridSpan w:val="3"/>
            <w:shd w:val="clear" w:color="auto" w:fill="E5FFFF"/>
          </w:tcPr>
          <w:p>
            <w:pPr>
              <w:jc w:val="center"/>
              <w:ind w:left="870"/>
              <w:spacing w:after="0"/>
              <w:rPr>
                <w:sz w:val="20"/>
                <w:szCs w:val="20"/>
                <w:color w:val="auto"/>
              </w:rPr>
            </w:pPr>
            <w:r>
              <w:rPr>
                <w:rFonts w:ascii="Arial" w:cs="Arial" w:eastAsia="Arial" w:hAnsi="Arial"/>
                <w:sz w:val="18"/>
                <w:szCs w:val="18"/>
                <w:color w:val="auto"/>
                <w:w w:val="89"/>
              </w:rPr>
              <w:t>$65,000,000</w:t>
            </w: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180" w:type="dxa"/>
            <w:vAlign w:val="bottom"/>
            <w:shd w:val="clear" w:color="auto" w:fill="E5FFFF"/>
          </w:tcPr>
          <w:p>
            <w:pPr>
              <w:jc w:val="center"/>
              <w:ind w:right="210"/>
              <w:spacing w:after="0"/>
              <w:rPr>
                <w:sz w:val="20"/>
                <w:szCs w:val="20"/>
                <w:color w:val="auto"/>
              </w:rPr>
            </w:pPr>
            <w:r>
              <w:rPr>
                <w:rFonts w:ascii="Arial" w:cs="Arial" w:eastAsia="Arial" w:hAnsi="Arial"/>
                <w:sz w:val="18"/>
                <w:szCs w:val="18"/>
                <w:color w:val="auto"/>
                <w:w w:val="91"/>
              </w:rPr>
              <w:t>10.03%</w:t>
            </w:r>
          </w:p>
        </w:tc>
        <w:tc>
          <w:tcPr>
            <w:tcW w:w="340" w:type="dxa"/>
            <w:vAlign w:val="bottom"/>
            <w:shd w:val="clear" w:color="auto" w:fill="E5FFFF"/>
          </w:tcPr>
          <w:p>
            <w:pPr>
              <w:spacing w:after="0"/>
              <w:rPr>
                <w:sz w:val="18"/>
                <w:szCs w:val="18"/>
                <w:color w:val="auto"/>
              </w:rPr>
            </w:pPr>
          </w:p>
        </w:tc>
        <w:tc>
          <w:tcPr>
            <w:tcW w:w="25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9.03%</w:t>
            </w:r>
          </w:p>
        </w:tc>
        <w:tc>
          <w:tcPr>
            <w:tcW w:w="0" w:type="dxa"/>
            <w:vAlign w:val="bottom"/>
          </w:tcPr>
          <w:p>
            <w:pPr>
              <w:spacing w:after="0"/>
              <w:rPr>
                <w:sz w:val="1"/>
                <w:szCs w:val="1"/>
                <w:color w:val="auto"/>
              </w:rPr>
            </w:pP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234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$40,000,000</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jc w:val="center"/>
              <w:ind w:right="230"/>
              <w:spacing w:after="0"/>
              <w:rPr>
                <w:sz w:val="20"/>
                <w:szCs w:val="20"/>
                <w:color w:val="auto"/>
              </w:rPr>
            </w:pPr>
            <w:r>
              <w:rPr>
                <w:rFonts w:ascii="Arial" w:cs="Arial" w:eastAsia="Arial" w:hAnsi="Arial"/>
                <w:sz w:val="18"/>
                <w:szCs w:val="18"/>
                <w:color w:val="auto"/>
                <w:w w:val="90"/>
              </w:rPr>
              <w:t>6.17%</w:t>
            </w:r>
          </w:p>
        </w:tc>
        <w:tc>
          <w:tcPr>
            <w:tcW w:w="34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5.56%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5FFFF"/>
          </w:tcPr>
          <w:p>
            <w:pPr>
              <w:spacing w:after="0"/>
              <w:rPr>
                <w:sz w:val="20"/>
                <w:szCs w:val="20"/>
                <w:color w:val="auto"/>
              </w:rPr>
            </w:pPr>
            <w:r>
              <w:rPr>
                <w:rFonts w:ascii="Arial" w:cs="Arial" w:eastAsia="Arial" w:hAnsi="Arial"/>
                <w:sz w:val="18"/>
                <w:szCs w:val="18"/>
                <w:color w:val="auto"/>
              </w:rPr>
              <w:t>Goldman Sachs Bank USA</w:t>
            </w:r>
          </w:p>
        </w:tc>
        <w:tc>
          <w:tcPr>
            <w:tcW w:w="2340" w:type="dxa"/>
            <w:vAlign w:val="bottom"/>
            <w:gridSpan w:val="3"/>
            <w:shd w:val="clear" w:color="auto" w:fill="E5FFFF"/>
          </w:tcPr>
          <w:p>
            <w:pPr>
              <w:jc w:val="center"/>
              <w:ind w:left="870"/>
              <w:spacing w:after="0"/>
              <w:rPr>
                <w:sz w:val="20"/>
                <w:szCs w:val="20"/>
                <w:color w:val="auto"/>
              </w:rPr>
            </w:pPr>
            <w:r>
              <w:rPr>
                <w:rFonts w:ascii="Arial" w:cs="Arial" w:eastAsia="Arial" w:hAnsi="Arial"/>
                <w:sz w:val="18"/>
                <w:szCs w:val="18"/>
                <w:color w:val="auto"/>
                <w:w w:val="89"/>
              </w:rPr>
              <w:t>$40,000,000</w:t>
            </w: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180" w:type="dxa"/>
            <w:vAlign w:val="bottom"/>
            <w:shd w:val="clear" w:color="auto" w:fill="E5FFFF"/>
          </w:tcPr>
          <w:p>
            <w:pPr>
              <w:jc w:val="center"/>
              <w:ind w:right="230"/>
              <w:spacing w:after="0"/>
              <w:rPr>
                <w:sz w:val="20"/>
                <w:szCs w:val="20"/>
                <w:color w:val="auto"/>
              </w:rPr>
            </w:pPr>
            <w:r>
              <w:rPr>
                <w:rFonts w:ascii="Arial" w:cs="Arial" w:eastAsia="Arial" w:hAnsi="Arial"/>
                <w:sz w:val="18"/>
                <w:szCs w:val="18"/>
                <w:color w:val="auto"/>
                <w:w w:val="90"/>
              </w:rPr>
              <w:t>6.17%</w:t>
            </w:r>
          </w:p>
        </w:tc>
        <w:tc>
          <w:tcPr>
            <w:tcW w:w="340" w:type="dxa"/>
            <w:vAlign w:val="bottom"/>
            <w:shd w:val="clear" w:color="auto" w:fill="E5FFFF"/>
          </w:tcPr>
          <w:p>
            <w:pPr>
              <w:spacing w:after="0"/>
              <w:rPr>
                <w:sz w:val="18"/>
                <w:szCs w:val="18"/>
                <w:color w:val="auto"/>
              </w:rPr>
            </w:pPr>
          </w:p>
        </w:tc>
        <w:tc>
          <w:tcPr>
            <w:tcW w:w="25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5.56%</w:t>
            </w:r>
          </w:p>
        </w:tc>
        <w:tc>
          <w:tcPr>
            <w:tcW w:w="0" w:type="dxa"/>
            <w:vAlign w:val="bottom"/>
          </w:tcPr>
          <w:p>
            <w:pPr>
              <w:spacing w:after="0"/>
              <w:rPr>
                <w:sz w:val="1"/>
                <w:szCs w:val="1"/>
                <w:color w:val="auto"/>
              </w:rPr>
            </w:pP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color w:val="auto"/>
              </w:rPr>
              <w:t>The Northern Trust Company</w:t>
            </w:r>
          </w:p>
        </w:tc>
        <w:tc>
          <w:tcPr>
            <w:tcW w:w="234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$15,000,000</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jc w:val="center"/>
              <w:ind w:right="230"/>
              <w:spacing w:after="0"/>
              <w:rPr>
                <w:sz w:val="20"/>
                <w:szCs w:val="20"/>
                <w:color w:val="auto"/>
              </w:rPr>
            </w:pPr>
            <w:r>
              <w:rPr>
                <w:rFonts w:ascii="Arial" w:cs="Arial" w:eastAsia="Arial" w:hAnsi="Arial"/>
                <w:sz w:val="18"/>
                <w:szCs w:val="18"/>
                <w:color w:val="auto"/>
                <w:w w:val="90"/>
              </w:rPr>
              <w:t>2.31%</w:t>
            </w:r>
          </w:p>
        </w:tc>
        <w:tc>
          <w:tcPr>
            <w:tcW w:w="34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5FFFF"/>
          </w:tcPr>
          <w:p>
            <w:pPr>
              <w:spacing w:after="0"/>
              <w:rPr>
                <w:sz w:val="20"/>
                <w:szCs w:val="20"/>
                <w:color w:val="auto"/>
              </w:rPr>
            </w:pPr>
            <w:r>
              <w:rPr>
                <w:rFonts w:ascii="Arial" w:cs="Arial" w:eastAsia="Arial" w:hAnsi="Arial"/>
                <w:sz w:val="18"/>
                <w:szCs w:val="18"/>
                <w:color w:val="auto"/>
              </w:rPr>
              <w:t>PNC Equipment Finance, LLC</w:t>
            </w:r>
          </w:p>
        </w:tc>
        <w:tc>
          <w:tcPr>
            <w:tcW w:w="2340" w:type="dxa"/>
            <w:vAlign w:val="bottom"/>
            <w:gridSpan w:val="3"/>
            <w:shd w:val="clear" w:color="auto" w:fill="E5FFFF"/>
          </w:tcPr>
          <w:p>
            <w:pPr>
              <w:jc w:val="center"/>
              <w:ind w:left="870"/>
              <w:spacing w:after="0"/>
              <w:rPr>
                <w:sz w:val="20"/>
                <w:szCs w:val="20"/>
                <w:color w:val="auto"/>
              </w:rPr>
            </w:pPr>
            <w:r>
              <w:rPr>
                <w:rFonts w:ascii="Arial" w:cs="Arial" w:eastAsia="Arial" w:hAnsi="Arial"/>
                <w:sz w:val="18"/>
                <w:szCs w:val="18"/>
                <w:color w:val="auto"/>
                <w:w w:val="89"/>
              </w:rPr>
              <w:t>$25,000,000</w:t>
            </w: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180" w:type="dxa"/>
            <w:vAlign w:val="bottom"/>
            <w:shd w:val="clear" w:color="auto" w:fill="E5FFFF"/>
          </w:tcPr>
          <w:p>
            <w:pPr>
              <w:jc w:val="center"/>
              <w:ind w:right="230"/>
              <w:spacing w:after="0"/>
              <w:rPr>
                <w:sz w:val="20"/>
                <w:szCs w:val="20"/>
                <w:color w:val="auto"/>
              </w:rPr>
            </w:pPr>
            <w:r>
              <w:rPr>
                <w:rFonts w:ascii="Arial" w:cs="Arial" w:eastAsia="Arial" w:hAnsi="Arial"/>
                <w:sz w:val="18"/>
                <w:szCs w:val="18"/>
                <w:color w:val="auto"/>
                <w:w w:val="90"/>
              </w:rPr>
              <w:t>3.86%</w:t>
            </w:r>
          </w:p>
        </w:tc>
        <w:tc>
          <w:tcPr>
            <w:tcW w:w="340" w:type="dxa"/>
            <w:vAlign w:val="bottom"/>
            <w:shd w:val="clear" w:color="auto" w:fill="E5FFFF"/>
          </w:tcPr>
          <w:p>
            <w:pPr>
              <w:spacing w:after="0"/>
              <w:rPr>
                <w:sz w:val="18"/>
                <w:szCs w:val="18"/>
                <w:color w:val="auto"/>
              </w:rPr>
            </w:pPr>
          </w:p>
        </w:tc>
        <w:tc>
          <w:tcPr>
            <w:tcW w:w="25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3.47%</w:t>
            </w:r>
          </w:p>
        </w:tc>
        <w:tc>
          <w:tcPr>
            <w:tcW w:w="0" w:type="dxa"/>
            <w:vAlign w:val="bottom"/>
          </w:tcPr>
          <w:p>
            <w:pPr>
              <w:spacing w:after="0"/>
              <w:rPr>
                <w:sz w:val="1"/>
                <w:szCs w:val="1"/>
                <w:color w:val="auto"/>
              </w:rPr>
            </w:pPr>
          </w:p>
        </w:tc>
      </w:tr>
      <w:tr>
        <w:trPr>
          <w:trHeight w:val="439"/>
        </w:trPr>
        <w:tc>
          <w:tcPr>
            <w:tcW w:w="3400" w:type="dxa"/>
            <w:vAlign w:val="bottom"/>
            <w:gridSpan w:val="2"/>
          </w:tcPr>
          <w:p>
            <w:pPr>
              <w:spacing w:after="0"/>
              <w:rPr>
                <w:sz w:val="20"/>
                <w:szCs w:val="20"/>
                <w:color w:val="auto"/>
              </w:rPr>
            </w:pPr>
            <w:r>
              <w:rPr>
                <w:rFonts w:ascii="Arial" w:cs="Arial" w:eastAsia="Arial" w:hAnsi="Arial"/>
                <w:sz w:val="18"/>
                <w:szCs w:val="18"/>
                <w:color w:val="auto"/>
              </w:rPr>
              <w:t>Citizens Bank, N.A.</w:t>
            </w:r>
          </w:p>
        </w:tc>
        <w:tc>
          <w:tcPr>
            <w:tcW w:w="234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$25,000,000</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jc w:val="center"/>
              <w:ind w:right="230"/>
              <w:spacing w:after="0"/>
              <w:rPr>
                <w:sz w:val="20"/>
                <w:szCs w:val="20"/>
                <w:color w:val="auto"/>
              </w:rPr>
            </w:pPr>
            <w:r>
              <w:rPr>
                <w:rFonts w:ascii="Arial" w:cs="Arial" w:eastAsia="Arial" w:hAnsi="Arial"/>
                <w:sz w:val="18"/>
                <w:szCs w:val="18"/>
                <w:color w:val="auto"/>
                <w:w w:val="90"/>
              </w:rPr>
              <w:t>3.86%</w:t>
            </w:r>
          </w:p>
        </w:tc>
        <w:tc>
          <w:tcPr>
            <w:tcW w:w="34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3.47%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2340" w:type="dxa"/>
            <w:vAlign w:val="bottom"/>
            <w:gridSpan w:val="3"/>
            <w:shd w:val="clear" w:color="auto" w:fill="E5FFFF"/>
          </w:tcPr>
          <w:p>
            <w:pPr>
              <w:jc w:val="center"/>
              <w:ind w:left="870"/>
              <w:spacing w:after="0"/>
              <w:rPr>
                <w:sz w:val="20"/>
                <w:szCs w:val="20"/>
                <w:color w:val="auto"/>
              </w:rPr>
            </w:pPr>
            <w:r>
              <w:rPr>
                <w:rFonts w:ascii="Arial" w:cs="Arial" w:eastAsia="Arial" w:hAnsi="Arial"/>
                <w:sz w:val="18"/>
                <w:szCs w:val="18"/>
                <w:color w:val="auto"/>
                <w:w w:val="88"/>
              </w:rPr>
              <w:t>$648,000,000</w:t>
            </w: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180" w:type="dxa"/>
            <w:vAlign w:val="bottom"/>
            <w:shd w:val="clear" w:color="auto" w:fill="E5FFFF"/>
          </w:tcPr>
          <w:p>
            <w:pPr>
              <w:jc w:val="center"/>
              <w:ind w:right="230"/>
              <w:spacing w:after="0"/>
              <w:rPr>
                <w:sz w:val="20"/>
                <w:szCs w:val="20"/>
                <w:color w:val="auto"/>
              </w:rPr>
            </w:pPr>
            <w:r>
              <w:rPr>
                <w:rFonts w:ascii="Arial" w:cs="Arial" w:eastAsia="Arial" w:hAnsi="Arial"/>
                <w:sz w:val="18"/>
                <w:szCs w:val="18"/>
                <w:color w:val="auto"/>
                <w:w w:val="91"/>
              </w:rPr>
              <w:t>100%</w:t>
            </w:r>
          </w:p>
        </w:tc>
        <w:tc>
          <w:tcPr>
            <w:tcW w:w="340" w:type="dxa"/>
            <w:vAlign w:val="bottom"/>
            <w:shd w:val="clear" w:color="auto" w:fill="E5FFFF"/>
          </w:tcPr>
          <w:p>
            <w:pPr>
              <w:spacing w:after="0"/>
              <w:rPr>
                <w:sz w:val="18"/>
                <w:szCs w:val="18"/>
                <w:color w:val="auto"/>
              </w:rPr>
            </w:pPr>
          </w:p>
        </w:tc>
        <w:tc>
          <w:tcPr>
            <w:tcW w:w="25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4"/>
              </w:rPr>
              <w:t>90%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3"/>
          </w:tcPr>
          <w:p>
            <w:pPr>
              <w:jc w:val="center"/>
              <w:ind w:left="590"/>
              <w:spacing w:after="0"/>
              <w:rPr>
                <w:sz w:val="20"/>
                <w:szCs w:val="20"/>
                <w:color w:val="auto"/>
              </w:rPr>
            </w:pPr>
            <w:r>
              <w:rPr>
                <w:rFonts w:ascii="Arial" w:cs="Arial" w:eastAsia="Arial" w:hAnsi="Arial"/>
                <w:sz w:val="18"/>
                <w:szCs w:val="18"/>
                <w:color w:val="auto"/>
                <w:w w:val="99"/>
              </w:rPr>
              <w:t>S</w:t>
            </w:r>
            <w:r>
              <w:rPr>
                <w:rFonts w:ascii="Arial" w:cs="Arial" w:eastAsia="Arial" w:hAnsi="Arial"/>
                <w:sz w:val="12"/>
                <w:szCs w:val="12"/>
                <w:color w:val="auto"/>
                <w:w w:val="99"/>
              </w:rPr>
              <w:t>CHEDULE</w:t>
            </w:r>
            <w:r>
              <w:rPr>
                <w:rFonts w:ascii="Arial" w:cs="Arial" w:eastAsia="Arial" w:hAnsi="Arial"/>
                <w:sz w:val="18"/>
                <w:szCs w:val="18"/>
                <w:color w:val="auto"/>
                <w:w w:val="99"/>
              </w:rPr>
              <w:t xml:space="preserve"> II</w:t>
            </w: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520" w:type="dxa"/>
            <w:vAlign w:val="bottom"/>
            <w:gridSpan w:val="7"/>
          </w:tcPr>
          <w:p>
            <w:pPr>
              <w:jc w:val="center"/>
              <w:ind w:right="900"/>
              <w:spacing w:after="0"/>
              <w:rPr>
                <w:sz w:val="20"/>
                <w:szCs w:val="20"/>
                <w:color w:val="auto"/>
              </w:rPr>
            </w:pPr>
            <w:r>
              <w:rPr>
                <w:rFonts w:ascii="Arial" w:cs="Arial" w:eastAsia="Arial" w:hAnsi="Arial"/>
                <w:sz w:val="18"/>
                <w:szCs w:val="18"/>
                <w:color w:val="auto"/>
                <w:w w:val="90"/>
              </w:rPr>
              <w:t>(to Amended and Restated Participation Agreement)</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c>
          <w:tcPr>
            <w:tcW w:w="600" w:type="dxa"/>
            <w:vAlign w:val="bottom"/>
            <w:tcBorders>
              <w:bottom w:val="single" w:sz="8" w:color="C0C0C0"/>
            </w:tcBorders>
          </w:tcPr>
          <w:p>
            <w:pPr>
              <w:spacing w:after="0"/>
              <w:rPr>
                <w:sz w:val="24"/>
                <w:szCs w:val="24"/>
                <w:color w:val="auto"/>
              </w:rPr>
            </w:pPr>
          </w:p>
        </w:tc>
        <w:tc>
          <w:tcPr>
            <w:tcW w:w="360" w:type="dxa"/>
            <w:vAlign w:val="bottom"/>
            <w:tcBorders>
              <w:bottom w:val="single" w:sz="8" w:color="C0C0C0"/>
            </w:tcBorders>
          </w:tcPr>
          <w:p>
            <w:pPr>
              <w:spacing w:after="0"/>
              <w:rPr>
                <w:sz w:val="24"/>
                <w:szCs w:val="24"/>
                <w:color w:val="auto"/>
              </w:rPr>
            </w:pPr>
          </w:p>
        </w:tc>
        <w:tc>
          <w:tcPr>
            <w:tcW w:w="13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21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25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6" w:right="23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OTICE</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22"/>
          <w:szCs w:val="22"/>
          <w:b w:val="1"/>
          <w:bCs w:val="1"/>
          <w:color w:val="auto"/>
        </w:rPr>
        <w:t>, P</w:t>
      </w:r>
      <w:r>
        <w:rPr>
          <w:rFonts w:ascii="Arial" w:cs="Arial" w:eastAsia="Arial" w:hAnsi="Arial"/>
          <w:sz w:val="14"/>
          <w:szCs w:val="14"/>
          <w:b w:val="1"/>
          <w:bCs w:val="1"/>
          <w:color w:val="auto"/>
        </w:rPr>
        <w:t>AYMENT</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FFICES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xml:space="preserve">AND </w:t>
      </w:r>
      <w:r>
        <w:rPr>
          <w:rFonts w:ascii="Arial" w:cs="Arial" w:eastAsia="Arial" w:hAnsi="Arial"/>
          <w:sz w:val="21"/>
          <w:szCs w:val="21"/>
          <w:b w:val="1"/>
          <w:bCs w:val="1"/>
          <w:color w:val="auto"/>
        </w:rPr>
        <w:t>A</w:t>
      </w:r>
      <w:r>
        <w:rPr>
          <w:rFonts w:ascii="Arial" w:cs="Arial" w:eastAsia="Arial" w:hAnsi="Arial"/>
          <w:sz w:val="15"/>
          <w:szCs w:val="15"/>
          <w:b w:val="1"/>
          <w:bCs w:val="1"/>
          <w:color w:val="auto"/>
        </w:rPr>
        <w:t xml:space="preserve">PPLICABLE </w:t>
      </w:r>
      <w:r>
        <w:rPr>
          <w:rFonts w:ascii="Arial" w:cs="Arial" w:eastAsia="Arial" w:hAnsi="Arial"/>
          <w:sz w:val="21"/>
          <w:szCs w:val="21"/>
          <w:b w:val="1"/>
          <w:bCs w:val="1"/>
          <w:color w:val="auto"/>
        </w:rPr>
        <w:t>L</w:t>
      </w:r>
      <w:r>
        <w:rPr>
          <w:rFonts w:ascii="Arial" w:cs="Arial" w:eastAsia="Arial" w:hAnsi="Arial"/>
          <w:sz w:val="15"/>
          <w:szCs w:val="15"/>
          <w:b w:val="1"/>
          <w:bCs w:val="1"/>
          <w:color w:val="auto"/>
        </w:rPr>
        <w:t xml:space="preserve">ENDING </w:t>
      </w:r>
      <w:r>
        <w:rPr>
          <w:rFonts w:ascii="Arial" w:cs="Arial" w:eastAsia="Arial" w:hAnsi="Arial"/>
          <w:sz w:val="21"/>
          <w:szCs w:val="21"/>
          <w:b w:val="1"/>
          <w:bCs w:val="1"/>
          <w:color w:val="auto"/>
        </w:rPr>
        <w:t>O</w:t>
      </w:r>
      <w:r>
        <w:rPr>
          <w:rFonts w:ascii="Arial" w:cs="Arial" w:eastAsia="Arial" w:hAnsi="Arial"/>
          <w:sz w:val="15"/>
          <w:szCs w:val="15"/>
          <w:b w:val="1"/>
          <w:bCs w:val="1"/>
          <w:color w:val="auto"/>
        </w:rPr>
        <w:t>FFICES</w:t>
      </w:r>
    </w:p>
    <w:p>
      <w:pPr>
        <w:spacing w:after="0" w:line="207" w:lineRule="exact"/>
        <w:rPr>
          <w:sz w:val="20"/>
          <w:szCs w:val="20"/>
          <w:color w:val="auto"/>
        </w:rPr>
      </w:pPr>
    </w:p>
    <w:p>
      <w:pPr>
        <w:jc w:val="both"/>
        <w:ind w:left="2040" w:right="2019" w:hanging="4"/>
        <w:spacing w:after="0" w:line="381" w:lineRule="auto"/>
        <w:rPr>
          <w:sz w:val="20"/>
          <w:szCs w:val="20"/>
          <w:color w:val="auto"/>
        </w:rPr>
      </w:pPr>
      <w:r>
        <w:rPr>
          <w:rFonts w:ascii="Arial" w:cs="Arial" w:eastAsia="Arial" w:hAnsi="Arial"/>
          <w:sz w:val="15"/>
          <w:szCs w:val="15"/>
          <w:b w:val="1"/>
          <w:bCs w:val="1"/>
          <w:i w:val="1"/>
          <w:iCs w:val="1"/>
          <w:color w:val="auto"/>
        </w:rPr>
        <w:t>[A copy of Schedule III to the Amended and Restated Participation Agreement is on file with the Lessee and the Administrative Agent]</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III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160020</wp:posOffset>
            </wp:positionV>
            <wp:extent cx="72466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27" w:name="page128"/>
    <w:bookmarkEnd w:id="127"/>
    <w:p>
      <w:pPr>
        <w:ind w:left="354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UBSIDIARY</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UARANTORS AS OF</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REGENERON HEALTHCARE SOLUTIONS, INC., a New York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GENETICS CENTER LLC, a Delaware limited liability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IV</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OVERNMENTAL</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CTIONS</w:t>
      </w:r>
      <w:r>
        <w:rPr>
          <w:rFonts w:ascii="Arial" w:cs="Arial" w:eastAsia="Arial" w:hAnsi="Arial"/>
          <w:sz w:val="22"/>
          <w:szCs w:val="22"/>
          <w:b w:val="1"/>
          <w:bCs w:val="1"/>
          <w:color w:val="auto"/>
        </w:rPr>
        <w:t>; F</w:t>
      </w:r>
      <w:r>
        <w:rPr>
          <w:rFonts w:ascii="Arial" w:cs="Arial" w:eastAsia="Arial" w:hAnsi="Arial"/>
          <w:sz w:val="14"/>
          <w:szCs w:val="14"/>
          <w:b w:val="1"/>
          <w:bCs w:val="1"/>
          <w:color w:val="auto"/>
        </w:rPr>
        <w:t>ILINGS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ECORDINGS AS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RIGINAL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w:t>
      </w:r>
    </w:p>
    <w:p>
      <w:pPr>
        <w:spacing w:after="0" w:line="219"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Recordation of the following instruments and documents in the Office of the County Clerk of the County of Westchester, New York: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Deed;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Memorandum of Lease;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Assignment of Leases;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Subordination Agreement by and among Lessee and Parent Guarantor in favor of Administrative Agent dated March 3, 2017</w:t>
      </w:r>
    </w:p>
    <w:p>
      <w:pPr>
        <w:spacing w:after="0" w:line="222" w:lineRule="exact"/>
        <w:rPr>
          <w:rFonts w:ascii="Arial" w:cs="Arial" w:eastAsia="Arial" w:hAnsi="Arial"/>
          <w:sz w:val="17"/>
          <w:szCs w:val="17"/>
          <w:color w:val="auto"/>
        </w:rPr>
      </w:pPr>
    </w:p>
    <w:p>
      <w:pPr>
        <w:ind w:firstLine="8"/>
        <w:spacing w:after="0" w:line="277" w:lineRule="auto"/>
        <w:tabs>
          <w:tab w:leader="none" w:pos="18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Filing of a UCC-1 financing statement in the Office of the County Clerk of the County of Westchester, New York, naming Lessee as debtor, Administrative Agent (as Administrative Agent for the Lenders), as total assignee secured party, and Lessor, as assignor secured party.</w:t>
      </w:r>
    </w:p>
    <w:p>
      <w:pPr>
        <w:spacing w:after="0" w:line="170" w:lineRule="exact"/>
        <w:rPr>
          <w:rFonts w:ascii="Arial" w:cs="Arial" w:eastAsia="Arial" w:hAnsi="Arial"/>
          <w:sz w:val="18"/>
          <w:szCs w:val="18"/>
          <w:color w:val="auto"/>
        </w:rPr>
      </w:pPr>
    </w:p>
    <w:p>
      <w:pPr>
        <w:ind w:firstLine="8"/>
        <w:spacing w:after="0" w:line="277" w:lineRule="auto"/>
        <w:tabs>
          <w:tab w:leader="none" w:pos="18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Filing of a UCC-1 financing statement in the office of the Secretary of State of the State of New York, naming Lessee as debtor, Administrative Agent (as Administrative Agent for the Lenders), as total assignee secured party, and Lessor, as assignor secured party.</w:t>
      </w:r>
    </w:p>
    <w:p>
      <w:pPr>
        <w:spacing w:after="0" w:line="170" w:lineRule="exact"/>
        <w:rPr>
          <w:rFonts w:ascii="Arial" w:cs="Arial" w:eastAsia="Arial" w:hAnsi="Arial"/>
          <w:sz w:val="18"/>
          <w:szCs w:val="18"/>
          <w:color w:val="auto"/>
        </w:rPr>
      </w:pPr>
    </w:p>
    <w:p>
      <w:pPr>
        <w:ind w:firstLine="8"/>
        <w:spacing w:after="0" w:line="277" w:lineRule="auto"/>
        <w:tabs>
          <w:tab w:leader="none" w:pos="21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Filing of a UCC-1 financing statement in the Office of the County Clerk of the County of Westchester, New York, naming Lessor as debtor and Administrative Agent (as Administrative Agent for the Lenders) as secured party.</w:t>
      </w:r>
    </w:p>
    <w:p>
      <w:pPr>
        <w:spacing w:after="0" w:line="170"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Filing of a UCC-1 financing statement in the office of the Secretary of State of the State of Delaware, naming Lessor as debtor and Administrative Agent (as Administrative Agent for the Lenders) as secured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6.1(xi)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 Amended and Restated Participation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160020</wp:posOffset>
            </wp:positionV>
            <wp:extent cx="72466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ESSEE</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ATED AS OF</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AY</w:t>
      </w:r>
      <w:r>
        <w:rPr>
          <w:rFonts w:ascii="Arial" w:cs="Arial" w:eastAsia="Arial" w:hAnsi="Arial"/>
          <w:sz w:val="22"/>
          <w:szCs w:val="22"/>
          <w:b w:val="1"/>
          <w:bCs w:val="1"/>
          <w:color w:val="auto"/>
        </w:rPr>
        <w:t xml:space="preserve"> 2, 2019</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O</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Bank of America, N.A., as Administrative Agent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 Leasing BSC, LLC, as Lessor</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Restatement Date Certificate is delivered to you pursuant to Section 6.2(iii) of the Amended and Restated Participation Agreement, dated as of the date hereof (the “</w:t>
      </w:r>
      <w:r>
        <w:rPr>
          <w:rFonts w:ascii="Arial" w:cs="Arial" w:eastAsia="Arial" w:hAnsi="Arial"/>
          <w:sz w:val="17"/>
          <w:szCs w:val="17"/>
          <w:i w:val="1"/>
          <w:iCs w:val="1"/>
          <w:color w:val="auto"/>
        </w:rPr>
        <w:t>Participation Agreement</w:t>
      </w:r>
      <w:r>
        <w:rPr>
          <w:rFonts w:ascii="Arial" w:cs="Arial" w:eastAsia="Arial" w:hAnsi="Arial"/>
          <w:sz w:val="17"/>
          <w:szCs w:val="17"/>
          <w:color w:val="auto"/>
        </w:rPr>
        <w:t>”), among Old Saw Mill Holdings LLC, a New York limited liability company, as Lessee (“</w:t>
      </w:r>
      <w:r>
        <w:rPr>
          <w:rFonts w:ascii="Arial" w:cs="Arial" w:eastAsia="Arial" w:hAnsi="Arial"/>
          <w:sz w:val="17"/>
          <w:szCs w:val="17"/>
          <w:i w:val="1"/>
          <w:iCs w:val="1"/>
          <w:color w:val="auto"/>
        </w:rPr>
        <w:t>Lessee</w:t>
      </w:r>
      <w:r>
        <w:rPr>
          <w:rFonts w:ascii="Arial" w:cs="Arial" w:eastAsia="Arial" w:hAnsi="Arial"/>
          <w:sz w:val="17"/>
          <w:szCs w:val="17"/>
          <w:color w:val="auto"/>
        </w:rPr>
        <w:t>”), BA Leasing BSC, LLC, a Delaware limited liability company, as Lessor, Bank of America, N.A., not in its individual capacity, except as expressly stated therein, but solely as Administrative Agent, and the Lenders party thereto. All capitalized terms used herein and not otherwise defined shall have the meanings assigned to such terms in Appendix 1 to the Participation Agreement, unless the context otherwise requires.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in his capacity as a Responsible Officer of the Lessee, is duly authorized and hereby certifies, in such capacity and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Lessee and not in any personal capacity, to the Lessor and Administrative Agent that as of the date hereof:</w:t>
      </w:r>
    </w:p>
    <w:p>
      <w:pPr>
        <w:spacing w:after="0" w:line="211" w:lineRule="exact"/>
        <w:rPr>
          <w:sz w:val="20"/>
          <w:szCs w:val="20"/>
          <w:color w:val="auto"/>
        </w:rPr>
      </w:pPr>
    </w:p>
    <w:p>
      <w:pPr>
        <w:jc w:val="both"/>
        <w:ind w:left="660" w:firstLine="807"/>
        <w:spacing w:after="0" w:line="264" w:lineRule="auto"/>
        <w:tabs>
          <w:tab w:leader="none" w:pos="166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of the conditions set forth in Section 6.2 of the Participation Agreement are fully satisfied as of the date hereof (or waived in accordance with the Operative Documents), in any such case, except to the extent satisfaction of any such condition is subject to the discretion or control of the Administrative Agent any Participant and/or their Related Parties.</w:t>
      </w:r>
    </w:p>
    <w:p>
      <w:pPr>
        <w:spacing w:after="0" w:line="181" w:lineRule="exact"/>
        <w:rPr>
          <w:rFonts w:ascii="Arial" w:cs="Arial" w:eastAsia="Arial" w:hAnsi="Arial"/>
          <w:sz w:val="18"/>
          <w:szCs w:val="18"/>
          <w:color w:val="auto"/>
        </w:rPr>
      </w:pPr>
    </w:p>
    <w:p>
      <w:pPr>
        <w:jc w:val="both"/>
        <w:ind w:left="660" w:firstLine="807"/>
        <w:spacing w:after="0" w:line="286" w:lineRule="auto"/>
        <w:tabs>
          <w:tab w:leader="none" w:pos="167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Each and every representation and warranty of the Lessee contained in each Operative Document to which it is a party is true and correct in all material respects on and as of the Restatement Date, except to the extent such representation or warranty specifically refers to an earlier date, in which case such representation or warranty is true and correct in all material respects on and as of such earlier date.</w:t>
      </w:r>
    </w:p>
    <w:p>
      <w:pPr>
        <w:spacing w:after="0" w:line="165" w:lineRule="exact"/>
        <w:rPr>
          <w:rFonts w:ascii="Arial" w:cs="Arial" w:eastAsia="Arial" w:hAnsi="Arial"/>
          <w:sz w:val="17"/>
          <w:szCs w:val="17"/>
          <w:color w:val="auto"/>
        </w:rPr>
      </w:pPr>
    </w:p>
    <w:p>
      <w:pPr>
        <w:ind w:left="660" w:firstLine="807"/>
        <w:spacing w:after="0" w:line="277" w:lineRule="auto"/>
        <w:tabs>
          <w:tab w:leader="none" w:pos="165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Default, Event of Default, Event of Loss, Specified Significant Environmental Event or Specified Material Environmental Violation has occurred and is continuing.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B-2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t>I</w:t>
      </w:r>
      <w:r>
        <w:rPr>
          <w:rFonts w:ascii="Arial" w:cs="Arial" w:eastAsia="Arial" w:hAnsi="Arial"/>
          <w:sz w:val="11"/>
          <w:szCs w:val="11"/>
          <w:color w:val="auto"/>
        </w:rPr>
        <w:t>N</w:t>
      </w:r>
      <w:r>
        <w:rPr>
          <w:rFonts w:ascii="Arial" w:cs="Arial" w:eastAsia="Arial" w:hAnsi="Arial"/>
          <w:sz w:val="16"/>
          <w:szCs w:val="16"/>
          <w:color w:val="auto"/>
        </w:rPr>
        <w:t xml:space="preserve"> W</w:t>
      </w:r>
      <w:r>
        <w:rPr>
          <w:rFonts w:ascii="Arial" w:cs="Arial" w:eastAsia="Arial" w:hAnsi="Arial"/>
          <w:sz w:val="11"/>
          <w:szCs w:val="11"/>
          <w:color w:val="auto"/>
        </w:rPr>
        <w:t>ITNESS</w:t>
      </w:r>
      <w:r>
        <w:rPr>
          <w:rFonts w:ascii="Arial" w:cs="Arial" w:eastAsia="Arial" w:hAnsi="Arial"/>
          <w:sz w:val="16"/>
          <w:szCs w:val="16"/>
          <w:color w:val="auto"/>
        </w:rPr>
        <w:t xml:space="preserve"> W</w:t>
      </w:r>
      <w:r>
        <w:rPr>
          <w:rFonts w:ascii="Arial" w:cs="Arial" w:eastAsia="Arial" w:hAnsi="Arial"/>
          <w:sz w:val="11"/>
          <w:szCs w:val="11"/>
          <w:color w:val="auto"/>
        </w:rPr>
        <w:t>HEREOF</w:t>
      </w:r>
      <w:r>
        <w:rPr>
          <w:rFonts w:ascii="Arial" w:cs="Arial" w:eastAsia="Arial" w:hAnsi="Arial"/>
          <w:sz w:val="16"/>
          <w:szCs w:val="16"/>
          <w:color w:val="auto"/>
        </w:rPr>
        <w:t>, I have signed my name as a duly authorized Responsible Officer of Lessee on the date first written above.</w:t>
      </w: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14605</wp:posOffset>
            </wp:positionV>
            <wp:extent cx="2941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4242435</wp:posOffset>
            </wp:positionH>
            <wp:positionV relativeFrom="paragraph">
              <wp:posOffset>14605</wp:posOffset>
            </wp:positionV>
            <wp:extent cx="25901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14605</wp:posOffset>
            </wp:positionV>
            <wp:extent cx="26498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186690</wp:posOffset>
            </wp:positionV>
            <wp:extent cx="72466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559"/>
          </w:cols>
          <w:pgMar w:left="900" w:top="409"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ARENT</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UARANTOR</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ATED AS OF</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AY</w:t>
      </w:r>
      <w:r>
        <w:rPr>
          <w:rFonts w:ascii="Arial" w:cs="Arial" w:eastAsia="Arial" w:hAnsi="Arial"/>
          <w:sz w:val="22"/>
          <w:szCs w:val="22"/>
          <w:b w:val="1"/>
          <w:bCs w:val="1"/>
          <w:color w:val="auto"/>
        </w:rPr>
        <w:t xml:space="preserve"> 2, 2019</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O</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Bank of America, N.A., as Administrative Agent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 Leasing BSC, LLC, as Lessor</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Restatement Date Certificate is delivered to you pursuant to Section 6.2(iii) of the Amended and Restated Participation Agreement, dated as of the date hereof (the “</w:t>
      </w:r>
      <w:r>
        <w:rPr>
          <w:rFonts w:ascii="Arial" w:cs="Arial" w:eastAsia="Arial" w:hAnsi="Arial"/>
          <w:sz w:val="17"/>
          <w:szCs w:val="17"/>
          <w:i w:val="1"/>
          <w:iCs w:val="1"/>
          <w:color w:val="auto"/>
        </w:rPr>
        <w:t>Participation Agreement</w:t>
      </w:r>
      <w:r>
        <w:rPr>
          <w:rFonts w:ascii="Arial" w:cs="Arial" w:eastAsia="Arial" w:hAnsi="Arial"/>
          <w:sz w:val="17"/>
          <w:szCs w:val="17"/>
          <w:color w:val="auto"/>
        </w:rPr>
        <w:t>”), among Old Saw Mill Holdings LLC, a New York limited liability company, as Lessee (“</w:t>
      </w:r>
      <w:r>
        <w:rPr>
          <w:rFonts w:ascii="Arial" w:cs="Arial" w:eastAsia="Arial" w:hAnsi="Arial"/>
          <w:sz w:val="17"/>
          <w:szCs w:val="17"/>
          <w:i w:val="1"/>
          <w:iCs w:val="1"/>
          <w:color w:val="auto"/>
        </w:rPr>
        <w:t>Lessee</w:t>
      </w:r>
      <w:r>
        <w:rPr>
          <w:rFonts w:ascii="Arial" w:cs="Arial" w:eastAsia="Arial" w:hAnsi="Arial"/>
          <w:sz w:val="17"/>
          <w:szCs w:val="17"/>
          <w:color w:val="auto"/>
        </w:rPr>
        <w:t>”), BA Leasing BSC, LLC, a Delaware limited liability company, as Lessor, Bank of America, N.A., not in its individual capacity, except as expressly stated therein, but solely as Administrative Agent, and the Lenders party thereto, and in connection with that certain Amended and Restated Guaranty, dated as of the date hereof (the “</w:t>
      </w:r>
      <w:r>
        <w:rPr>
          <w:rFonts w:ascii="Arial" w:cs="Arial" w:eastAsia="Arial" w:hAnsi="Arial"/>
          <w:sz w:val="17"/>
          <w:szCs w:val="17"/>
          <w:i w:val="1"/>
          <w:iCs w:val="1"/>
          <w:color w:val="auto"/>
        </w:rPr>
        <w:t>Guaranty</w:t>
      </w:r>
      <w:r>
        <w:rPr>
          <w:rFonts w:ascii="Arial" w:cs="Arial" w:eastAsia="Arial" w:hAnsi="Arial"/>
          <w:sz w:val="17"/>
          <w:szCs w:val="17"/>
          <w:color w:val="auto"/>
        </w:rPr>
        <w:t>”), executed by Regeneron Pharmaceuticals, Inc., a New York corporation (the “</w:t>
      </w:r>
      <w:r>
        <w:rPr>
          <w:rFonts w:ascii="Arial" w:cs="Arial" w:eastAsia="Arial" w:hAnsi="Arial"/>
          <w:sz w:val="17"/>
          <w:szCs w:val="17"/>
          <w:i w:val="1"/>
          <w:iCs w:val="1"/>
          <w:color w:val="auto"/>
        </w:rPr>
        <w:t>Parent Guarantor</w:t>
      </w:r>
      <w:r>
        <w:rPr>
          <w:rFonts w:ascii="Arial" w:cs="Arial" w:eastAsia="Arial" w:hAnsi="Arial"/>
          <w:sz w:val="17"/>
          <w:szCs w:val="17"/>
          <w:color w:val="auto"/>
        </w:rPr>
        <w:t>”), and certain Subsidiary Guarantors from time to time party thereto. All capitalized terms used herein and not otherwise defined shall have the meanings assigned to such terms in Appendix 1 to the Participation Agreement, unless the context otherwise requires.</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undersigned, in his capacity as a Responsible Officer of the Parent Guarantor, is duly authorized and hereby certifies, in such capacity and on behalf of the Parent Guarantor and not in any personal capacity, to the Lessor and Administrative Agent that as of the date hereof:</w:t>
      </w:r>
    </w:p>
    <w:p>
      <w:pPr>
        <w:spacing w:after="0" w:line="147" w:lineRule="exact"/>
        <w:rPr>
          <w:sz w:val="20"/>
          <w:szCs w:val="20"/>
          <w:color w:val="auto"/>
        </w:rPr>
      </w:pPr>
    </w:p>
    <w:p>
      <w:pPr>
        <w:jc w:val="both"/>
        <w:ind w:left="660" w:firstLine="645"/>
        <w:spacing w:after="0" w:line="286" w:lineRule="auto"/>
        <w:tabs>
          <w:tab w:leader="none" w:pos="149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Each and every representation and warranty of each Guarantor contained in each Operative Document to which it is a party is true and correct in all material respects on and as of the Restatement Date, except to the extent such representation or warranty specifically refers to an earlier date, in which case such representation or warranty is true and correct in all material respects on and as of such earlier date.</w:t>
      </w:r>
    </w:p>
    <w:p>
      <w:pPr>
        <w:spacing w:after="0" w:line="165" w:lineRule="exact"/>
        <w:rPr>
          <w:rFonts w:ascii="Arial" w:cs="Arial" w:eastAsia="Arial" w:hAnsi="Arial"/>
          <w:sz w:val="17"/>
          <w:szCs w:val="17"/>
          <w:color w:val="auto"/>
        </w:rPr>
      </w:pPr>
    </w:p>
    <w:p>
      <w:pPr>
        <w:ind w:left="660" w:firstLine="645"/>
        <w:spacing w:after="0" w:line="277" w:lineRule="auto"/>
        <w:tabs>
          <w:tab w:leader="none" w:pos="149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Default, Event of Default, Event of Loss, Specified Significant Environmental Event or Specified Material Environmental Violation has occurred and is continuing.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I</w:t>
      </w:r>
      <w:r>
        <w:rPr>
          <w:rFonts w:ascii="Arial" w:cs="Arial" w:eastAsia="Arial" w:hAnsi="Arial"/>
          <w:sz w:val="11"/>
          <w:szCs w:val="11"/>
          <w:color w:val="auto"/>
        </w:rPr>
        <w:t>N</w:t>
      </w:r>
      <w:r>
        <w:rPr>
          <w:rFonts w:ascii="Arial" w:cs="Arial" w:eastAsia="Arial" w:hAnsi="Arial"/>
          <w:sz w:val="16"/>
          <w:szCs w:val="16"/>
          <w:color w:val="auto"/>
        </w:rPr>
        <w:t xml:space="preserve"> W</w:t>
      </w:r>
      <w:r>
        <w:rPr>
          <w:rFonts w:ascii="Arial" w:cs="Arial" w:eastAsia="Arial" w:hAnsi="Arial"/>
          <w:sz w:val="11"/>
          <w:szCs w:val="11"/>
          <w:color w:val="auto"/>
        </w:rPr>
        <w:t>ITNESS</w:t>
      </w:r>
      <w:r>
        <w:rPr>
          <w:rFonts w:ascii="Arial" w:cs="Arial" w:eastAsia="Arial" w:hAnsi="Arial"/>
          <w:sz w:val="16"/>
          <w:szCs w:val="16"/>
          <w:color w:val="auto"/>
        </w:rPr>
        <w:t xml:space="preserve"> W</w:t>
      </w:r>
      <w:r>
        <w:rPr>
          <w:rFonts w:ascii="Arial" w:cs="Arial" w:eastAsia="Arial" w:hAnsi="Arial"/>
          <w:sz w:val="11"/>
          <w:szCs w:val="11"/>
          <w:color w:val="auto"/>
        </w:rPr>
        <w:t>HEREOF</w:t>
      </w:r>
      <w:r>
        <w:rPr>
          <w:rFonts w:ascii="Arial" w:cs="Arial" w:eastAsia="Arial" w:hAnsi="Arial"/>
          <w:sz w:val="16"/>
          <w:szCs w:val="16"/>
          <w:color w:val="auto"/>
        </w:rPr>
        <w:t>, I have signed my name as a duly authorized Responsible Officer of Parent Guarantor on the date first written above.</w:t>
      </w:r>
    </w:p>
    <w:p>
      <w:pPr>
        <w:spacing w:after="0" w:line="24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-130810</wp:posOffset>
            </wp:positionV>
            <wp:extent cx="2675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160020</wp:posOffset>
            </wp:positionV>
            <wp:extent cx="72466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900"/>
          </w:cols>
          <w:pgMar w:left="900" w:top="409" w:right="1099" w:bottom="1440" w:gutter="0" w:footer="0" w:header="0"/>
        </w:sectPr>
      </w:pPr>
    </w:p>
    <w:bookmarkStart w:id="134" w:name="page135"/>
    <w:bookmarkEnd w:id="134"/>
    <w:p>
      <w:pPr>
        <w:jc w:val="center"/>
        <w:ind w:right="-20"/>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UARANTY</w:t>
      </w:r>
    </w:p>
    <w:p>
      <w:pPr>
        <w:sectPr>
          <w:pgSz w:w="11900" w:h="16838" w:orient="portrait"/>
          <w:cols w:equalWidth="0" w:num="1">
            <w:col w:w="9019"/>
          </w:cols>
          <w:pgMar w:left="1440" w:top="396" w:right="1440"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See attached</w:t>
      </w:r>
      <w:r>
        <w:rPr>
          <w:rFonts w:ascii="Arial" w:cs="Arial" w:eastAsia="Arial" w:hAnsi="Arial"/>
          <w:sz w:val="22"/>
          <w:szCs w:val="22"/>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174625</wp:posOffset>
            </wp:positionV>
            <wp:extent cx="72466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G</w:t>
      </w:r>
      <w:r>
        <w:rPr>
          <w:rFonts w:ascii="Arial" w:cs="Arial" w:eastAsia="Arial" w:hAnsi="Arial"/>
          <w:sz w:val="12"/>
          <w:szCs w:val="12"/>
          <w:color w:val="auto"/>
        </w:rPr>
        <w:t>UARANTY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May 2, 2019</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Parent Guarantor,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The Subsidiary Guarantors party hereto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D</w:t>
      </w:r>
    </w:p>
    <w:p>
      <w:pPr>
        <w:spacing w:after="0" w:line="2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160020</wp:posOffset>
            </wp:positionV>
            <wp:extent cx="724662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5"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60" w:type="dxa"/>
            <w:vAlign w:val="bottom"/>
          </w:tcPr>
          <w:p>
            <w:pPr>
              <w:ind w:left="3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2680" w:type="dxa"/>
            <w:vAlign w:val="bottom"/>
          </w:tcPr>
          <w:p>
            <w:pPr>
              <w:spacing w:after="0"/>
              <w:rPr>
                <w:sz w:val="20"/>
                <w:szCs w:val="20"/>
                <w:color w:val="auto"/>
              </w:rPr>
            </w:pPr>
          </w:p>
        </w:tc>
      </w:tr>
      <w:tr>
        <w:trPr>
          <w:trHeight w:val="432"/>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260" w:type="dxa"/>
            <w:vAlign w:val="bottom"/>
          </w:tcPr>
          <w:p>
            <w:pPr>
              <w:spacing w:after="0"/>
              <w:rPr>
                <w:sz w:val="24"/>
                <w:szCs w:val="24"/>
                <w:color w:val="auto"/>
              </w:rPr>
            </w:pPr>
          </w:p>
        </w:tc>
        <w:tc>
          <w:tcPr>
            <w:tcW w:w="6860" w:type="dxa"/>
            <w:vAlign w:val="bottom"/>
          </w:tcPr>
          <w:p>
            <w:pPr>
              <w:ind w:left="8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2680" w:type="dxa"/>
            <w:vAlign w:val="bottom"/>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18"/>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1.</w:t>
            </w:r>
          </w:p>
        </w:tc>
        <w:tc>
          <w:tcPr>
            <w:tcW w:w="260" w:type="dxa"/>
            <w:vAlign w:val="bottom"/>
          </w:tcPr>
          <w:p>
            <w:pPr>
              <w:spacing w:after="0"/>
              <w:rPr>
                <w:sz w:val="24"/>
                <w:szCs w:val="24"/>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Guarantee</w:t>
            </w:r>
          </w:p>
        </w:tc>
        <w:tc>
          <w:tcPr>
            <w:tcW w:w="2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2.</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Guarantor’s Obligations Unconditional</w:t>
            </w:r>
          </w:p>
        </w:tc>
        <w:tc>
          <w:tcPr>
            <w:tcW w:w="2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3.</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Waiver of Subrogation</w:t>
            </w:r>
          </w:p>
        </w:tc>
        <w:tc>
          <w:tcPr>
            <w:tcW w:w="2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4.</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Reasonableness and Effect of Waivers</w:t>
            </w:r>
          </w:p>
        </w:tc>
        <w:tc>
          <w:tcPr>
            <w:tcW w:w="2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5.</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Transfers by Beneficiaries</w:t>
            </w:r>
          </w:p>
        </w:tc>
        <w:tc>
          <w:tcPr>
            <w:tcW w:w="2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6.</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No Waiver by Beneficiaries</w:t>
            </w:r>
          </w:p>
        </w:tc>
        <w:tc>
          <w:tcPr>
            <w:tcW w:w="2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7.</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Guarantor Representations and Warranties</w:t>
            </w:r>
          </w:p>
        </w:tc>
        <w:tc>
          <w:tcPr>
            <w:tcW w:w="2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8.</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Guarantor Affirmative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9.</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Guarantor Negative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10.</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Successors and Assigns</w:t>
            </w:r>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11.</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Severability</w:t>
            </w: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12.</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Submission to Jurisdiction; Service of Process</w:t>
            </w: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13.</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Notices</w:t>
            </w: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14.</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Amendment</w:t>
            </w: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15.</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Governing Law; Waiver of Jury Trial</w:t>
            </w: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16.</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No Advisory or Fiduciary Responsibility</w:t>
            </w:r>
          </w:p>
        </w:tc>
        <w:tc>
          <w:tcPr>
            <w:tcW w:w="2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17.</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Releases; Termination of Guaranty</w:t>
            </w:r>
          </w:p>
        </w:tc>
        <w:tc>
          <w:tcPr>
            <w:tcW w:w="2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18.</w:t>
            </w:r>
          </w:p>
        </w:tc>
        <w:tc>
          <w:tcPr>
            <w:tcW w:w="26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Contribution with Respect to Liabilities</w:t>
            </w:r>
          </w:p>
        </w:tc>
        <w:tc>
          <w:tcPr>
            <w:tcW w:w="2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Section 19.</w:t>
            </w:r>
          </w:p>
        </w:tc>
        <w:tc>
          <w:tcPr>
            <w:tcW w:w="260" w:type="dxa"/>
            <w:vAlign w:val="bottom"/>
          </w:tcPr>
          <w:p>
            <w:pPr>
              <w:spacing w:after="0"/>
              <w:rPr>
                <w:sz w:val="20"/>
                <w:szCs w:val="20"/>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Effect of Restatement</w:t>
            </w:r>
          </w:p>
        </w:tc>
        <w:tc>
          <w:tcPr>
            <w:tcW w:w="2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92"/>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S</w:t>
            </w:r>
            <w:r>
              <w:rPr>
                <w:rFonts w:ascii="Arial" w:cs="Arial" w:eastAsia="Arial" w:hAnsi="Arial"/>
                <w:sz w:val="12"/>
                <w:szCs w:val="12"/>
                <w:b w:val="1"/>
                <w:bCs w:val="1"/>
                <w:color w:val="auto"/>
                <w:w w:val="97"/>
              </w:rPr>
              <w:t>CHEDULES</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38"/>
        </w:trPr>
        <w:tc>
          <w:tcPr>
            <w:tcW w:w="16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7(a)</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860" w:type="dxa"/>
            <w:vAlign w:val="bottom"/>
          </w:tcPr>
          <w:p>
            <w:pPr>
              <w:ind w:left="400"/>
              <w:spacing w:after="0"/>
              <w:rPr>
                <w:sz w:val="20"/>
                <w:szCs w:val="20"/>
                <w:color w:val="auto"/>
              </w:rPr>
            </w:pPr>
            <w:r>
              <w:rPr>
                <w:rFonts w:ascii="Arial" w:cs="Arial" w:eastAsia="Arial" w:hAnsi="Arial"/>
                <w:sz w:val="18"/>
                <w:szCs w:val="18"/>
                <w:color w:val="auto"/>
              </w:rPr>
              <w:t>Subsidiaries</w:t>
            </w:r>
          </w:p>
        </w:tc>
        <w:tc>
          <w:tcPr>
            <w:tcW w:w="2680" w:type="dxa"/>
            <w:vAlign w:val="bottom"/>
          </w:tcPr>
          <w:p>
            <w:pPr>
              <w:spacing w:after="0"/>
              <w:rPr>
                <w:sz w:val="24"/>
                <w:szCs w:val="24"/>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9(a)</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860" w:type="dxa"/>
            <w:vAlign w:val="bottom"/>
          </w:tcPr>
          <w:p>
            <w:pPr>
              <w:ind w:left="400"/>
              <w:spacing w:after="0"/>
              <w:rPr>
                <w:sz w:val="20"/>
                <w:szCs w:val="20"/>
                <w:color w:val="auto"/>
              </w:rPr>
            </w:pPr>
            <w:r>
              <w:rPr>
                <w:rFonts w:ascii="Arial" w:cs="Arial" w:eastAsia="Arial" w:hAnsi="Arial"/>
                <w:sz w:val="18"/>
                <w:szCs w:val="18"/>
                <w:color w:val="auto"/>
              </w:rPr>
              <w:t>Existing Indebtedness</w:t>
            </w:r>
          </w:p>
        </w:tc>
        <w:tc>
          <w:tcPr>
            <w:tcW w:w="2680" w:type="dxa"/>
            <w:vAlign w:val="bottom"/>
          </w:tcPr>
          <w:p>
            <w:pPr>
              <w:spacing w:after="0"/>
              <w:rPr>
                <w:sz w:val="18"/>
                <w:szCs w:val="18"/>
                <w:color w:val="auto"/>
              </w:rPr>
            </w:pPr>
          </w:p>
        </w:tc>
      </w:t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9(b)</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860" w:type="dxa"/>
            <w:vAlign w:val="bottom"/>
          </w:tcPr>
          <w:p>
            <w:pPr>
              <w:ind w:left="400"/>
              <w:spacing w:after="0"/>
              <w:rPr>
                <w:sz w:val="20"/>
                <w:szCs w:val="20"/>
                <w:color w:val="auto"/>
              </w:rPr>
            </w:pPr>
            <w:r>
              <w:rPr>
                <w:rFonts w:ascii="Arial" w:cs="Arial" w:eastAsia="Arial" w:hAnsi="Arial"/>
                <w:sz w:val="18"/>
                <w:szCs w:val="18"/>
                <w:color w:val="auto"/>
              </w:rPr>
              <w:t>Existing Liens</w:t>
            </w:r>
          </w:p>
        </w:tc>
        <w:tc>
          <w:tcPr>
            <w:tcW w:w="2680" w:type="dxa"/>
            <w:vAlign w:val="bottom"/>
          </w:tcPr>
          <w:p>
            <w:pPr>
              <w:spacing w:after="0"/>
              <w:rPr>
                <w:sz w:val="20"/>
                <w:szCs w:val="20"/>
                <w:color w:val="auto"/>
              </w:rPr>
            </w:pPr>
          </w:p>
        </w:tc>
      </w:tr>
      <w:tr>
        <w:trPr>
          <w:trHeight w:val="392"/>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NNEXES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XHIBITS</w:t>
            </w:r>
          </w:p>
        </w:tc>
        <w:tc>
          <w:tcPr>
            <w:tcW w:w="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53"/>
        </w:trPr>
        <w:tc>
          <w:tcPr>
            <w:tcW w:w="162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NNEX</w:t>
            </w:r>
            <w:r>
              <w:rPr>
                <w:rFonts w:ascii="Arial" w:cs="Arial" w:eastAsia="Arial" w:hAnsi="Arial"/>
                <w:sz w:val="18"/>
                <w:szCs w:val="18"/>
                <w:color w:val="auto"/>
              </w:rPr>
              <w:t xml:space="preserve"> I</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860" w:type="dxa"/>
            <w:vAlign w:val="bottom"/>
          </w:tcPr>
          <w:p>
            <w:pPr>
              <w:ind w:left="400"/>
              <w:spacing w:after="0"/>
              <w:rPr>
                <w:sz w:val="20"/>
                <w:szCs w:val="20"/>
                <w:color w:val="auto"/>
              </w:rPr>
            </w:pPr>
            <w:r>
              <w:rPr>
                <w:rFonts w:ascii="Arial" w:cs="Arial" w:eastAsia="Arial" w:hAnsi="Arial"/>
                <w:sz w:val="18"/>
                <w:szCs w:val="18"/>
                <w:color w:val="auto"/>
              </w:rPr>
              <w:t>Form of Supplement to Guaranty</w:t>
            </w:r>
          </w:p>
        </w:tc>
        <w:tc>
          <w:tcPr>
            <w:tcW w:w="2680" w:type="dxa"/>
            <w:vAlign w:val="bottom"/>
          </w:tcPr>
          <w:p>
            <w:pPr>
              <w:spacing w:after="0"/>
              <w:rPr>
                <w:sz w:val="24"/>
                <w:szCs w:val="24"/>
                <w:color w:val="auto"/>
              </w:rPr>
            </w:pPr>
          </w:p>
        </w:tc>
      </w:tr>
      <w:tr>
        <w:trPr>
          <w:trHeight w:val="277"/>
        </w:trPr>
        <w:tc>
          <w:tcPr>
            <w:tcW w:w="78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6860" w:type="dxa"/>
            <w:vAlign w:val="bottom"/>
            <w:tcBorders>
              <w:bottom w:val="single" w:sz="8" w:color="C0C0C0"/>
            </w:tcBorders>
          </w:tcPr>
          <w:p>
            <w:pPr>
              <w:spacing w:after="0"/>
              <w:rPr>
                <w:sz w:val="24"/>
                <w:szCs w:val="24"/>
                <w:color w:val="auto"/>
              </w:rPr>
            </w:pPr>
          </w:p>
        </w:tc>
        <w:tc>
          <w:tcPr>
            <w:tcW w:w="26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5"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UARANTY</w:t>
      </w:r>
    </w:p>
    <w:p>
      <w:pPr>
        <w:spacing w:after="0" w:line="2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HIS</w:t>
      </w:r>
      <w:r>
        <w:rPr>
          <w:rFonts w:ascii="Arial" w:cs="Arial" w:eastAsia="Arial" w:hAnsi="Arial"/>
          <w:sz w:val="17"/>
          <w:szCs w:val="17"/>
          <w:color w:val="auto"/>
        </w:rPr>
        <w:t xml:space="preserve"> A</w:t>
      </w:r>
      <w:r>
        <w:rPr>
          <w:rFonts w:ascii="Arial" w:cs="Arial" w:eastAsia="Arial" w:hAnsi="Arial"/>
          <w:sz w:val="11"/>
          <w:szCs w:val="11"/>
          <w:color w:val="auto"/>
        </w:rPr>
        <w:t>MENDED AND RESTATED GUARANTY</w:t>
      </w:r>
      <w:r>
        <w:rPr>
          <w:rFonts w:ascii="Arial" w:cs="Arial" w:eastAsia="Arial" w:hAnsi="Arial"/>
          <w:sz w:val="17"/>
          <w:szCs w:val="17"/>
          <w:color w:val="auto"/>
        </w:rPr>
        <w:t xml:space="preserve"> (as amended, restated, supplemented or otherwise modified from time to time, this “</w:t>
      </w:r>
      <w:r>
        <w:rPr>
          <w:rFonts w:ascii="Arial" w:cs="Arial" w:eastAsia="Arial" w:hAnsi="Arial"/>
          <w:sz w:val="17"/>
          <w:szCs w:val="17"/>
          <w:i w:val="1"/>
          <w:iCs w:val="1"/>
          <w:color w:val="auto"/>
        </w:rPr>
        <w:t>Guaranty</w:t>
      </w:r>
      <w:r>
        <w:rPr>
          <w:rFonts w:ascii="Arial" w:cs="Arial" w:eastAsia="Arial" w:hAnsi="Arial"/>
          <w:sz w:val="17"/>
          <w:szCs w:val="17"/>
          <w:color w:val="auto"/>
        </w:rPr>
        <w:t>”), dated as of May 2, 2019, is made by (i) R</w:t>
      </w:r>
      <w:r>
        <w:rPr>
          <w:rFonts w:ascii="Arial" w:cs="Arial" w:eastAsia="Arial" w:hAnsi="Arial"/>
          <w:sz w:val="11"/>
          <w:szCs w:val="11"/>
          <w:color w:val="auto"/>
        </w:rPr>
        <w:t>EGENERON</w:t>
      </w:r>
      <w:r>
        <w:rPr>
          <w:rFonts w:ascii="Arial" w:cs="Arial" w:eastAsia="Arial" w:hAnsi="Arial"/>
          <w:sz w:val="17"/>
          <w:szCs w:val="17"/>
          <w:color w:val="auto"/>
        </w:rPr>
        <w:t xml:space="preserve"> P</w:t>
      </w:r>
      <w:r>
        <w:rPr>
          <w:rFonts w:ascii="Arial" w:cs="Arial" w:eastAsia="Arial" w:hAnsi="Arial"/>
          <w:sz w:val="11"/>
          <w:szCs w:val="11"/>
          <w:color w:val="auto"/>
        </w:rPr>
        <w:t>HARMACEUTICALS</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 New York corporation (the “</w:t>
      </w:r>
      <w:r>
        <w:rPr>
          <w:rFonts w:ascii="Arial" w:cs="Arial" w:eastAsia="Arial" w:hAnsi="Arial"/>
          <w:sz w:val="17"/>
          <w:szCs w:val="17"/>
          <w:i w:val="1"/>
          <w:iCs w:val="1"/>
          <w:color w:val="auto"/>
        </w:rPr>
        <w:t>Parent Guarantor</w:t>
      </w:r>
      <w:r>
        <w:rPr>
          <w:rFonts w:ascii="Arial" w:cs="Arial" w:eastAsia="Arial" w:hAnsi="Arial"/>
          <w:sz w:val="17"/>
          <w:szCs w:val="17"/>
          <w:color w:val="auto"/>
        </w:rPr>
        <w:t>”), (ii) each of the undersigned Subsidiaries (as hereinafter defined) of the Parent Guarantor (the “</w:t>
      </w:r>
      <w:r>
        <w:rPr>
          <w:rFonts w:ascii="Arial" w:cs="Arial" w:eastAsia="Arial" w:hAnsi="Arial"/>
          <w:sz w:val="17"/>
          <w:szCs w:val="17"/>
          <w:i w:val="1"/>
          <w:iCs w:val="1"/>
          <w:color w:val="auto"/>
        </w:rPr>
        <w:t>Initial Subsidiary Guarantors</w:t>
      </w:r>
      <w:r>
        <w:rPr>
          <w:rFonts w:ascii="Arial" w:cs="Arial" w:eastAsia="Arial" w:hAnsi="Arial"/>
          <w:sz w:val="17"/>
          <w:szCs w:val="17"/>
          <w:color w:val="auto"/>
        </w:rPr>
        <w:t>” and together with Parent Guarantor, the “</w:t>
      </w:r>
      <w:r>
        <w:rPr>
          <w:rFonts w:ascii="Arial" w:cs="Arial" w:eastAsia="Arial" w:hAnsi="Arial"/>
          <w:sz w:val="17"/>
          <w:szCs w:val="17"/>
          <w:i w:val="1"/>
          <w:iCs w:val="1"/>
          <w:color w:val="auto"/>
        </w:rPr>
        <w:t>Initial Guarantors</w:t>
      </w:r>
      <w:r>
        <w:rPr>
          <w:rFonts w:ascii="Arial" w:cs="Arial" w:eastAsia="Arial" w:hAnsi="Arial"/>
          <w:sz w:val="17"/>
          <w:szCs w:val="17"/>
          <w:color w:val="auto"/>
        </w:rPr>
        <w:t>”) and (iii) any additional Subsidiaries of the Parent Guarantor which become parties to this Guaranty by executing a supplement hereto in the form attached as Annex I (collectively with the Initial Subsidiary Guarantors, the “</w:t>
      </w:r>
      <w:r>
        <w:rPr>
          <w:rFonts w:ascii="Arial" w:cs="Arial" w:eastAsia="Arial" w:hAnsi="Arial"/>
          <w:sz w:val="17"/>
          <w:szCs w:val="17"/>
          <w:i w:val="1"/>
          <w:iCs w:val="1"/>
          <w:color w:val="auto"/>
        </w:rPr>
        <w:t>Subsidiary Guarantors</w:t>
      </w:r>
      <w:r>
        <w:rPr>
          <w:rFonts w:ascii="Arial" w:cs="Arial" w:eastAsia="Arial" w:hAnsi="Arial"/>
          <w:sz w:val="17"/>
          <w:szCs w:val="17"/>
          <w:color w:val="auto"/>
        </w:rPr>
        <w:t>” and together with Parent Guarantor, the “</w:t>
      </w:r>
      <w:r>
        <w:rPr>
          <w:rFonts w:ascii="Arial" w:cs="Arial" w:eastAsia="Arial" w:hAnsi="Arial"/>
          <w:sz w:val="17"/>
          <w:szCs w:val="17"/>
          <w:i w:val="1"/>
          <w:iCs w:val="1"/>
          <w:color w:val="auto"/>
        </w:rPr>
        <w:t>Guarantors</w:t>
      </w:r>
      <w:r>
        <w:rPr>
          <w:rFonts w:ascii="Arial" w:cs="Arial" w:eastAsia="Arial" w:hAnsi="Arial"/>
          <w:sz w:val="17"/>
          <w:szCs w:val="17"/>
          <w:color w:val="auto"/>
        </w:rPr>
        <w:t>”) in favor of (a) each Participant (as hereinafter defined) and (b) Bank of America, N.A., not in its individual capacity, except as expressly stated therein, but solely as Administrative Agent (together with its successors and permitted assigns, in its capacity as Administrative Agent,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for the benefit of itself and the other Beneficiaries (as hereinafter defined).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ITNESSETH</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w:t>
      </w:r>
      <w:r>
        <w:rPr>
          <w:rFonts w:ascii="Arial" w:cs="Arial" w:eastAsia="Arial" w:hAnsi="Arial"/>
          <w:sz w:val="11"/>
          <w:szCs w:val="11"/>
          <w:color w:val="auto"/>
        </w:rPr>
        <w:t>HEREAS</w:t>
      </w:r>
      <w:r>
        <w:rPr>
          <w:rFonts w:ascii="Arial" w:cs="Arial" w:eastAsia="Arial" w:hAnsi="Arial"/>
          <w:sz w:val="16"/>
          <w:szCs w:val="16"/>
          <w:color w:val="auto"/>
        </w:rPr>
        <w:t>, Old Saw Mill Holdings LLC, a New York limited liability company, as Lessee (together with its successors and permitted assigns, in its capacity as lessee, “</w:t>
      </w:r>
      <w:r>
        <w:rPr>
          <w:rFonts w:ascii="Arial" w:cs="Arial" w:eastAsia="Arial" w:hAnsi="Arial"/>
          <w:sz w:val="16"/>
          <w:szCs w:val="16"/>
          <w:i w:val="1"/>
          <w:iCs w:val="1"/>
          <w:color w:val="auto"/>
        </w:rPr>
        <w:t>Lessee</w:t>
      </w:r>
      <w:r>
        <w:rPr>
          <w:rFonts w:ascii="Arial" w:cs="Arial" w:eastAsia="Arial" w:hAnsi="Arial"/>
          <w:sz w:val="16"/>
          <w:szCs w:val="16"/>
          <w:color w:val="auto"/>
        </w:rPr>
        <w:t>”), BA Leasing BSC LLC, a Delaware limited liability company, as lessor (together with its successors and permitted assigns, in its capacity as Lessor, “</w:t>
      </w:r>
      <w:r>
        <w:rPr>
          <w:rFonts w:ascii="Arial" w:cs="Arial" w:eastAsia="Arial" w:hAnsi="Arial"/>
          <w:sz w:val="16"/>
          <w:szCs w:val="16"/>
          <w:i w:val="1"/>
          <w:iCs w:val="1"/>
          <w:color w:val="auto"/>
        </w:rPr>
        <w:t>Lessor</w:t>
      </w:r>
      <w:r>
        <w:rPr>
          <w:rFonts w:ascii="Arial" w:cs="Arial" w:eastAsia="Arial" w:hAnsi="Arial"/>
          <w:sz w:val="16"/>
          <w:szCs w:val="16"/>
          <w:color w:val="auto"/>
        </w:rPr>
        <w:t>”), the Administrative Agent, and the lenders from time to time party thereto have entered into that certain Amended and Restated Participation Agreement, dated as of May 2, 2019 (as amended, restated, supplemented or otherwise modified from time to time, the “</w:t>
      </w:r>
      <w:r>
        <w:rPr>
          <w:rFonts w:ascii="Arial" w:cs="Arial" w:eastAsia="Arial" w:hAnsi="Arial"/>
          <w:sz w:val="16"/>
          <w:szCs w:val="16"/>
          <w:i w:val="1"/>
          <w:iCs w:val="1"/>
          <w:color w:val="auto"/>
        </w:rPr>
        <w:t>Participation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unless otherwise defined herein or the context hereof otherwise requires, capitalized terms used herein but not otherwise defined herein or</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herein by reference to the Participation Agreement shall have the same meanings assigned to such terms in the Participation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HEREAS</w:t>
      </w:r>
      <w:r>
        <w:rPr>
          <w:rFonts w:ascii="Arial" w:cs="Arial" w:eastAsia="Arial" w:hAnsi="Arial"/>
          <w:sz w:val="18"/>
          <w:szCs w:val="18"/>
          <w:color w:val="auto"/>
        </w:rPr>
        <w:t>, the Initial Guarantors and the Administrative Agent are currently party to that certain Guaranty, dated as of March 3, 2017 (as amended, supplemented or otherwise modified prior to the Restatement Date, the “</w:t>
      </w:r>
      <w:r>
        <w:rPr>
          <w:rFonts w:ascii="Arial" w:cs="Arial" w:eastAsia="Arial" w:hAnsi="Arial"/>
          <w:sz w:val="18"/>
          <w:szCs w:val="18"/>
          <w:i w:val="1"/>
          <w:iCs w:val="1"/>
          <w:color w:val="auto"/>
        </w:rPr>
        <w:t>Original Guaranty</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Parent Guarantor has requested that the Original Guaranty be amended and restated as set forth herein, which amendment and restatement shall become effective on the Restatement Date; and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it is the intent of the parties hereto that this Guaranty (i) shall amend, restate and supersede in its entirety the Original Guaranty and (ii) shall re-evidence the “Liabilities” (under, and as defined in, the Original Guaranty) as contemplated hereby (and it shall not constitute a novation of the obligations and liabilities of the parties under the Original Guaranty).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w:t>
      </w:r>
      <w:r>
        <w:rPr>
          <w:rFonts w:ascii="Arial" w:cs="Arial" w:eastAsia="Arial" w:hAnsi="Arial"/>
          <w:sz w:val="18"/>
          <w:szCs w:val="18"/>
          <w:color w:val="auto"/>
        </w:rPr>
        <w:t>, T</w:t>
      </w:r>
      <w:r>
        <w:rPr>
          <w:rFonts w:ascii="Arial" w:cs="Arial" w:eastAsia="Arial" w:hAnsi="Arial"/>
          <w:sz w:val="12"/>
          <w:szCs w:val="12"/>
          <w:color w:val="auto"/>
        </w:rPr>
        <w:t>HEREFORE</w:t>
      </w:r>
      <w:r>
        <w:rPr>
          <w:rFonts w:ascii="Arial" w:cs="Arial" w:eastAsia="Arial" w:hAnsi="Arial"/>
          <w:sz w:val="18"/>
          <w:szCs w:val="18"/>
          <w:color w:val="auto"/>
        </w:rPr>
        <w:t>, in consideration of the foregoing and for other good and valuable consideration, the parties hereto hereby agree that the Original Guaranty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38" w:name="page139"/>
    <w:bookmarkEnd w:id="138"/>
    <w:p>
      <w:pPr>
        <w:jc w:val="both"/>
        <w:ind w:firstLine="648"/>
        <w:spacing w:after="0" w:line="267" w:lineRule="auto"/>
        <w:rPr>
          <w:sz w:val="20"/>
          <w:szCs w:val="20"/>
          <w:color w:val="auto"/>
        </w:rPr>
      </w:pPr>
      <w:r>
        <w:rPr>
          <w:rFonts w:ascii="Arial" w:cs="Arial" w:eastAsia="Arial" w:hAnsi="Arial"/>
          <w:sz w:val="17"/>
          <w:szCs w:val="17"/>
          <w:i w:val="1"/>
          <w:iCs w:val="1"/>
          <w:color w:val="auto"/>
        </w:rPr>
        <w:t>Section 1. Guarantee</w:t>
      </w:r>
      <w:r>
        <w:rPr>
          <w:rFonts w:ascii="Arial" w:cs="Arial" w:eastAsia="Arial" w:hAnsi="Arial"/>
          <w:sz w:val="17"/>
          <w:szCs w:val="17"/>
          <w:color w:val="auto"/>
        </w:rPr>
        <w:t>. Each Guarantor, jointly and severally, hereby irrevocably and unconditionally guarantees to (i) each Participant, for the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of itself and its Related Parties that are Beneficiaries (as hereinafter defined), and (ii) the Administrative Agent, for the benefit of itself and the other Beneficiaries (a) the full and prompt payment when due, whether by acceleration or otherwise, and at all times thereafter, and (b) the full and prompt performance when due of all of the Liabilities (as hereinafter defined) (or, in the case of such guarantee to each Participant, all of the Liabilities owed to such Participant and its Related Parties that are Beneficiaries), including, interest or yield on any such Liabilities, whether accruing before or after any bankruptcy or insolvency case or proceeding involving Lessee or any other Person, and, if interest or yield on any portion of such obligations ceases to accrue by operation of law by reason of the commencement of such case or proceeding, including such interest and yield as would have accrued on any such portion of such obligations if such case or proceeding had not commenced. Each Guarantor further agrees to pay all expenses (including reasonable attorneys’ fees actually incurred and legal expenses) paid or incurred by any Beneficiary in endeavoring to collect the Liabilities, or any part thereof, and in enforcing this Guaranty, subject to the limitations set forth in Section 15.17 of the Participation Agreement (including with respect to attorneys’ fees). The term “</w:t>
      </w:r>
      <w:r>
        <w:rPr>
          <w:rFonts w:ascii="Arial" w:cs="Arial" w:eastAsia="Arial" w:hAnsi="Arial"/>
          <w:sz w:val="17"/>
          <w:szCs w:val="17"/>
          <w:i w:val="1"/>
          <w:iCs w:val="1"/>
          <w:color w:val="auto"/>
        </w:rPr>
        <w:t>Beneficiaries</w:t>
      </w:r>
      <w:r>
        <w:rPr>
          <w:rFonts w:ascii="Arial" w:cs="Arial" w:eastAsia="Arial" w:hAnsi="Arial"/>
          <w:sz w:val="17"/>
          <w:szCs w:val="17"/>
          <w:color w:val="auto"/>
        </w:rPr>
        <w:t>,” as used herein, shall mean each of Lessor, Administrative Agent, each other Participant and each other Indemnitee. The term “</w:t>
      </w:r>
      <w:r>
        <w:rPr>
          <w:rFonts w:ascii="Arial" w:cs="Arial" w:eastAsia="Arial" w:hAnsi="Arial"/>
          <w:sz w:val="17"/>
          <w:szCs w:val="17"/>
          <w:i w:val="1"/>
          <w:iCs w:val="1"/>
          <w:color w:val="auto"/>
        </w:rPr>
        <w:t>Liabilities,</w:t>
      </w:r>
      <w:r>
        <w:rPr>
          <w:rFonts w:ascii="Arial" w:cs="Arial" w:eastAsia="Arial" w:hAnsi="Arial"/>
          <w:sz w:val="17"/>
          <w:szCs w:val="17"/>
          <w:color w:val="auto"/>
        </w:rPr>
        <w:t>” as used herein, shall mean all of the following, in each case howsoever created, arising or evidenced, whether direct or indirect, joint or several, absolute or contingent, or now or hereafter existing, or due or to become due: all Rent (including, but not limited to Basic Rent and Supplemental Rent), Lease Balance, Purchase Amount, Sale Option Recourse Amount, indemnities and all additional amounts and other sums at any time due and owing, and required to be paid, in each case of the foregoing, by Lessee under the terms of the Lease, the Participation Agreement or any other Operative Document and all other obligations, covenants and agreements to be performed by Lessee under the Lease, the Participation Agreement or any other Operative Document (whether or not Lessee, any Guarantor or any other Person shall be relieved or released from any or all liability or obligations under any thereof, except on account of the full and indefeasible payment and performance of all Liabilities).</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any action or proceeding involving any state corporate law, or any state or federal bankruptcy, insolvency, reorganization or any other law affecting the rights of creditors generally, if the obligations of any Guarantor under this Guaranty would otherwise be held or determined to be void, invalid or unenforceable, or subordinated to the claims of any other creditors, on account of the amount of its liability under this Guaranty, then, notwithstanding any other provision hereof to the contrary, the amount of such liability shall, without any further action by such Guarantor or any other Person, be automatically limited and reduced to the highest amount which is valid and enforceable as determined in such action or proceeding.</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Guarantor agrees that upon the occurrence of an Event of Default described in Section 16.1(h) or (i) of the Lease, the Guarantors will pay to the Administrative Agent, for the benefit of the Beneficiaries, forthwith the full amount which would be payable hereunder by the Guarantors as if all Liabilities were then due and payable.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Guaranty shall in all respects be an absolute and unconditional guaranty of payment and performance (and not of collection), and shall remain in full force and effect until the full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39" w:name="page140"/>
    <w:bookmarkEnd w:id="139"/>
    <w:p>
      <w:pPr>
        <w:jc w:val="both"/>
        <w:spacing w:after="0" w:line="293" w:lineRule="auto"/>
        <w:rPr>
          <w:sz w:val="20"/>
          <w:szCs w:val="20"/>
          <w:color w:val="auto"/>
        </w:rPr>
      </w:pPr>
      <w:r>
        <w:rPr>
          <w:rFonts w:ascii="Arial" w:cs="Arial" w:eastAsia="Arial" w:hAnsi="Arial"/>
          <w:sz w:val="16"/>
          <w:szCs w:val="16"/>
          <w:color w:val="auto"/>
        </w:rPr>
        <w:t>and indefeasible payment and performance of all of the Liabilities and Guarantors’ obligations hereunder (notwithstanding, without limitation, the dissolution of Guarantors). The liability of Guarantors hereunder may be enforced without the Beneficiaries being required to resort to any other right, remedy or security; provided that any such enforcement shall be subject to any applicable grace or notice and cure period and shall be in accordance with Section 5.2 of the Loan Agreement and 16.2 of the Lease; provided, further, that, if an Acceleration has not occurred and a Payment Default exists under clause (ii) of such definition with respect to amounts owed to any Participant or its Related Parties that are Beneficiaries (other than a Payment Default with respect to (x) Basic Rent or (y) amounts owed to all Lenders or all Participants), then such Participant may demand payment hereunder for such amounts.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obligations of Guarantor are independent of any obligations of Lessor, Administrative Agent, any Participant or any other Person under any of the Operative Documents. Each and every Event of Default under any of the Operative Documents with respect to the Liabilities shall give rise to a separate claim and cause of action hereunder, and separate claims or suits may be made and brought, as the case may be, hereunder as each such Event of Default occurs (subject to the provisos at the end of the immediately preceding paragraph).</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Lessor and/or Administrative Agent on behalf of itself and the Beneficiaries may, from time to time at its discretion and without notice to any Guarantor, but subject to the provisions of the Operative Documents, take any or all of the following actions: (a) retain or obtain a lien upon or a security interest in any property to secure any of the Liabilities or any obligation hereunder; (b) retain or obtain the primary or secondary obligation of any obligor or obligors, in addition to the Guarantors, with respect to any of the Liabilities; (c) extend or renew for one or more periods (regardless of whether longer than the original period), alter or exchange any of the Liabilities, or release or compromise any obligation of any Guarantor hereunder or any obligation of any nature of any other obligor with respect to any of the Liabilities (including, without limitation, Lessee); (d) release or fail to perfect its lien upon or security interest in, or impair, surrender, release or permit any substitution or exchange for, all or any part of any property securing any of the Liabilities or any obligation hereunder, or extend or renew for one or more periods (regardless of whether longer than the original period) or release, compromise, alter or exchange any obligations of any nature of any obligor with respect to any such property; and (e) resort to any Guarantor for payment of any of the Liabilities, regardless of whether Lessor, any Lender or any other Person shall have resorted to any property securing any of the Liabilities or any obligation hereunder or shall have proceeded against any other obligor primarily or secondarily obligated with respect to any of the Liabilities (all of the actions referred to in this paragraph being hereby expressly waived by each Guarantor).</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to the contrary herein, amounts paid or collected under this Guaranty shall be subject to Section 5.3 of the Participation Agreement, except to the extent otherwise expressly provided in any other applicable provision of the Participation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2. Guarantor’s Obligations Unconditional</w:t>
      </w:r>
      <w:r>
        <w:rPr>
          <w:rFonts w:ascii="Arial" w:cs="Arial" w:eastAsia="Arial" w:hAnsi="Arial"/>
          <w:sz w:val="18"/>
          <w:szCs w:val="18"/>
          <w:color w:val="auto"/>
        </w:rPr>
        <w:t>. Guarantors’ obligations hereunder are independent of Lessee’s obligations under the Lease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Operative Documents or in respect of any other Person, and the Administrative Agent, for the benefit of the Beneficiaries,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0" w:name="page141"/>
    <w:bookmarkEnd w:id="140"/>
    <w:p>
      <w:pPr>
        <w:jc w:val="both"/>
        <w:spacing w:after="0" w:line="271" w:lineRule="auto"/>
        <w:rPr>
          <w:sz w:val="20"/>
          <w:szCs w:val="20"/>
          <w:color w:val="auto"/>
        </w:rPr>
      </w:pPr>
      <w:r>
        <w:rPr>
          <w:rFonts w:ascii="Arial" w:cs="Arial" w:eastAsia="Arial" w:hAnsi="Arial"/>
          <w:sz w:val="17"/>
          <w:szCs w:val="17"/>
          <w:color w:val="auto"/>
        </w:rPr>
        <w:t>may enforce any of its rights hereunder independently of any other right or remedy that it or any other Beneficiary may at any time hold with respect to the Liabilities or any security or other guaranty therefor. Such obligations shall be absolute and unconditional, shall not be subject to any counterclaim, setoff, deduction (other than deductions or withholdings in respect of Taxes that are permitted by the Operative Documents), diminution, abatement, recoupment, suspension, deferment, reduction or defense (other than full and indefeasible payment and performance of all of the Liabilities), whether based upon any claim that Lessee, Guarantor or any other Person may have against any Beneficiary or any other Person or otherwise, and shall remain in full force and effect without regard to, and shall not be released, discharged or in any way affected by, any circumstance or condition whatsoever (other than full and indefeasible payment and performance of all of the Liabilities or as otherwise expressly permitted by Section 17) (whether or not any Guarantor or any other Person shall have any knowledge or notice thereof) including, without limitation, any of the following:</w:t>
      </w:r>
    </w:p>
    <w:p>
      <w:pPr>
        <w:spacing w:after="0" w:line="179" w:lineRule="exact"/>
        <w:rPr>
          <w:sz w:val="20"/>
          <w:szCs w:val="20"/>
          <w:color w:val="auto"/>
        </w:rPr>
      </w:pPr>
    </w:p>
    <w:p>
      <w:pPr>
        <w:jc w:val="both"/>
        <w:ind w:left="660" w:firstLine="645"/>
        <w:spacing w:after="0" w:line="255" w:lineRule="auto"/>
        <w:tabs>
          <w:tab w:leader="none" w:pos="161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subject to the terms of the Lease and the other Operative Documents, any amendment, modification, addition, deletion, supplement or renewal to or of or other change in the Liabilities or any Operative Document or any of the agreements referred to in any thereof, or any other instrument or agreement applicable to any Operative Document or any of the parties to such agreements, or to the Leased Property, or any assignment, mortgage or transfer thereof or of any interest therein, or any furnishing or acceptance of additional security for, guaranty of or right of offset with respect to, any of the Liabilities; or the failure of any security or the failure of any Beneficiary to perfect or insure any interest in any collateral;</w:t>
      </w:r>
    </w:p>
    <w:p>
      <w:pPr>
        <w:spacing w:after="0" w:line="193" w:lineRule="exact"/>
        <w:rPr>
          <w:rFonts w:ascii="Arial" w:cs="Arial" w:eastAsia="Arial" w:hAnsi="Arial"/>
          <w:sz w:val="18"/>
          <w:szCs w:val="18"/>
          <w:color w:val="auto"/>
        </w:rPr>
      </w:pPr>
    </w:p>
    <w:p>
      <w:pPr>
        <w:ind w:left="660" w:right="20" w:firstLine="645"/>
        <w:spacing w:after="0" w:line="277" w:lineRule="auto"/>
        <w:tabs>
          <w:tab w:leader="none" w:pos="15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failure, omission or delay on the part of Lessee, any Beneficiary or any other Guarantor to conform or comply with any term of any instrument or agreement referred to in clause (A) above;</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waiver, consent, extension, indulgence, compromise, release or other action or inaction under or in respect of any instrument, agreement, guaranty, right of offset or security referred to in clause (A) above or any obligation or liability of Lessee or any Beneficiary or any other Person, or any exercise or non-exercise by any Beneficiary or any other Person of any right, remedy, power or privilege under or in respect of any such instrument, agreement, guaranty, right of offset or security or any such obligation or liability;</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61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bankruptcy, insolvency, reorganization, arrangement, readjustment, composition, liquidation or similar proceeding with respect to Lessee, any Beneficiary, any Guarantor or any other guarantor or obligor of any Liabilities or any of their respective properties, or any action taken by any trustee, receiver or court in any such proceeding;</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subject to Sections 15.15 and 15.16 of the Participation Agreement, any limitation on the liability or obligations of any Person (including, without limitation, Lessee) under any Operative Document, the Liabilities, any collateral security for the Liabilities, any other guaranty of the Liabilities or any discharge, termination,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1" w:name="page142"/>
    <w:bookmarkEnd w:id="141"/>
    <w:p>
      <w:pPr>
        <w:jc w:val="both"/>
        <w:ind w:left="660"/>
        <w:spacing w:after="0" w:line="264" w:lineRule="auto"/>
        <w:rPr>
          <w:sz w:val="20"/>
          <w:szCs w:val="20"/>
          <w:color w:val="auto"/>
        </w:rPr>
      </w:pPr>
      <w:r>
        <w:rPr>
          <w:rFonts w:ascii="Arial" w:cs="Arial" w:eastAsia="Arial" w:hAnsi="Arial"/>
          <w:sz w:val="18"/>
          <w:szCs w:val="18"/>
          <w:color w:val="auto"/>
        </w:rPr>
        <w:t>cancellation, frustration, irregularity, invalidity or unenforceability, in whole or in part, of any of the foregoing or any other agreement, instrument, guaranty or security referred to in clause (A) above or any term of any thereof (other than any such discharge, termination or cancellation as a result of full and indefeasible payment and performance of all of the Liabilities);</w:t>
      </w:r>
    </w:p>
    <w:p>
      <w:pPr>
        <w:spacing w:after="0" w:line="181" w:lineRule="exact"/>
        <w:rPr>
          <w:sz w:val="20"/>
          <w:szCs w:val="20"/>
          <w:color w:val="auto"/>
        </w:rPr>
      </w:pPr>
    </w:p>
    <w:p>
      <w:pPr>
        <w:jc w:val="both"/>
        <w:ind w:left="660" w:firstLine="645"/>
        <w:spacing w:after="0" w:line="297" w:lineRule="auto"/>
        <w:tabs>
          <w:tab w:leader="none" w:pos="159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defect in the title, compliance with specifications, condition, design, operation or fitness for use of, or any damage to or loss or destruction of, or any interruption or cessation in the use of the Leased Property by Lessee or any other Person for any reason whatsoever (including, without limitation, any governmental prohibition or restriction, condemnation, requisition, seizure or any other act on the part of any governmental or military authority, or any act of God or of the public enemy) regardless of the duration thereof (even though such duration would otherwise constitute a frustration of a lease), whether or not resulting from accident and whether or not without fault on the part of Lessee or any other Person;</w:t>
      </w:r>
    </w:p>
    <w:p>
      <w:pPr>
        <w:spacing w:after="0" w:line="158" w:lineRule="exact"/>
        <w:rPr>
          <w:rFonts w:ascii="Arial" w:cs="Arial" w:eastAsia="Arial" w:hAnsi="Arial"/>
          <w:sz w:val="16"/>
          <w:szCs w:val="16"/>
          <w:color w:val="auto"/>
        </w:rPr>
      </w:pPr>
    </w:p>
    <w:p>
      <w:pPr>
        <w:ind w:left="660" w:firstLine="645"/>
        <w:spacing w:after="0" w:line="277" w:lineRule="auto"/>
        <w:tabs>
          <w:tab w:leader="none" w:pos="16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merger or consolidation of Lessee or any Guarantor into or with any other Person, or any sale, lease or transfer of any of the assets of Lessee or any Guarantor to any other Person, except as otherwise expressly provided by Section 17;</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62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change in the ownership of any shares of capital stock of Lessee or any Guarantor or any corporate change in Lessee or any Guarantor, except as otherwise expressly provided by Section 17;</w:t>
      </w:r>
    </w:p>
    <w:p>
      <w:pPr>
        <w:spacing w:after="0" w:line="170" w:lineRule="exact"/>
        <w:rPr>
          <w:rFonts w:ascii="Arial" w:cs="Arial" w:eastAsia="Arial" w:hAnsi="Arial"/>
          <w:sz w:val="18"/>
          <w:szCs w:val="18"/>
          <w:color w:val="auto"/>
        </w:rPr>
      </w:pPr>
    </w:p>
    <w:p>
      <w:pPr>
        <w:ind w:left="660" w:firstLine="645"/>
        <w:spacing w:after="0" w:line="277" w:lineRule="auto"/>
        <w:tabs>
          <w:tab w:leader="none" w:pos="15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recovery of judgment against Lessee, or by any levy of any writ or process of execution under any such judgment (except to the extent such recovery indefeasibly reduces the Liabilities);</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legal characterization of the obligations created by the Lease and the other Operative Documents as a lease, a secured financing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otherwise;</w:t>
      </w:r>
    </w:p>
    <w:p>
      <w:pPr>
        <w:spacing w:after="0" w:line="210" w:lineRule="exact"/>
        <w:rPr>
          <w:rFonts w:ascii="Arial" w:cs="Arial" w:eastAsia="Arial" w:hAnsi="Arial"/>
          <w:sz w:val="16"/>
          <w:szCs w:val="16"/>
          <w:color w:val="auto"/>
        </w:rPr>
      </w:pPr>
    </w:p>
    <w:p>
      <w:pPr>
        <w:ind w:left="1600" w:hanging="295"/>
        <w:spacing w:after="0"/>
        <w:tabs>
          <w:tab w:leader="none" w:pos="16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absence of any notice to, or knowledge of, Guarantors of the existence or occurrence of any of the foregoing clauses (A) through (J); or</w:t>
      </w:r>
    </w:p>
    <w:p>
      <w:pPr>
        <w:spacing w:after="0" w:line="248" w:lineRule="exact"/>
        <w:rPr>
          <w:rFonts w:ascii="Arial" w:cs="Arial" w:eastAsia="Arial" w:hAnsi="Arial"/>
          <w:sz w:val="16"/>
          <w:szCs w:val="16"/>
          <w:color w:val="auto"/>
        </w:rPr>
      </w:pPr>
    </w:p>
    <w:p>
      <w:pPr>
        <w:jc w:val="both"/>
        <w:ind w:left="660" w:firstLine="645"/>
        <w:spacing w:after="0" w:line="312" w:lineRule="auto"/>
        <w:tabs>
          <w:tab w:leader="none" w:pos="158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other occurrence or circumstance whatsoever, whether similar or dissimilar to the foregoing, and any other circumstance that might otherwise constitute a legal or equitable defense or discharge of the liabilities of a guarantor or surety or that might otherwise limit recourse against the Guarantors (other than full and indefeasible payment and performance of all of the Liabilities or as otherwise expressly permitted by Section 17).</w:t>
      </w:r>
    </w:p>
    <w:p>
      <w:pPr>
        <w:spacing w:after="0" w:line="14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obligations of the Guarantors set forth herein constitute the full recourse obligations of the Guarantors enforceable against them on a joint and several basis to the full extent of all their respective assets and properties, notwithstanding any provision in the Lease or any other Operative Documents.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2" w:name="page143"/>
    <w:bookmarkEnd w:id="142"/>
    <w:p>
      <w:pPr>
        <w:jc w:val="both"/>
        <w:ind w:firstLine="648"/>
        <w:spacing w:after="0" w:line="285" w:lineRule="auto"/>
        <w:rPr>
          <w:sz w:val="20"/>
          <w:szCs w:val="20"/>
          <w:color w:val="auto"/>
        </w:rPr>
      </w:pPr>
      <w:r>
        <w:rPr>
          <w:rFonts w:ascii="Arial" w:cs="Arial" w:eastAsia="Arial" w:hAnsi="Arial"/>
          <w:sz w:val="16"/>
          <w:szCs w:val="16"/>
          <w:color w:val="auto"/>
        </w:rPr>
        <w:t>Each Guarantor waives any and all notice of the creation, renewal, extension or accrual of any of the Liabilities and notice of or proof of reliance by any Beneficiary upon this Guaranty or acceptance of this Guaranty, and the Liabilities, and any of them, shall conclusively be deemed to have been created, contracted or incurred in reliance upon this Guaranty; provided that the foregoing shall not constitute a waiver of any notice specifically required to be given to such Guarantor by any Beneficiary under any of the Operative Documents. Each Guarantor unconditionally waives, to the extent permitted by law: (a) acceptance of this Guaranty and proof of reliance by any Beneficiary hereon; (b) notice of any of the matters referred to in clauses (A) through (L) above (other than any notice specifically required to be given to such Guarantor by any Beneficiary under any of the Operative Documents), or any right to consent or assent to any thereof (except to the extent the consent of such Guarantor with respect thereto is specifically required under any of the Operative Documents); (c) all notices that may be required by statute, rule of law or otherwise, now or hereafter in effect, to preserve intact any rights against Guarantor, including, without limitation, any demand, presentment, protest, proof or notice of nonpayment under any Operative Document, and notice of default or any failure on the part of Lessee to perform and comply with any covenant, agreement, term or condition of any Operative Document (in any such case, other than any notice specifically required to be given to such Guarantor by any Beneficiary under any of the Operative Documents); (d) any right to the enforcement, assertion or exercise against Lessee of any right, power, privilege or remedy conferred in any Operative Document or otherwise; (e) any requirement of diligence on the part of any Person; (f) any requirement of any Beneficiary to take any action whatsoever, to exhaust any remedies or to mitigate the damages resulting from a default by any Person under any Operative Document; (g) any notice of any sale, transfer or other disposition by any Person of any right under, title to or interest in any Operative Document or the Leased Property; and (h) any other circumstance whatsoever that might otherwise constitute a legal or equitable discharge, release or defense of a guarantor or surety, or that might otherwise limit recourse against any Guarantor (other than full and indefeasible payment and performance of all of the Liabilities or as otherwise expressly permitted by Section 17).</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Guarantor agrees that this Guaranty shall be automatically reinstated if and to the extent that for any reason any payment under any Operative Document by or on behalf of itself or Lessee is rescinded or must be otherwise disgorged or restored by any Beneficiary whether as a result of any proceedings in bankruptcy or reorganization or otherwise.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Guarantor further agrees that, without limiting the generality of this Guaranty, if an Event of Default shall have occurred and be continuing and any Beneficiary is prevented by Applicable Law from exercising its remedies under the Operative Documents, the Administrative Agent shall be entitled to receive hereunder from Guarantors, upon demand therefor, the sums which would have otherwise been due from Lessee to any such Beneficiary had such remedies been exercised.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anything to the contrary herein, nothing contained in this Section 2 shall (i) prevent the assertion by any Guarantor or Lessee of any claim such Person may have against any Beneficiary by separate suit or proceedings or by compulsory counterclaim or (ii) constitute a waiver of any such claim, including, without limitation, any such claim arising from any breach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3" w:name="page144"/>
    <w:bookmarkEnd w:id="143"/>
    <w:p>
      <w:pPr>
        <w:jc w:val="both"/>
        <w:spacing w:after="0" w:line="277" w:lineRule="auto"/>
        <w:rPr>
          <w:sz w:val="20"/>
          <w:szCs w:val="20"/>
          <w:color w:val="auto"/>
        </w:rPr>
      </w:pPr>
      <w:r>
        <w:rPr>
          <w:rFonts w:ascii="Arial" w:cs="Arial" w:eastAsia="Arial" w:hAnsi="Arial"/>
          <w:sz w:val="18"/>
          <w:szCs w:val="18"/>
          <w:color w:val="auto"/>
        </w:rPr>
        <w:t>or non-compliance by any Beneficiary of any Operative Document or any term of any instrument or agreement referred to in clause (A) of the first paragraph of this Section 2.</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Section 3. Subordination of Subrogation. </w:t>
      </w:r>
      <w:r>
        <w:rPr>
          <w:rFonts w:ascii="Arial" w:cs="Arial" w:eastAsia="Arial" w:hAnsi="Arial"/>
          <w:sz w:val="17"/>
          <w:szCs w:val="17"/>
          <w:color w:val="auto"/>
        </w:rPr>
        <w:t>Until full and indefeasible payment and performance of all of the Liabilities or the termination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Guaranty pursuant to Section 17(d), no Guarantor will exercise any rights with respect to any claim or other rights which it may now or hereafter acquire against Lessee arising from the existence, payment, performance or enforcement of such Guarantor’s obligations under this Guaranty or any other Operative Document, including any right of subrogation, reimbursement, contribution, exoneration, or indemnification, any right to participate in any claim or remedy of any Beneficiary against Lessee or any property or assets now or hereafter constituting part of the Collateral, whether or not such claim, remedy or right arises in equity, or under contract, statute or common law, including the right to take or receive from Lessee directly or indirectly, in cash or other property or by setoff or in any manner, payment or security on account of such claim or other rights (other than to file proofs of claims only if the obligation owing to each Beneficiary hereunder has been fully satisfied). If any amount shall be paid to any Guarantor in violation of the preceding sentence and the Liabilities shall not have been indefeasibly paid in cash or this Guaranty terminated pursuant to Section 17(d), such amount shall be deemed to have been paid to such Guarantor for the benefit of, and held in trust for, the Administrative Agent, for the benefit of the Beneficiaries, and shall forthwith be paid to the Administrative Agent to be credited and applied pursuant to the terms of the Operative Documents. Each Guarantor acknowledges that it will receive direct and indirect benefits from the financing arrangements contemplated by the Operative Documents and that the waiver set forth in this paragraph is knowingly made in contemplation of such benefits.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Guarantor hereby absolutely, unconditionally and irrevocably waives and agrees not to assert or take advantage of any defense based upon an election of remedies by any Beneficiary, including an election to proceed by nonjudicial rather than judicial foreclosure, which destroys or impairs any right of subrogation of such Guarantor or the right of such Guarantor to proceed against any Person for reimbursement, or both.</w:t>
      </w:r>
    </w:p>
    <w:p>
      <w:pPr>
        <w:spacing w:after="0" w:line="16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If all the Liabilities shall be paid indefeasibly in full or performed, Lessee, Lessor, Administrative Agent and/or the Lenders, as the case may be, will, at Guarantors’ request and expense, execute and deliver to Guarantors appropriate documents, without recourse and without warranty or representation, necessary to evidence the transfer by subrogation to Guarantors of an interest in the Liabilities resulting from such payment by Guarantors.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4. Reasonableness and Effect of Waivers</w:t>
      </w:r>
      <w:r>
        <w:rPr>
          <w:rFonts w:ascii="Arial" w:cs="Arial" w:eastAsia="Arial" w:hAnsi="Arial"/>
          <w:sz w:val="18"/>
          <w:szCs w:val="18"/>
          <w:color w:val="auto"/>
        </w:rPr>
        <w:t>. Each Guarantor warrants and agrees that each of the waivers set forth in this Guaranty is made with</w:t>
      </w:r>
      <w:r>
        <w:rPr>
          <w:rFonts w:ascii="Arial" w:cs="Arial" w:eastAsia="Arial" w:hAnsi="Arial"/>
          <w:sz w:val="18"/>
          <w:szCs w:val="18"/>
          <w:i w:val="1"/>
          <w:iCs w:val="1"/>
          <w:color w:val="auto"/>
        </w:rPr>
        <w:t xml:space="preserve"> </w:t>
      </w:r>
      <w:r>
        <w:rPr>
          <w:rFonts w:ascii="Arial" w:cs="Arial" w:eastAsia="Arial" w:hAnsi="Arial"/>
          <w:sz w:val="18"/>
          <w:szCs w:val="18"/>
          <w:color w:val="auto"/>
        </w:rPr>
        <w:t>full knowledge of its significance and consequences and that, under the circumstances, the waivers are reasonable and not contrary to public policy or law. If any of such waivers are determined to be contrary to any Applicable Law or public policy, such waivers shall be effective only to the maximum extent permitted by law.</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5. Transfers by Beneficiaries</w:t>
      </w:r>
      <w:r>
        <w:rPr>
          <w:rFonts w:ascii="Arial" w:cs="Arial" w:eastAsia="Arial" w:hAnsi="Arial"/>
          <w:sz w:val="18"/>
          <w:szCs w:val="18"/>
          <w:color w:val="auto"/>
        </w:rPr>
        <w:t>. Each Beneficiary may, from time to time, whether before or after any discontinuance of this Guaranty, at its</w:t>
      </w:r>
      <w:r>
        <w:rPr>
          <w:rFonts w:ascii="Arial" w:cs="Arial" w:eastAsia="Arial" w:hAnsi="Arial"/>
          <w:sz w:val="18"/>
          <w:szCs w:val="18"/>
          <w:i w:val="1"/>
          <w:iCs w:val="1"/>
          <w:color w:val="auto"/>
        </w:rPr>
        <w:t xml:space="preserve"> </w:t>
      </w:r>
      <w:r>
        <w:rPr>
          <w:rFonts w:ascii="Arial" w:cs="Arial" w:eastAsia="Arial" w:hAnsi="Arial"/>
          <w:sz w:val="18"/>
          <w:szCs w:val="18"/>
          <w:color w:val="auto"/>
        </w:rPr>
        <w:t>sole discretion and without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4" w:name="page145"/>
    <w:bookmarkEnd w:id="144"/>
    <w:p>
      <w:pPr>
        <w:jc w:val="both"/>
        <w:spacing w:after="0" w:line="257" w:lineRule="auto"/>
        <w:rPr>
          <w:sz w:val="20"/>
          <w:szCs w:val="20"/>
          <w:color w:val="auto"/>
        </w:rPr>
      </w:pPr>
      <w:r>
        <w:rPr>
          <w:rFonts w:ascii="Arial" w:cs="Arial" w:eastAsia="Arial" w:hAnsi="Arial"/>
          <w:sz w:val="18"/>
          <w:szCs w:val="18"/>
          <w:color w:val="auto"/>
        </w:rPr>
        <w:t>notice to Guarantors, assign or transfer any or all of its portion of the Liabilities or any interest therein in accordance with the terms and conditions of the Operative Documents; and, notwithstanding any such assignment or transfer or any subsequent assignment or transfer thereof, such Liabilities shall be and remain Liabilities for the purposes of this Guaranty, and each and every immediate and successive permitted assignee or transferee of any of the Liabilities or of any interest therein shall, to the extent of such assignee’s or transferee’s interest in the Liabilities, be entitled to the benefits of this Guaranty to the same extent as if such assignee or transferee were such Beneficiary.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Section 6. No Waiver by Beneficiaries</w:t>
      </w:r>
      <w:r>
        <w:rPr>
          <w:rFonts w:ascii="Arial" w:cs="Arial" w:eastAsia="Arial" w:hAnsi="Arial"/>
          <w:sz w:val="17"/>
          <w:szCs w:val="17"/>
          <w:color w:val="auto"/>
        </w:rPr>
        <w:t>. No delay in the exercise of any right or remedy shall operate as a waiver thereof, and no single or partial</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any right or remedy shall preclude other or further exercise thereof or the exercise of any other right or remedy. The rights and remedies provided in this Guaranty shall be cumulative and not exclusive of any rights or remedies provided by Applicable Law. Each Guarantor hereby acknowledges that there are no conditions to the effectiveness of this Guaranty, other than the occurrence of the Restatement Date.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Section 7. Guarantor Representations and Warranties. </w:t>
      </w:r>
      <w:r>
        <w:rPr>
          <w:rFonts w:ascii="Arial" w:cs="Arial" w:eastAsia="Arial" w:hAnsi="Arial"/>
          <w:sz w:val="18"/>
          <w:szCs w:val="18"/>
          <w:color w:val="auto"/>
        </w:rPr>
        <w:t>Parent Guarantor, on behalf of itself and its Subsidiaries, and as applicable, each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(as to itself), represents and warrants to the Administrative Agent and each of the Participants as of the Restatement Date, other than with respect to Disclosed Matters, that:</w:t>
      </w:r>
    </w:p>
    <w:p>
      <w:pPr>
        <w:spacing w:after="0" w:line="181" w:lineRule="exact"/>
        <w:rPr>
          <w:sz w:val="20"/>
          <w:szCs w:val="20"/>
          <w:color w:val="auto"/>
        </w:rPr>
      </w:pPr>
    </w:p>
    <w:p>
      <w:pPr>
        <w:jc w:val="both"/>
        <w:ind w:firstLine="1305"/>
        <w:spacing w:after="0" w:line="286" w:lineRule="auto"/>
        <w:tabs>
          <w:tab w:leader="none" w:pos="1541"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Organization; Powers; Subsidiaries</w:t>
      </w:r>
      <w:r>
        <w:rPr>
          <w:rFonts w:ascii="Arial" w:cs="Arial" w:eastAsia="Arial" w:hAnsi="Arial"/>
          <w:sz w:val="16"/>
          <w:szCs w:val="16"/>
          <w:color w:val="auto"/>
        </w:rPr>
        <w:t>. Each Guarantor and its Material Subsidiaries (i) is duly organized or incorporated, as the case may</w:t>
      </w:r>
      <w:r>
        <w:rPr>
          <w:rFonts w:ascii="Arial" w:cs="Arial" w:eastAsia="Arial" w:hAnsi="Arial"/>
          <w:sz w:val="16"/>
          <w:szCs w:val="16"/>
          <w:i w:val="1"/>
          <w:iCs w:val="1"/>
          <w:color w:val="auto"/>
        </w:rPr>
        <w:t xml:space="preserve"> </w:t>
      </w:r>
      <w:r>
        <w:rPr>
          <w:rFonts w:ascii="Arial" w:cs="Arial" w:eastAsia="Arial" w:hAnsi="Arial"/>
          <w:sz w:val="16"/>
          <w:szCs w:val="16"/>
          <w:color w:val="auto"/>
        </w:rPr>
        <w:t>be, validly existing and in good standing (to the extent the concept is applicable in such jurisdiction) under the laws of the jurisdiction of its organization or incorporation, as applicable, (ii) has all requisite organizational power and authority to carry on its business as now conducted and (iii) is qualified to do business in, and (to the extent the concept is applicable in such jurisdiction) is in good standing in, every jurisdiction where its ownership, lease or operation of properties or the conduct of its business requires such qualification, in any such clauses (i) (solely with respect to the good standing status of any such Subsidiary that is not a Guarantor), (ii) (solely with respect to the power and authority of any such Subsidiary that is not a Guarantor) and (iii), except where the failure to do so could not reasonably be expected to result in a Material Adverse Effect. Schedule 7(a) hereto identifies each Subsidiary as of the Restatement Date, noting whether such Subsidiary is a Material Domestic Subsidiary and/or a Material Subsidiary as of the Restatement Date, the jurisdiction of its incorporation or organization, as the case may be, the percentage of issued and outstanding shares of each class of its capital stock or other equity interests owned by the Parent Guarantor and the other Subsidiaries and, if such percentage is not 100% (excluding (i) directors’ qualifying shares and (ii) shares issued to foreign nationals to the extent required by applicable law), a description of each class issued and outstanding. All of the outstanding shares of capital stock and other equity interests of the Lessee and each Material Subsidiary are validly issued and outstanding and fully paid and nonassessable and all such shares and other equity interests indicated on Schedule 7(a) as owned by the Parent Guarantor or another Subsidiary are owned, beneficially and of record, by the Parent Guarantor or any Subsidiary as of the Restatement Date free and clear of all Liens, other than Liens permitted pursuant to Section 9(b).</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5" w:name="page146"/>
    <w:bookmarkEnd w:id="145"/>
    <w:p>
      <w:pPr>
        <w:jc w:val="both"/>
        <w:ind w:firstLine="1305"/>
        <w:spacing w:after="0" w:line="285" w:lineRule="auto"/>
        <w:tabs>
          <w:tab w:leader="none" w:pos="1592" w:val="left"/>
        </w:tabs>
        <w:numPr>
          <w:ilvl w:val="1"/>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Authorization; Enforceability. </w:t>
      </w:r>
      <w:r>
        <w:rPr>
          <w:rFonts w:ascii="Arial" w:cs="Arial" w:eastAsia="Arial" w:hAnsi="Arial"/>
          <w:sz w:val="16"/>
          <w:szCs w:val="16"/>
          <w:color w:val="auto"/>
        </w:rPr>
        <w:t>The Operative Documents are within each Guarantor’s organizational powers and have been duly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by all necessary organizational actions and, if required, actions by equity holders of such Guarantor. The Operative Documents to which any Guarantor is a party have been duly executed and delivered by such Guarantor and constitute a legal, valid and binding obligation of such Guarantor, enforceable against such Guarantor in accordance with its terms, subject to (i) applicable bankruptcy, insolvency, examinership, reorganization, moratorium or other laws affecting creditors’ rights generally, (ii) general principles of equity, regardless of whether considered in a proceeding in equity or at law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requirements of reasonableness, good faith and fair dealing.</w:t>
      </w:r>
    </w:p>
    <w:p>
      <w:pPr>
        <w:spacing w:after="0" w:line="210" w:lineRule="exact"/>
        <w:rPr>
          <w:rFonts w:ascii="Arial" w:cs="Arial" w:eastAsia="Arial" w:hAnsi="Arial"/>
          <w:sz w:val="18"/>
          <w:szCs w:val="18"/>
          <w:color w:val="auto"/>
        </w:rPr>
      </w:pPr>
    </w:p>
    <w:p>
      <w:pPr>
        <w:jc w:val="both"/>
        <w:ind w:firstLine="1305"/>
        <w:spacing w:after="0" w:line="288" w:lineRule="auto"/>
        <w:tabs>
          <w:tab w:leader="none" w:pos="1555" w:val="left"/>
        </w:tabs>
        <w:numPr>
          <w:ilvl w:val="1"/>
          <w:numId w:val="109"/>
        </w:numPr>
        <w:rPr>
          <w:rFonts w:ascii="Arial" w:cs="Arial" w:eastAsia="Arial" w:hAnsi="Arial"/>
          <w:sz w:val="16"/>
          <w:szCs w:val="16"/>
          <w:color w:val="auto"/>
        </w:rPr>
      </w:pPr>
      <w:r>
        <w:rPr>
          <w:rFonts w:ascii="Arial" w:cs="Arial" w:eastAsia="Arial" w:hAnsi="Arial"/>
          <w:sz w:val="16"/>
          <w:szCs w:val="16"/>
          <w:i w:val="1"/>
          <w:iCs w:val="1"/>
          <w:color w:val="auto"/>
        </w:rPr>
        <w:t>Governmental Approvals; No Conflicts</w:t>
      </w:r>
      <w:r>
        <w:rPr>
          <w:rFonts w:ascii="Arial" w:cs="Arial" w:eastAsia="Arial" w:hAnsi="Arial"/>
          <w:sz w:val="16"/>
          <w:szCs w:val="16"/>
          <w:color w:val="auto"/>
        </w:rPr>
        <w:t>. The execution, delivery and performance by each Guarantor of the Operative Documents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such Guarantor is a party (i) do not require any consent or approval of, registration or filing with, or any other action by, any Governmental Authority, except such as are not material or have been, or will be by the time required, obtained or made and are, or will be by the time required, in full force and effect,</w:t>
      </w:r>
    </w:p>
    <w:p>
      <w:pPr>
        <w:jc w:val="both"/>
        <w:ind w:firstLine="8"/>
        <w:spacing w:after="0" w:line="269" w:lineRule="auto"/>
        <w:tabs>
          <w:tab w:leader="none" w:pos="26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will not violate in any material respect any applicable material law or regulation or the charter, by-laws, constitution or other organizational documents of such Guarantor or any material order of any Governmental Authority binding upon any Guarantor or its assets, (iii) will not violate in any material respect or result in a default under any indenture, material agreement or other material instrument binding upon such Guarantor or any of its Material Subsidiaries or its assets, or give rise to a right thereunder to require any payment to be made by any Guarantor or any of its Material Subsidiaries, except, in the case of this clause (iii), for any such violations, defaults or rights that could not reasonably be expected to result in a Material Adverse Effect, and (iv) will not result in the creation or imposition of any Lien on any asset of such Guarantor or any of its Material Subsidiaries, other than Permitted Liens and requirements (if any) to provide cash collateral or deposits under any of the Operative Documents.</w:t>
      </w:r>
    </w:p>
    <w:p>
      <w:pPr>
        <w:spacing w:after="0" w:line="180" w:lineRule="exact"/>
        <w:rPr>
          <w:rFonts w:ascii="Arial" w:cs="Arial" w:eastAsia="Arial" w:hAnsi="Arial"/>
          <w:sz w:val="17"/>
          <w:szCs w:val="17"/>
          <w:color w:val="auto"/>
        </w:rPr>
      </w:pPr>
    </w:p>
    <w:p>
      <w:pPr>
        <w:jc w:val="both"/>
        <w:ind w:firstLine="1305"/>
        <w:spacing w:after="0" w:line="279" w:lineRule="auto"/>
        <w:tabs>
          <w:tab w:leader="none" w:pos="1551" w:val="left"/>
        </w:tabs>
        <w:numPr>
          <w:ilvl w:val="1"/>
          <w:numId w:val="110"/>
        </w:numPr>
        <w:rPr>
          <w:rFonts w:ascii="Arial" w:cs="Arial" w:eastAsia="Arial" w:hAnsi="Arial"/>
          <w:sz w:val="17"/>
          <w:szCs w:val="17"/>
          <w:color w:val="auto"/>
        </w:rPr>
      </w:pPr>
      <w:r>
        <w:rPr>
          <w:rFonts w:ascii="Arial" w:cs="Arial" w:eastAsia="Arial" w:hAnsi="Arial"/>
          <w:sz w:val="17"/>
          <w:szCs w:val="17"/>
          <w:i w:val="1"/>
          <w:iCs w:val="1"/>
          <w:color w:val="auto"/>
        </w:rPr>
        <w:t>Financial Condition; No Material Adverse Change</w:t>
      </w:r>
      <w:r>
        <w:rPr>
          <w:rFonts w:ascii="Arial" w:cs="Arial" w:eastAsia="Arial" w:hAnsi="Arial"/>
          <w:sz w:val="17"/>
          <w:szCs w:val="17"/>
          <w:color w:val="auto"/>
        </w:rPr>
        <w:t>. (i) The Parent Guarantor has heretofore furnished to the Participants its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and statements of operations, stockholders equity and cash flows as of and for the fiscal year ended December 31, 2018. Such financial statements present fairly, in all material respects, the financial position of the Parent Guarantor and its consolidated Subsidiaries as of the end of such fiscal year and their results of operations for such fiscal year on a consolidated basis in accordance with GAAP.</w:t>
      </w:r>
    </w:p>
    <w:p>
      <w:pPr>
        <w:spacing w:after="0" w:line="171" w:lineRule="exact"/>
        <w:rPr>
          <w:sz w:val="20"/>
          <w:szCs w:val="20"/>
          <w:color w:val="auto"/>
        </w:rPr>
      </w:pPr>
    </w:p>
    <w:p>
      <w:pPr>
        <w:ind w:left="660" w:firstLine="645"/>
        <w:spacing w:after="0" w:line="308" w:lineRule="auto"/>
        <w:tabs>
          <w:tab w:leader="none" w:pos="157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As of the Restatement Date and excluding any Disclosed Matters, since December 31, 2018, there has been no material adverse change in the business, results of operations or financial condition of the Parent Guarantor and its Subsidiaries, taken as a whole.</w:t>
      </w:r>
    </w:p>
    <w:p>
      <w:pPr>
        <w:spacing w:after="0" w:line="147" w:lineRule="exact"/>
        <w:rPr>
          <w:sz w:val="20"/>
          <w:szCs w:val="20"/>
          <w:color w:val="auto"/>
        </w:rPr>
      </w:pPr>
    </w:p>
    <w:p>
      <w:pPr>
        <w:jc w:val="both"/>
        <w:ind w:firstLine="1305"/>
        <w:spacing w:after="0" w:line="312" w:lineRule="auto"/>
        <w:tabs>
          <w:tab w:leader="none" w:pos="1555"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 xml:space="preserve">Properties. </w:t>
      </w:r>
      <w:r>
        <w:rPr>
          <w:rFonts w:ascii="Arial" w:cs="Arial" w:eastAsia="Arial" w:hAnsi="Arial"/>
          <w:sz w:val="16"/>
          <w:szCs w:val="16"/>
          <w:color w:val="auto"/>
        </w:rPr>
        <w:t>(i) Except for Liens permitted pursuant to Section 9(b), each of the Parent Guarantor and its Subsidiaries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Lessee) has good title to, or (to the knowledge of the Parent Guarantor) valid leasehold interests in, all its real and personal property (other than intellectual property, which is subject to Section 7(e)(ii)) material to its business, except as could not reasonably be expected to result in a Material Adverse Effect.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6" w:name="page147"/>
    <w:bookmarkEnd w:id="146"/>
    <w:p>
      <w:pPr>
        <w:jc w:val="both"/>
        <w:ind w:left="660" w:firstLine="645"/>
        <w:spacing w:after="0" w:line="257" w:lineRule="auto"/>
        <w:tabs>
          <w:tab w:leader="none" w:pos="15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Except for Disclosed Matters or as could not reasonably be expected to result in a Material Adverse Effect, (A) each of the Parent Guarantor and its Subsidiaries (including the Lessee) owns or is licensed to use (subject to the knowledge-qualified infringement representation in this Section 7(e)) all trademarks, trade names, copyrights, patents and other intellectual property material to its business, and (B) the use thereof by the Parent Guarantor and its Subsidiaries (including the Lessee), to the Parent Guarantor’s knowledge, does not infringe upon the rights of any other Person.</w:t>
      </w:r>
    </w:p>
    <w:p>
      <w:pPr>
        <w:spacing w:after="0" w:line="188" w:lineRule="exact"/>
        <w:rPr>
          <w:sz w:val="20"/>
          <w:szCs w:val="20"/>
          <w:color w:val="auto"/>
        </w:rPr>
      </w:pPr>
    </w:p>
    <w:p>
      <w:pPr>
        <w:jc w:val="both"/>
        <w:ind w:firstLine="1305"/>
        <w:spacing w:after="0" w:line="279" w:lineRule="auto"/>
        <w:tabs>
          <w:tab w:leader="none" w:pos="1548"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Litigation; Environmental Matters</w:t>
      </w:r>
      <w:r>
        <w:rPr>
          <w:rFonts w:ascii="Arial" w:cs="Arial" w:eastAsia="Arial" w:hAnsi="Arial"/>
          <w:sz w:val="17"/>
          <w:szCs w:val="17"/>
          <w:color w:val="auto"/>
        </w:rPr>
        <w:t>. (i) As of the Restatement Date and except for Disclosed Matters, there are no actions, suits,</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or investigations by or before any arbitrator or Governmental Authority pending against or, to the knowledge of the Parent Guarantor, threatened in writing against or affecting the Parent Guarantor or any of its Subsidiaries (including the Lessee) (A) that could reasonably be expected to result in a Material Adverse Effect or (B) that involve this Guaranty, the Operative Documents or the Overall Transaction.</w:t>
      </w:r>
    </w:p>
    <w:p>
      <w:pPr>
        <w:spacing w:after="0" w:line="171" w:lineRule="exact"/>
        <w:rPr>
          <w:sz w:val="20"/>
          <w:szCs w:val="20"/>
          <w:color w:val="auto"/>
        </w:rPr>
      </w:pPr>
    </w:p>
    <w:p>
      <w:pPr>
        <w:jc w:val="both"/>
        <w:ind w:left="660" w:firstLine="645"/>
        <w:spacing w:after="0" w:line="276" w:lineRule="auto"/>
        <w:tabs>
          <w:tab w:leader="none" w:pos="157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Except with respect to (x) Disclosed Matters and (y) other matters that could not reasonably be expected to result in a Material Adverse Effect (and other than with respect to the Site or Leased Property, which is subject to Section 7(p)), the Parent Guarantor and its Subsidiaries (including the Lessee) (A) are in compliance with all applicable Environmental Laws (which compliance includes possession of and compliance with all permits, licenses or other approvals required under applicable Environmental Laws), (B) are not subject to any Environmental Liability or (C) have not received written notice of any claim with respect to any Environmental Liability.</w:t>
      </w:r>
    </w:p>
    <w:p>
      <w:pPr>
        <w:spacing w:after="0" w:line="173" w:lineRule="exact"/>
        <w:rPr>
          <w:sz w:val="20"/>
          <w:szCs w:val="20"/>
          <w:color w:val="auto"/>
        </w:rPr>
      </w:pPr>
    </w:p>
    <w:p>
      <w:pPr>
        <w:jc w:val="both"/>
        <w:ind w:firstLine="1305"/>
        <w:spacing w:after="0" w:line="264" w:lineRule="auto"/>
        <w:tabs>
          <w:tab w:leader="none" w:pos="1578"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Compliance with Laws</w:t>
      </w:r>
      <w:r>
        <w:rPr>
          <w:rFonts w:ascii="Arial" w:cs="Arial" w:eastAsia="Arial" w:hAnsi="Arial"/>
          <w:sz w:val="18"/>
          <w:szCs w:val="18"/>
          <w:color w:val="auto"/>
        </w:rPr>
        <w:t>. Each of the Parent Guarantor and its Subsidiaries (including the Lessee) is in compliance with all laws,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and orders of any Governmental Authority applicable to it or its property, except (i) for Disclosed Matters or (ii) where the failure to do so could not reasonably be expected to result in a Material Adverse Effect.</w:t>
      </w:r>
    </w:p>
    <w:p>
      <w:pPr>
        <w:spacing w:after="0" w:line="181" w:lineRule="exact"/>
        <w:rPr>
          <w:rFonts w:ascii="Arial" w:cs="Arial" w:eastAsia="Arial" w:hAnsi="Arial"/>
          <w:sz w:val="18"/>
          <w:szCs w:val="18"/>
          <w:color w:val="auto"/>
        </w:rPr>
      </w:pPr>
    </w:p>
    <w:p>
      <w:pPr>
        <w:ind w:firstLine="1305"/>
        <w:spacing w:after="0" w:line="308" w:lineRule="auto"/>
        <w:tabs>
          <w:tab w:leader="none" w:pos="1556"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Investment Company Status</w:t>
      </w:r>
      <w:r>
        <w:rPr>
          <w:rFonts w:ascii="Arial" w:cs="Arial" w:eastAsia="Arial" w:hAnsi="Arial"/>
          <w:sz w:val="17"/>
          <w:szCs w:val="17"/>
          <w:color w:val="auto"/>
        </w:rPr>
        <w:t>. Neither the Parent Guarantor nor any of its Subsidiaries (including the Lessee) is required to be registered</w:t>
      </w:r>
      <w:r>
        <w:rPr>
          <w:rFonts w:ascii="Arial" w:cs="Arial" w:eastAsia="Arial" w:hAnsi="Arial"/>
          <w:sz w:val="17"/>
          <w:szCs w:val="17"/>
          <w:i w:val="1"/>
          <w:iCs w:val="1"/>
          <w:color w:val="auto"/>
        </w:rPr>
        <w:t xml:space="preserve"> </w:t>
      </w:r>
      <w:r>
        <w:rPr>
          <w:rFonts w:ascii="Arial" w:cs="Arial" w:eastAsia="Arial" w:hAnsi="Arial"/>
          <w:sz w:val="17"/>
          <w:szCs w:val="17"/>
          <w:color w:val="auto"/>
        </w:rPr>
        <w:t>as an “investment company” as defined in the Investment Company Act or subject to regulation as an “investment company” thereunder.</w:t>
      </w:r>
    </w:p>
    <w:p>
      <w:pPr>
        <w:spacing w:after="0" w:line="146" w:lineRule="exact"/>
        <w:rPr>
          <w:rFonts w:ascii="Arial" w:cs="Arial" w:eastAsia="Arial" w:hAnsi="Arial"/>
          <w:sz w:val="17"/>
          <w:szCs w:val="17"/>
          <w:color w:val="auto"/>
        </w:rPr>
      </w:pPr>
    </w:p>
    <w:p>
      <w:pPr>
        <w:jc w:val="both"/>
        <w:ind w:firstLine="1305"/>
        <w:spacing w:after="0" w:line="276" w:lineRule="auto"/>
        <w:tabs>
          <w:tab w:leader="none" w:pos="1511"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Taxes</w:t>
      </w:r>
      <w:r>
        <w:rPr>
          <w:rFonts w:ascii="Arial" w:cs="Arial" w:eastAsia="Arial" w:hAnsi="Arial"/>
          <w:sz w:val="17"/>
          <w:szCs w:val="17"/>
          <w:color w:val="auto"/>
        </w:rPr>
        <w:t>. Each of the Parent Guarantor and its Subsidiaries (including the Lessee) has timely filed or caused to be filed all federal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 returns and all other material Tax returns and reports required to have been filed by it and has paid, caused to be paid or made a provision for the payment of, all federal income Taxes and all other material Taxes required to have been paid by it, except (A) Taxes that are being contested in good faith by appropriate proceedings and for which the Parent Guarantor and/or such Subsidiary, as applicable, has set aside on its books adequate reserves in accordance with GAAP or (B) to the extent that the failure to do so could not reasonably be expected to result in a Material Adverse Effect.</w:t>
      </w:r>
    </w:p>
    <w:p>
      <w:pPr>
        <w:spacing w:after="0" w:line="172" w:lineRule="exact"/>
        <w:rPr>
          <w:rFonts w:ascii="Arial" w:cs="Arial" w:eastAsia="Arial" w:hAnsi="Arial"/>
          <w:sz w:val="17"/>
          <w:szCs w:val="17"/>
          <w:color w:val="auto"/>
        </w:rPr>
      </w:pPr>
    </w:p>
    <w:p>
      <w:pPr>
        <w:ind w:left="1520" w:hanging="215"/>
        <w:spacing w:after="0"/>
        <w:tabs>
          <w:tab w:leader="none" w:pos="152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No ERISA Event has occurred or is reasonably expected to occur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7" w:name="page148"/>
    <w:bookmarkEnd w:id="147"/>
    <w:p>
      <w:pPr>
        <w:spacing w:after="0" w:line="277" w:lineRule="auto"/>
        <w:rPr>
          <w:sz w:val="20"/>
          <w:szCs w:val="20"/>
          <w:color w:val="auto"/>
        </w:rPr>
      </w:pPr>
      <w:r>
        <w:rPr>
          <w:rFonts w:ascii="Arial" w:cs="Arial" w:eastAsia="Arial" w:hAnsi="Arial"/>
          <w:sz w:val="18"/>
          <w:szCs w:val="18"/>
          <w:color w:val="auto"/>
        </w:rPr>
        <w:t>that, when taken together with all other such ERISA Events for which liability is reasonably expected to occur, could reasonably be expected to result in a Material Adverse Effect.</w:t>
      </w:r>
    </w:p>
    <w:p>
      <w:pPr>
        <w:spacing w:after="0" w:line="170" w:lineRule="exact"/>
        <w:rPr>
          <w:sz w:val="20"/>
          <w:szCs w:val="20"/>
          <w:color w:val="auto"/>
        </w:rPr>
      </w:pPr>
    </w:p>
    <w:p>
      <w:pPr>
        <w:jc w:val="both"/>
        <w:ind w:firstLine="1305"/>
        <w:spacing w:after="0" w:line="287" w:lineRule="auto"/>
        <w:tabs>
          <w:tab w:leader="none" w:pos="1565"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Disclosure</w:t>
      </w:r>
      <w:r>
        <w:rPr>
          <w:rFonts w:ascii="Arial" w:cs="Arial" w:eastAsia="Arial" w:hAnsi="Arial"/>
          <w:sz w:val="16"/>
          <w:szCs w:val="16"/>
          <w:color w:val="auto"/>
        </w:rPr>
        <w:t>. All written information and all information that is formally presented at a general meeting (which may be a telephonic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meeting) of the Lenders (in any such case, other than any projections, estimates, forecasts and other forward-looking information and information of a general economic or industry-specific nature) furnished by or on behalf of the Parent Guarantor or any Subsidiary to the Lessor or Administrative Agent or any other Participant pursuant to or in connection with this Guaranty or any other Operative Document, when taken as a whole and after giving effect to all supplements and updates thereto,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forecasts or projections of financial information with respect to the Parent Guarantor or any Subsidiary so furnished to the Lessor, the Administrative Agent or any Participant pursuant to or in connection with this Guaranty or any other Operative Document, each Guarantor represents only that such information was prepared in good faith based upon assumptions believed by the Parent Guarantor to be reasonable at the time prepared (it being understood by the Lessor, the Administrative Agent and the other Participants that any such projections are not to be viewed as facts and are subject to significant uncertainties and contingencies, many of which are beyond the control of the Parent Guarantor, the Lessee or their respective Subsidiaries, that no assurances can be given that such projections will be realized and that actual results may differ materially from such projections).</w:t>
      </w:r>
    </w:p>
    <w:p>
      <w:pPr>
        <w:spacing w:after="0" w:line="168" w:lineRule="exact"/>
        <w:rPr>
          <w:rFonts w:ascii="Arial" w:cs="Arial" w:eastAsia="Arial" w:hAnsi="Arial"/>
          <w:sz w:val="16"/>
          <w:szCs w:val="16"/>
          <w:color w:val="auto"/>
        </w:rPr>
      </w:pPr>
    </w:p>
    <w:p>
      <w:pPr>
        <w:ind w:firstLine="1305"/>
        <w:spacing w:after="0" w:line="308" w:lineRule="auto"/>
        <w:tabs>
          <w:tab w:leader="none" w:pos="1516"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Federal Reserve Regulations</w:t>
      </w:r>
      <w:r>
        <w:rPr>
          <w:rFonts w:ascii="Arial" w:cs="Arial" w:eastAsia="Arial" w:hAnsi="Arial"/>
          <w:sz w:val="17"/>
          <w:szCs w:val="17"/>
          <w:color w:val="auto"/>
        </w:rPr>
        <w:t>. No part of the proceeds of the Advance have been used or will be used, whether directly or indirectly,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purpose that entails a violation of any of the Regulations of the F.R.S. Board, including Regulations T, U and X of the F.R.S. Board.</w:t>
      </w:r>
    </w:p>
    <w:p>
      <w:pPr>
        <w:spacing w:after="0" w:line="146" w:lineRule="exact"/>
        <w:rPr>
          <w:rFonts w:ascii="Arial" w:cs="Arial" w:eastAsia="Arial" w:hAnsi="Arial"/>
          <w:sz w:val="17"/>
          <w:szCs w:val="17"/>
          <w:color w:val="auto"/>
        </w:rPr>
      </w:pPr>
    </w:p>
    <w:p>
      <w:pPr>
        <w:ind w:firstLine="1305"/>
        <w:spacing w:after="0" w:line="277" w:lineRule="auto"/>
        <w:tabs>
          <w:tab w:leader="none" w:pos="1615"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As of the Restatement Date, no Default, Event of Default, Event of Loss, Specified Significant Environmental Event or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Material Environmental Violation has occurred and is continuing.</w:t>
      </w:r>
    </w:p>
    <w:p>
      <w:pPr>
        <w:spacing w:after="0" w:line="170" w:lineRule="exact"/>
        <w:rPr>
          <w:rFonts w:ascii="Arial" w:cs="Arial" w:eastAsia="Arial" w:hAnsi="Arial"/>
          <w:sz w:val="18"/>
          <w:szCs w:val="18"/>
          <w:color w:val="auto"/>
        </w:rPr>
      </w:pPr>
    </w:p>
    <w:p>
      <w:pPr>
        <w:jc w:val="both"/>
        <w:ind w:firstLine="1305"/>
        <w:spacing w:after="0" w:line="254" w:lineRule="auto"/>
        <w:tabs>
          <w:tab w:leader="none" w:pos="1578"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Anti-Corruption Laws and Sanctions</w:t>
      </w:r>
      <w:r>
        <w:rPr>
          <w:rFonts w:ascii="Arial" w:cs="Arial" w:eastAsia="Arial" w:hAnsi="Arial"/>
          <w:sz w:val="18"/>
          <w:szCs w:val="18"/>
          <w:color w:val="auto"/>
        </w:rPr>
        <w:t>. The Parent Guarantor has implemented and maintains in effect policies and is implementing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reasonably designed to achieve material compliance by the Parent Guarantor, its Subsidiaries and their respective directors, officers, employees and agents with Anti-Corruption Laws and applicable Sanctions, and the Parent Guarantor, its Subsidiaries and, to the knowledge of the Parent Guarantor, their respective directors, officers, employees and agents, are in compliance with Anti-Corruption Laws and applicable Sanctions in all material respects. None of (a) the Parent Guarantor, any Subsidiary or to the knowledge of the Parent Guarantor or such Subsidiary any of their respective directors, officers or employees, or (b) to the knowledge of the Parent Guarantor, any agent of the Parent Guarantor or any Subsidiary that will act in any capacity in connection with or benefit from the credit facility established hereby, is a Sanctioned Person. No use of proceeds or Overall Transaction has violated any Anti-Corruption Law or applicable Sanctions.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8" w:name="page149"/>
    <w:bookmarkEnd w:id="148"/>
    <w:p>
      <w:pPr>
        <w:ind w:firstLine="1305"/>
        <w:spacing w:after="0" w:line="277" w:lineRule="auto"/>
        <w:tabs>
          <w:tab w:leader="none" w:pos="1551"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Certain Original Closing Date Representations. </w:t>
      </w:r>
      <w:r>
        <w:rPr>
          <w:rFonts w:ascii="Arial" w:cs="Arial" w:eastAsia="Arial" w:hAnsi="Arial"/>
          <w:sz w:val="18"/>
          <w:szCs w:val="18"/>
          <w:color w:val="auto"/>
        </w:rPr>
        <w:t>The representations and warranties set forth in clauses (o), (q), (s), (t) and (u) of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7 of the Original Guaranty were true and correct in all material respects as of the Original Closing Date.</w:t>
      </w:r>
    </w:p>
    <w:p>
      <w:pPr>
        <w:spacing w:after="0" w:line="170" w:lineRule="exact"/>
        <w:rPr>
          <w:rFonts w:ascii="Arial" w:cs="Arial" w:eastAsia="Arial" w:hAnsi="Arial"/>
          <w:sz w:val="18"/>
          <w:szCs w:val="18"/>
          <w:color w:val="auto"/>
        </w:rPr>
      </w:pPr>
    </w:p>
    <w:p>
      <w:pPr>
        <w:ind w:left="660" w:firstLine="645"/>
        <w:spacing w:after="0" w:line="277" w:lineRule="auto"/>
        <w:tabs>
          <w:tab w:leader="none" w:pos="1577"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Environmental Condition of the Site</w:t>
      </w:r>
      <w:r>
        <w:rPr>
          <w:rFonts w:ascii="Arial" w:cs="Arial" w:eastAsia="Arial" w:hAnsi="Arial"/>
          <w:sz w:val="18"/>
          <w:szCs w:val="18"/>
          <w:color w:val="auto"/>
        </w:rPr>
        <w:t>. Except as set forth in the Environmental Audit described in Section 6.1(vi) of the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as could not reasonably be expected to result in a Material Adverse Effect:</w:t>
      </w:r>
    </w:p>
    <w:p>
      <w:pPr>
        <w:spacing w:after="0" w:line="170" w:lineRule="exact"/>
        <w:rPr>
          <w:rFonts w:ascii="Arial" w:cs="Arial" w:eastAsia="Arial" w:hAnsi="Arial"/>
          <w:sz w:val="18"/>
          <w:szCs w:val="18"/>
          <w:color w:val="auto"/>
        </w:rPr>
      </w:pPr>
    </w:p>
    <w:p>
      <w:pPr>
        <w:ind w:left="1300" w:right="20" w:firstLine="653"/>
        <w:spacing w:after="0" w:line="308" w:lineRule="auto"/>
        <w:tabs>
          <w:tab w:leader="none" w:pos="2189" w:val="left"/>
        </w:tabs>
        <w:numPr>
          <w:ilvl w:val="1"/>
          <w:numId w:val="118"/>
        </w:numPr>
        <w:rPr>
          <w:rFonts w:ascii="Arial" w:cs="Arial" w:eastAsia="Arial" w:hAnsi="Arial"/>
          <w:sz w:val="17"/>
          <w:szCs w:val="17"/>
          <w:color w:val="auto"/>
        </w:rPr>
      </w:pPr>
      <w:r>
        <w:rPr>
          <w:rFonts w:ascii="Arial" w:cs="Arial" w:eastAsia="Arial" w:hAnsi="Arial"/>
          <w:sz w:val="17"/>
          <w:szCs w:val="17"/>
          <w:color w:val="auto"/>
        </w:rPr>
        <w:t>neither the Parent Guarantor nor the Lessee has received any written notice of, or written inquiry from any Governmental Authority regarding, any Environmental Claim or any violation or non-compliance with Environmental Laws with regard to the Site;</w:t>
      </w:r>
    </w:p>
    <w:p>
      <w:pPr>
        <w:spacing w:after="0" w:line="146" w:lineRule="exact"/>
        <w:rPr>
          <w:rFonts w:ascii="Arial" w:cs="Arial" w:eastAsia="Arial" w:hAnsi="Arial"/>
          <w:sz w:val="17"/>
          <w:szCs w:val="17"/>
          <w:color w:val="auto"/>
        </w:rPr>
      </w:pPr>
    </w:p>
    <w:p>
      <w:pPr>
        <w:ind w:left="1300" w:right="20" w:firstLine="653"/>
        <w:spacing w:after="0" w:line="277" w:lineRule="auto"/>
        <w:tabs>
          <w:tab w:leader="none" w:pos="224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neither the Parent Guarantor nor the Lessee has stored, released or transported any Hazardous Substances on the Leased Property or the Site in violation of Environmental Laws;</w:t>
      </w:r>
    </w:p>
    <w:p>
      <w:pPr>
        <w:spacing w:after="0" w:line="170" w:lineRule="exact"/>
        <w:rPr>
          <w:rFonts w:ascii="Arial" w:cs="Arial" w:eastAsia="Arial" w:hAnsi="Arial"/>
          <w:sz w:val="18"/>
          <w:szCs w:val="18"/>
          <w:color w:val="auto"/>
        </w:rPr>
      </w:pPr>
    </w:p>
    <w:p>
      <w:pPr>
        <w:ind w:left="1300" w:firstLine="653"/>
        <w:spacing w:after="0" w:line="277" w:lineRule="auto"/>
        <w:tabs>
          <w:tab w:leader="none" w:pos="228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Site does not contain any Hazardous Substance at, on or under the Site in amounts or concentrations that constitute a violation of Environmental Laws; and</w:t>
      </w:r>
    </w:p>
    <w:p>
      <w:pPr>
        <w:spacing w:after="0" w:line="170" w:lineRule="exact"/>
        <w:rPr>
          <w:rFonts w:ascii="Arial" w:cs="Arial" w:eastAsia="Arial" w:hAnsi="Arial"/>
          <w:sz w:val="18"/>
          <w:szCs w:val="18"/>
          <w:color w:val="auto"/>
        </w:rPr>
      </w:pPr>
    </w:p>
    <w:p>
      <w:pPr>
        <w:ind w:left="1300" w:firstLine="653"/>
        <w:spacing w:after="0" w:line="277" w:lineRule="auto"/>
        <w:tabs>
          <w:tab w:leader="none" w:pos="227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Parent Guarantor or Lessee has obtained all Governmental Approvals relating to the Site which are required of it under all Environmental Laws.</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jc w:val="both"/>
        <w:ind w:firstLine="1305"/>
        <w:spacing w:after="0" w:line="302" w:lineRule="auto"/>
        <w:tabs>
          <w:tab w:leader="none" w:pos="1521"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Patents, Trademarks</w:t>
      </w:r>
      <w:r>
        <w:rPr>
          <w:rFonts w:ascii="Arial" w:cs="Arial" w:eastAsia="Arial" w:hAnsi="Arial"/>
          <w:sz w:val="16"/>
          <w:szCs w:val="16"/>
          <w:color w:val="auto"/>
        </w:rPr>
        <w:t>. There are no material patents, patent rights, trademarks, service marks, trade names, copyrights, licenses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rights with respect to the Leased Property that are necessary for the operation of the Leased Property by the Lessee, except to the extent that the Lessee has rights in respect thereof without material payment of royalties or other material licensing payments, which rights may be freely leased, licensed or otherwise provided to Lessor or any successor owner, lessee, user or operator of the Leased Property pursuant to the Operative Documents.</w:t>
      </w:r>
    </w:p>
    <w:p>
      <w:pPr>
        <w:spacing w:after="0" w:line="154" w:lineRule="exact"/>
        <w:rPr>
          <w:rFonts w:ascii="Arial" w:cs="Arial" w:eastAsia="Arial" w:hAnsi="Arial"/>
          <w:sz w:val="16"/>
          <w:szCs w:val="16"/>
          <w:color w:val="auto"/>
        </w:rPr>
      </w:pPr>
    </w:p>
    <w:p>
      <w:pPr>
        <w:ind w:left="1540" w:hanging="235"/>
        <w:spacing w:after="0"/>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592"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The Facility and the Site are in compliance in all material respects with all Applicable Laws and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any present use and presently anticipated future use thereof by Lessee and its agents, assignees, employees, invitees, lessees, licensees and tenants comply in all material respects with all Applicable Laws, in any such case, except where any such noncompliance individually or in the aggregate could not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9" w:name="page150"/>
    <w:bookmarkEnd w:id="149"/>
    <w:p>
      <w:pPr>
        <w:jc w:val="both"/>
        <w:spacing w:after="0" w:line="257" w:lineRule="auto"/>
        <w:rPr>
          <w:sz w:val="20"/>
          <w:szCs w:val="20"/>
          <w:color w:val="auto"/>
        </w:rPr>
      </w:pPr>
      <w:r>
        <w:rPr>
          <w:rFonts w:ascii="Arial" w:cs="Arial" w:eastAsia="Arial" w:hAnsi="Arial"/>
          <w:sz w:val="18"/>
          <w:szCs w:val="18"/>
          <w:color w:val="auto"/>
        </w:rPr>
        <w:t>reasonably be expected to have a material adverse effect on Lessee’s ability to perform its material obligations under the Operative Documents. Except as could not reasonably be expected to have a Material Adverse Effect, no notices, complaints or orders of violation or noncompliance or liability have been issued to the Parent Guarantor or the Lessee or, to the best of the Parent Guarantor’s knowledge, threatened by any Person with respect to the Leased Property or the present or intended future use thereof, and the Parent Guarantor is not aware of any circumstances which could give rise to the issuance of any such notices, complaints or orders.</w:t>
      </w:r>
    </w:p>
    <w:p>
      <w:pPr>
        <w:spacing w:after="0" w:line="188" w:lineRule="exact"/>
        <w:rPr>
          <w:sz w:val="20"/>
          <w:szCs w:val="20"/>
          <w:color w:val="auto"/>
        </w:rPr>
      </w:pPr>
    </w:p>
    <w:p>
      <w:pPr>
        <w:jc w:val="both"/>
        <w:ind w:firstLine="1305"/>
        <w:spacing w:after="0" w:line="293" w:lineRule="auto"/>
        <w:tabs>
          <w:tab w:leader="none" w:pos="1591"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Condition</w:t>
      </w:r>
      <w:r>
        <w:rPr>
          <w:rFonts w:ascii="Arial" w:cs="Arial" w:eastAsia="Arial" w:hAnsi="Arial"/>
          <w:sz w:val="16"/>
          <w:szCs w:val="16"/>
          <w:color w:val="auto"/>
        </w:rPr>
        <w:t>. Adequate utility facilities are available to the Leased Property over dedicated and accepted public streets and rights of way</w:t>
      </w:r>
      <w:r>
        <w:rPr>
          <w:rFonts w:ascii="Arial" w:cs="Arial" w:eastAsia="Arial" w:hAnsi="Arial"/>
          <w:sz w:val="16"/>
          <w:szCs w:val="16"/>
          <w:i w:val="1"/>
          <w:iCs w:val="1"/>
          <w:color w:val="auto"/>
        </w:rPr>
        <w:t xml:space="preserve"> </w:t>
      </w:r>
      <w:r>
        <w:rPr>
          <w:rFonts w:ascii="Arial" w:cs="Arial" w:eastAsia="Arial" w:hAnsi="Arial"/>
          <w:sz w:val="16"/>
          <w:szCs w:val="16"/>
          <w:color w:val="auto"/>
        </w:rPr>
        <w:t>or valid easements that run with the land. As of the Restatement Date, no fire or other Casualty with respect to the Leased Property has occurred which has had a Material Adverse Effect. Adequate ingress and egress to and from the Leased Property is available over dedicated and accepted public streets and rights-of-way or valid easements that run with the land. With respect to the Leased Property, all material licenses, permits and approvals (including, without limitation, material building and environmental permits, licenses, approvals, authorizations and consents) necessary and required for the use and operation of the Leased Property have been obtained from the appropriate Governmental Authorities having jurisdiction or from private parties, as the case may be.</w:t>
      </w:r>
    </w:p>
    <w:p>
      <w:pPr>
        <w:spacing w:after="0" w:line="164" w:lineRule="exact"/>
        <w:rPr>
          <w:rFonts w:ascii="Arial" w:cs="Arial" w:eastAsia="Arial" w:hAnsi="Arial"/>
          <w:sz w:val="16"/>
          <w:szCs w:val="16"/>
          <w:color w:val="auto"/>
        </w:rPr>
      </w:pPr>
    </w:p>
    <w:p>
      <w:pPr>
        <w:jc w:val="both"/>
        <w:ind w:firstLine="1305"/>
        <w:spacing w:after="0" w:line="264" w:lineRule="auto"/>
        <w:tabs>
          <w:tab w:leader="none" w:pos="1551"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Flood Hazard Areas</w:t>
      </w:r>
      <w:r>
        <w:rPr>
          <w:rFonts w:ascii="Arial" w:cs="Arial" w:eastAsia="Arial" w:hAnsi="Arial"/>
          <w:sz w:val="18"/>
          <w:szCs w:val="18"/>
          <w:color w:val="auto"/>
        </w:rPr>
        <w:t>. If the Site is located in an area identified as a special flood hazard area by the Federal Emergency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Agency or other applicable Governmental Authority, then, to the extent required by Applicable Laws, flood insurance has been obtained by Lessee in accordance with the National Flood Insurance Act of 1968, as amended.</w:t>
      </w:r>
    </w:p>
    <w:p>
      <w:pPr>
        <w:spacing w:after="0" w:line="181" w:lineRule="exact"/>
        <w:rPr>
          <w:rFonts w:ascii="Arial" w:cs="Arial" w:eastAsia="Arial" w:hAnsi="Arial"/>
          <w:sz w:val="18"/>
          <w:szCs w:val="18"/>
          <w:color w:val="auto"/>
        </w:rPr>
      </w:pPr>
    </w:p>
    <w:p>
      <w:pPr>
        <w:ind w:firstLine="1305"/>
        <w:spacing w:after="0" w:line="277" w:lineRule="auto"/>
        <w:tabs>
          <w:tab w:leader="none" w:pos="1551"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No Prohibited Transactions</w:t>
      </w:r>
      <w:r>
        <w:rPr>
          <w:rFonts w:ascii="Arial" w:cs="Arial" w:eastAsia="Arial" w:hAnsi="Arial"/>
          <w:sz w:val="18"/>
          <w:szCs w:val="18"/>
          <w:color w:val="auto"/>
        </w:rPr>
        <w:t>. None of the transactions contemplated by the Operative Documents will constitute a prohibited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meaning of Section 4975(c)(1)(A) through (D) of the Code.</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6"/>
          <w:szCs w:val="16"/>
          <w:i w:val="1"/>
          <w:iCs w:val="1"/>
          <w:color w:val="auto"/>
        </w:rPr>
        <w:t xml:space="preserve">Section 8. Guarantor Affirmative Covenants. </w:t>
      </w:r>
      <w:r>
        <w:rPr>
          <w:rFonts w:ascii="Arial" w:cs="Arial" w:eastAsia="Arial" w:hAnsi="Arial"/>
          <w:sz w:val="16"/>
          <w:szCs w:val="16"/>
          <w:color w:val="auto"/>
        </w:rPr>
        <w:t>The Parent Guarantor shall comply with the following covenants until all Liabilities have been paid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full: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Financial Statements and Other Information</w:t>
      </w:r>
      <w:r>
        <w:rPr>
          <w:rFonts w:ascii="Arial" w:cs="Arial" w:eastAsia="Arial" w:hAnsi="Arial"/>
          <w:sz w:val="17"/>
          <w:szCs w:val="17"/>
          <w:color w:val="auto"/>
        </w:rPr>
        <w:t>. The Parent Guarantor will furnish to the Administrative Agent for distribution to each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jc w:val="both"/>
        <w:ind w:left="1300" w:firstLine="653"/>
        <w:spacing w:after="0" w:line="273" w:lineRule="auto"/>
        <w:tabs>
          <w:tab w:leader="none" w:pos="218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within ninety (90) days after the end of each fiscal year of the Parent Guarantor, its audited consolidated balance sheet and related statements of operations, stockholders’ equity and cash flows as of the end of and for such year, setting forth in each case in comparative form the figures for the previous fiscal year, prepared in accordance with GAAP consistently applied throughout the period covered thereby (except as expressly noted therein), with such audited balance sheet and related consolidated financial statements reported on by PricewaterhouseCoopers LLP or other independent public accountants of recognized national standing reasonably acceptable to the Administrative Agent (without a “going concern” or like qualification or exception and without 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50" w:name="page151"/>
    <w:bookmarkEnd w:id="150"/>
    <w:p>
      <w:pPr>
        <w:jc w:val="both"/>
        <w:ind w:left="100"/>
        <w:spacing w:after="0" w:line="264" w:lineRule="auto"/>
        <w:rPr>
          <w:sz w:val="20"/>
          <w:szCs w:val="20"/>
          <w:color w:val="auto"/>
        </w:rPr>
      </w:pPr>
      <w:r>
        <w:rPr>
          <w:rFonts w:ascii="Arial" w:cs="Arial" w:eastAsia="Arial" w:hAnsi="Arial"/>
          <w:sz w:val="18"/>
          <w:szCs w:val="18"/>
          <w:color w:val="auto"/>
        </w:rPr>
        <w:t>qualification or exception as to the scope of such audit) to the effect that such consolidated financial statements present fairly in all material respects the financial position of the Parent Guarantor and its consolidated Subsidiaries as of the end of such fiscal year and their results of operations for sure fiscal year on a consolidated basis in accordance with GAAP;</w:t>
      </w:r>
    </w:p>
    <w:p>
      <w:pPr>
        <w:spacing w:after="0" w:line="181" w:lineRule="exact"/>
        <w:rPr>
          <w:sz w:val="20"/>
          <w:szCs w:val="20"/>
          <w:color w:val="auto"/>
        </w:rPr>
      </w:pPr>
    </w:p>
    <w:p>
      <w:pPr>
        <w:jc w:val="both"/>
        <w:ind w:left="100" w:firstLine="653"/>
        <w:spacing w:after="0" w:line="290" w:lineRule="auto"/>
        <w:tabs>
          <w:tab w:leader="none" w:pos="10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within forty-five (45) days after the end of each of the first three fiscal quarters of each fiscal year of the Parent Guarantor, its consolidated balance sheet and related statements of operations and cash flows as of the end of and for such fiscal quarter and the period commencing at the beginning of such fiscal year and ending with such fiscal quarter, setting forth in each case in comparative form the figures for the corresponding period or periods of (or, in the case of the balance sheet, as of the end of) the previous fiscal year, all certified on behalf of the Parent Guarantor by a Responsible Officer of the Parent Guarantor as presenting fairly in all material respects the financial position of the Parent Guarantor and its consolidated Subsidiaries as of the end of such fiscal quarter and their results and operations for the fiscal period covered thereby on a consolidated basis in accordance with GAAP consistently applied throughout the period covered thereby (except as otherwise expressly noted therein), subject to normal year-end audit adjustments and the absence of footnotes;</w:t>
      </w:r>
    </w:p>
    <w:p>
      <w:pPr>
        <w:spacing w:after="0" w:line="166" w:lineRule="exact"/>
        <w:rPr>
          <w:rFonts w:ascii="Arial" w:cs="Arial" w:eastAsia="Arial" w:hAnsi="Arial"/>
          <w:sz w:val="16"/>
          <w:szCs w:val="16"/>
          <w:color w:val="auto"/>
        </w:rPr>
      </w:pPr>
    </w:p>
    <w:p>
      <w:pPr>
        <w:jc w:val="both"/>
        <w:ind w:left="100" w:firstLine="653"/>
        <w:spacing w:after="0" w:line="253" w:lineRule="auto"/>
        <w:tabs>
          <w:tab w:leader="none" w:pos="107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concurrently with any delivery of financial statements under clause (i) or (ii) above, a certificate of a Responsible Officer of the Parent Guarantor delivered on behalf of the Parent Guarantor, (A) certifying as to whether, to the knowledge of such Responsible Officer, a Default has occurred and is continuing and, if a Default has occurred that is continuing, specifying the details thereof and any action taken or proposed to be taken with respect thereto, (B) setting forth reasonably detailed calculations demonstrating compliance with Sections 9(f) and (g), and (C) to the extent that any change in GAAP or application thereof has a material impact on the financial statements accompanying such certificate and such change and impact has not been noted in such financial statements, stating whether any such change in GAAP or in the application thereof has occurred since the date of the audited financial statements referred to in Section 6.2(xviii) of the Participation Agreement and, if any such change has occurred, specifying the effect of such change on such financial statements accompanying such certificate;</w:t>
      </w:r>
    </w:p>
    <w:p>
      <w:pPr>
        <w:spacing w:after="0" w:line="197" w:lineRule="exact"/>
        <w:rPr>
          <w:rFonts w:ascii="Arial" w:cs="Arial" w:eastAsia="Arial" w:hAnsi="Arial"/>
          <w:sz w:val="18"/>
          <w:szCs w:val="18"/>
          <w:color w:val="auto"/>
        </w:rPr>
      </w:pPr>
    </w:p>
    <w:p>
      <w:pPr>
        <w:jc w:val="both"/>
        <w:ind w:left="100" w:firstLine="653"/>
        <w:spacing w:after="0" w:line="259" w:lineRule="auto"/>
        <w:tabs>
          <w:tab w:leader="none" w:pos="10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annual, regular, periodic and special reports, proxy statements and registration statements (A) filed by the Parent Guarantor with the SEC (or any Governmental Authority succeeding to any or all of the functions of the SEC) or with any national securities exchange, or (B) distributed by the Parent Guarantor to its shareholders generally, as the case may be;</w:t>
      </w:r>
    </w:p>
    <w:p>
      <w:pPr>
        <w:spacing w:after="0" w:line="186" w:lineRule="exact"/>
        <w:rPr>
          <w:rFonts w:ascii="Arial" w:cs="Arial" w:eastAsia="Arial" w:hAnsi="Arial"/>
          <w:sz w:val="18"/>
          <w:szCs w:val="18"/>
          <w:color w:val="auto"/>
        </w:rPr>
      </w:pPr>
    </w:p>
    <w:p>
      <w:pPr>
        <w:ind w:left="100" w:right="20" w:firstLine="653"/>
        <w:spacing w:after="0" w:line="277" w:lineRule="auto"/>
        <w:tabs>
          <w:tab w:leader="none" w:pos="10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promptly after Moody’s or S&amp;P shall have announced a change in the rating established or deemed to have been established for the Index Debt,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151" w:name="page152"/>
    <w:bookmarkEnd w:id="151"/>
    <w:p>
      <w:pPr>
        <w:ind w:left="1300"/>
        <w:spacing w:after="0"/>
        <w:rPr>
          <w:sz w:val="20"/>
          <w:szCs w:val="20"/>
          <w:color w:val="auto"/>
        </w:rPr>
      </w:pPr>
      <w:r>
        <w:rPr>
          <w:rFonts w:ascii="Arial" w:cs="Arial" w:eastAsia="Arial" w:hAnsi="Arial"/>
          <w:sz w:val="18"/>
          <w:szCs w:val="18"/>
          <w:color w:val="auto"/>
        </w:rPr>
        <w:t>written notice of such rating change; and</w:t>
      </w:r>
    </w:p>
    <w:p>
      <w:pPr>
        <w:spacing w:after="0" w:line="225" w:lineRule="exact"/>
        <w:rPr>
          <w:sz w:val="20"/>
          <w:szCs w:val="20"/>
          <w:color w:val="auto"/>
        </w:rPr>
      </w:pPr>
    </w:p>
    <w:p>
      <w:pPr>
        <w:jc w:val="both"/>
        <w:ind w:left="1300" w:firstLine="653"/>
        <w:spacing w:after="0" w:line="257" w:lineRule="auto"/>
        <w:tabs>
          <w:tab w:leader="none" w:pos="227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promptly following any request therefor, (i) such other information regarding the operations, business affairs and financial condition of the Parent Guarantor, Lessee or any Subsidiary, or compliance with the terms of the Participation Agreement, as the Administrative Agent or any Lender (acting through the Administrative Agent) may reasonably request and (ii) information and documentation reasonably requested by the Administrative Agent or any Participant for the purposes of compliance with applicable “know your customer” and anti-money laundering rules and regulations, including the Patriot Act.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Documents required to be delivered pursuant to clauses (i), (ii) and (iv) of this Section 8(a) (1) may be delivered electronically and (2) shall be deemed to have been delivered on the date on which such documents are (A) filed for public availability on the SEC’s Electronic Data Gathering and Retrieval System,</w:t>
      </w:r>
    </w:p>
    <w:p>
      <w:pPr>
        <w:jc w:val="both"/>
        <w:ind w:firstLine="8"/>
        <w:spacing w:after="0" w:line="254" w:lineRule="auto"/>
        <w:tabs>
          <w:tab w:leader="none" w:pos="28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posted or the Parent Guarantor provides a link thereto on http://www.regeneron.com or https://investor.regeneron.com or at another website identified in a notice from the Parent Guarantor and accessible by the Participants without charge; or (C) delivered to the Administrative Agent for posting on, or otherwise posted on the Parent Guarantor’s or Lessee’s behalf on, an Internet or intranet website, if any, to which the Administrative Agent has access (whether a commercial, third-party website or whether sponsored by the Administrative Agent).</w:t>
      </w:r>
    </w:p>
    <w:p>
      <w:pPr>
        <w:spacing w:after="0" w:line="189" w:lineRule="exact"/>
        <w:rPr>
          <w:rFonts w:ascii="Arial" w:cs="Arial" w:eastAsia="Arial" w:hAnsi="Arial"/>
          <w:sz w:val="18"/>
          <w:szCs w:val="18"/>
          <w:color w:val="auto"/>
        </w:rPr>
      </w:pPr>
    </w:p>
    <w:p>
      <w:pPr>
        <w:ind w:firstLine="1305"/>
        <w:spacing w:after="0" w:line="277" w:lineRule="auto"/>
        <w:tabs>
          <w:tab w:leader="none" w:pos="1551" w:val="left"/>
        </w:tabs>
        <w:numPr>
          <w:ilvl w:val="1"/>
          <w:numId w:val="123"/>
        </w:numPr>
        <w:rPr>
          <w:rFonts w:ascii="Arial" w:cs="Arial" w:eastAsia="Arial" w:hAnsi="Arial"/>
          <w:sz w:val="18"/>
          <w:szCs w:val="18"/>
          <w:color w:val="auto"/>
        </w:rPr>
      </w:pPr>
      <w:r>
        <w:rPr>
          <w:rFonts w:ascii="Arial" w:cs="Arial" w:eastAsia="Arial" w:hAnsi="Arial"/>
          <w:sz w:val="18"/>
          <w:szCs w:val="18"/>
          <w:i w:val="1"/>
          <w:iCs w:val="1"/>
          <w:color w:val="auto"/>
        </w:rPr>
        <w:t>Notices of Material Events</w:t>
      </w:r>
      <w:r>
        <w:rPr>
          <w:rFonts w:ascii="Arial" w:cs="Arial" w:eastAsia="Arial" w:hAnsi="Arial"/>
          <w:sz w:val="18"/>
          <w:szCs w:val="18"/>
          <w:color w:val="auto"/>
        </w:rPr>
        <w:t>. The Parent Guarantor will furnish to the Administrative Agent (for distribution to each Participant)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the following, promptly after a Responsible Officer of the Parent Guarantor has actual knowledge thereof:</w:t>
      </w:r>
    </w:p>
    <w:p>
      <w:pPr>
        <w:spacing w:after="0" w:line="170" w:lineRule="exact"/>
        <w:rPr>
          <w:rFonts w:ascii="Arial" w:cs="Arial" w:eastAsia="Arial" w:hAnsi="Arial"/>
          <w:sz w:val="18"/>
          <w:szCs w:val="18"/>
          <w:color w:val="auto"/>
        </w:rPr>
      </w:pPr>
    </w:p>
    <w:p>
      <w:pPr>
        <w:ind w:left="2160" w:hanging="207"/>
        <w:spacing w:after="0"/>
        <w:tabs>
          <w:tab w:leader="none" w:pos="216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left="1300" w:firstLine="653"/>
        <w:spacing w:after="0" w:line="342" w:lineRule="auto"/>
        <w:tabs>
          <w:tab w:leader="none" w:pos="2217" w:val="left"/>
        </w:tabs>
        <w:numPr>
          <w:ilvl w:val="2"/>
          <w:numId w:val="123"/>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affecting the Parent Guarantor, Lessee or any Subsidiary thereof that could reasonably be expected to result in a Material Adverse Effect;</w:t>
      </w:r>
    </w:p>
    <w:p>
      <w:pPr>
        <w:spacing w:after="0" w:line="123" w:lineRule="exact"/>
        <w:rPr>
          <w:rFonts w:ascii="Arial" w:cs="Arial" w:eastAsia="Arial" w:hAnsi="Arial"/>
          <w:sz w:val="16"/>
          <w:szCs w:val="16"/>
          <w:color w:val="auto"/>
        </w:rPr>
      </w:pPr>
    </w:p>
    <w:p>
      <w:pPr>
        <w:ind w:left="1300" w:firstLine="653"/>
        <w:spacing w:after="0" w:line="277" w:lineRule="auto"/>
        <w:tabs>
          <w:tab w:leader="none" w:pos="2266" w:val="left"/>
        </w:tabs>
        <w:numPr>
          <w:ilvl w:val="2"/>
          <w:numId w:val="123"/>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and</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notice delivered under this Section 8(b) shall be accompanied by a statement of a Responsible Officer of the Parent Guarantor setting forth in reasonable detail the event or development requiring such notice and any action taken or proposed to be taken with respect thereto. Information required to be delivered pursuant to clause (ii), (iii) and (iv) of this Section 8(b) shall be deemed to have been delivered if such information, or one or more annual, quarterly, current or other reports containing such information, is (A) filed for public availability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52" w:name="page153"/>
    <w:bookmarkEnd w:id="152"/>
    <w:p>
      <w:pPr>
        <w:jc w:val="both"/>
        <w:spacing w:after="0" w:line="255" w:lineRule="auto"/>
        <w:rPr>
          <w:sz w:val="20"/>
          <w:szCs w:val="20"/>
          <w:color w:val="auto"/>
        </w:rPr>
      </w:pPr>
      <w:r>
        <w:rPr>
          <w:rFonts w:ascii="Arial" w:cs="Arial" w:eastAsia="Arial" w:hAnsi="Arial"/>
          <w:sz w:val="18"/>
          <w:szCs w:val="18"/>
          <w:color w:val="auto"/>
        </w:rPr>
        <w:t>on the SEC’s Electronic Data Gathering and Retrieval System, (B) posted or the Parent Guarantor provides a link thereto on http://www.regeneron.com or https://investor.regeneron.com or at another website identified in a notice from the Parent Guarantor and accessible by the Lenders without charge; or (C) delivered to the Administrative Agent for posting on, or otherwise posted on the Parent Guarantor’s or Lessee’s behalf on, an Internet or intranet website, if any, to which the Administrative Agent and the Participants have access (whether a commercial, third-party website or whether sponsored by the Administrative Agent). Information required to be delivered pursuant to this Section 8(b) may also be delivered by electronic communications pursuant to procedures approved by the Administrative Agent.</w:t>
      </w:r>
    </w:p>
    <w:p>
      <w:pPr>
        <w:spacing w:after="0" w:line="193" w:lineRule="exact"/>
        <w:rPr>
          <w:sz w:val="20"/>
          <w:szCs w:val="20"/>
          <w:color w:val="auto"/>
        </w:rPr>
      </w:pPr>
    </w:p>
    <w:p>
      <w:pPr>
        <w:jc w:val="both"/>
        <w:ind w:firstLine="1305"/>
        <w:spacing w:after="0" w:line="293" w:lineRule="auto"/>
        <w:tabs>
          <w:tab w:leader="none" w:pos="1555"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Existence; Conduct of Business</w:t>
      </w:r>
      <w:r>
        <w:rPr>
          <w:rFonts w:ascii="Arial" w:cs="Arial" w:eastAsia="Arial" w:hAnsi="Arial"/>
          <w:sz w:val="16"/>
          <w:szCs w:val="16"/>
          <w:color w:val="auto"/>
        </w:rPr>
        <w:t>. The Parent Guarantor will, and will cause each other Subsidiary Guarantor, Lessee and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Material Subsidiaries to, (A) do or cause to be done all things necessary to preserve, renew and keep in full force and effect its legal existence and (B) take, or cause to be taken, all reasonable actions to maintain the rights, qualifications, licenses, permits, privileges, franchises, governmental authorizations and intellectual property rights material to the conduct of the business of the Parent Guarantor and its Subsidiaries taken as a whole, except, in the case of this clause (B), to the extent that failure to do so could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8(c) shall not prohibit any Permitted Restructurings, merger, consolidation, disposition, liquidation, dissolution or other transaction permitted under Section 9(c).</w:t>
      </w:r>
    </w:p>
    <w:p>
      <w:pPr>
        <w:spacing w:after="0" w:line="164" w:lineRule="exact"/>
        <w:rPr>
          <w:rFonts w:ascii="Arial" w:cs="Arial" w:eastAsia="Arial" w:hAnsi="Arial"/>
          <w:sz w:val="16"/>
          <w:szCs w:val="16"/>
          <w:color w:val="auto"/>
        </w:rPr>
      </w:pPr>
    </w:p>
    <w:p>
      <w:pPr>
        <w:jc w:val="both"/>
        <w:ind w:firstLine="1305"/>
        <w:spacing w:after="0" w:line="259" w:lineRule="auto"/>
        <w:tabs>
          <w:tab w:leader="none" w:pos="1551"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Payment of Taxes</w:t>
      </w:r>
      <w:r>
        <w:rPr>
          <w:rFonts w:ascii="Arial" w:cs="Arial" w:eastAsia="Arial" w:hAnsi="Arial"/>
          <w:sz w:val="18"/>
          <w:szCs w:val="18"/>
          <w:color w:val="auto"/>
        </w:rPr>
        <w:t>. The Parent Guarantor will, and will cause each of its Subsidiaries (including the Lessee) to, pay its Tax liabilities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if not paid, could reasonably be expected to result in a Material Adverse Effect before the same shall become delinquent or in default, except where Taxes that are being contested in good faith by appropriate proceedings and for which the Parent Guarantor and/or such Subsidiary, as applicable, has set aside on its books adequate reserves in accordance with GAAP.</w:t>
      </w:r>
    </w:p>
    <w:p>
      <w:pPr>
        <w:spacing w:after="0" w:line="186" w:lineRule="exact"/>
        <w:rPr>
          <w:rFonts w:ascii="Arial" w:cs="Arial" w:eastAsia="Arial" w:hAnsi="Arial"/>
          <w:sz w:val="18"/>
          <w:szCs w:val="18"/>
          <w:color w:val="auto"/>
        </w:rPr>
      </w:pPr>
    </w:p>
    <w:p>
      <w:pPr>
        <w:jc w:val="both"/>
        <w:ind w:firstLine="1305"/>
        <w:spacing w:after="0" w:line="273" w:lineRule="auto"/>
        <w:tabs>
          <w:tab w:leader="none" w:pos="1541"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Maintenance of Properties; Insurance</w:t>
      </w:r>
      <w:r>
        <w:rPr>
          <w:rFonts w:ascii="Arial" w:cs="Arial" w:eastAsia="Arial" w:hAnsi="Arial"/>
          <w:sz w:val="17"/>
          <w:szCs w:val="17"/>
          <w:color w:val="auto"/>
        </w:rPr>
        <w:t>. The Parent Guarantor will, and will cause each of its Subsidiaries (including the Lessee) to, (i)</w:t>
      </w:r>
      <w:r>
        <w:rPr>
          <w:rFonts w:ascii="Arial" w:cs="Arial" w:eastAsia="Arial" w:hAnsi="Arial"/>
          <w:sz w:val="17"/>
          <w:szCs w:val="17"/>
          <w:i w:val="1"/>
          <w:iCs w:val="1"/>
          <w:color w:val="auto"/>
        </w:rPr>
        <w:t xml:space="preserve"> </w:t>
      </w:r>
      <w:r>
        <w:rPr>
          <w:rFonts w:ascii="Arial" w:cs="Arial" w:eastAsia="Arial" w:hAnsi="Arial"/>
          <w:sz w:val="17"/>
          <w:szCs w:val="17"/>
          <w:color w:val="auto"/>
        </w:rPr>
        <w:t>keep and maintain all other tangible property material to the conduct of its business in good working order and condition, ordinary wear and tear and casualty excepted and except (A) pursuant to transactions permitted by Section 9(c) or (B) where the failure to do so could not reasonably be expected to result in a Material Adverse Effect, and (ii) maintain, subject to Article XIII of the Lease, in all material respects, with carriers reasonably believed by the Parent Guarantor to be financially sound and reputable insurance or through reasonable and adequate self-insurance in such amounts and against such risks and such other hazards, as is customarily maintained by companies engaged in the same or similar businesses under similar circumstances.</w:t>
      </w:r>
    </w:p>
    <w:p>
      <w:pPr>
        <w:spacing w:after="0" w:line="178" w:lineRule="exact"/>
        <w:rPr>
          <w:rFonts w:ascii="Arial" w:cs="Arial" w:eastAsia="Arial" w:hAnsi="Arial"/>
          <w:sz w:val="17"/>
          <w:szCs w:val="17"/>
          <w:color w:val="auto"/>
        </w:rPr>
      </w:pPr>
    </w:p>
    <w:p>
      <w:pPr>
        <w:jc w:val="both"/>
        <w:ind w:firstLine="1305"/>
        <w:spacing w:after="0" w:line="257" w:lineRule="auto"/>
        <w:tabs>
          <w:tab w:leader="none" w:pos="1535"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Books and Records; Inspection Rights</w:t>
      </w:r>
      <w:r>
        <w:rPr>
          <w:rFonts w:ascii="Arial" w:cs="Arial" w:eastAsia="Arial" w:hAnsi="Arial"/>
          <w:sz w:val="18"/>
          <w:szCs w:val="18"/>
          <w:color w:val="auto"/>
        </w:rPr>
        <w:t>. The Parent Guarantor will, and will cause each of its Material Subsidiaries and the Lessee to,</w:t>
      </w:r>
      <w:r>
        <w:rPr>
          <w:rFonts w:ascii="Arial" w:cs="Arial" w:eastAsia="Arial" w:hAnsi="Arial"/>
          <w:sz w:val="18"/>
          <w:szCs w:val="18"/>
          <w:i w:val="1"/>
          <w:iCs w:val="1"/>
          <w:color w:val="auto"/>
        </w:rPr>
        <w:t xml:space="preserve"> </w:t>
      </w:r>
      <w:r>
        <w:rPr>
          <w:rFonts w:ascii="Arial" w:cs="Arial" w:eastAsia="Arial" w:hAnsi="Arial"/>
          <w:sz w:val="18"/>
          <w:szCs w:val="18"/>
          <w:color w:val="auto"/>
        </w:rPr>
        <w:t>keep proper books of record and account in which full, true and correct entries in conformity in all material respects with applicable law are made of all material financial dealings and transactions in relation to its business and activities and, subject to Section 8(a)(ii), in form permitting financial statements conforming with GAAP or IFRS (as applicable) to be derived therefrom. The Parent Guarantor will, and will cause each of its Subsidiaries (including the Lessee) to, permit any representatives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53" w:name="page154"/>
    <w:bookmarkEnd w:id="153"/>
    <w:p>
      <w:pPr>
        <w:jc w:val="both"/>
        <w:spacing w:after="0" w:line="268" w:lineRule="auto"/>
        <w:rPr>
          <w:sz w:val="20"/>
          <w:szCs w:val="20"/>
          <w:color w:val="auto"/>
        </w:rPr>
      </w:pPr>
      <w:r>
        <w:rPr>
          <w:rFonts w:ascii="Arial" w:cs="Arial" w:eastAsia="Arial" w:hAnsi="Arial"/>
          <w:sz w:val="17"/>
          <w:szCs w:val="17"/>
          <w:color w:val="auto"/>
        </w:rPr>
        <w:t xml:space="preserve">designated by the Lessor and/or Administrative Agent, to visit and inspect its properties, to examine and make extracts from its books and records and to discuss its affairs, finances and condition with its Responsible Officers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Parent Guarantor or such Subsidiary is afforded the opportunity to participate in such discussion, its independent accountants, in any such case, at reasonable times during normal business hours and as often as reasonably requested upon reasonable prior written notice to the Parent Guarantor, and subject to reasonably requirements of confidentiality, including requirements imposed by law or by contract;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 long as no Event of Default has occurred and is continuing, none of the Guarantors or Lessee shall be required to reimburse the Lessor or Administrative Agent or any of their respective representatives for fees, costs and expenses in connection with the Administrative Agent’s or the Lessor’s exercise of such rights set forth in this sentence more than one time total in any calendar year. The Parent Guarantor acknowledges that, subject to Section 15.14 of the Participation Agreement, the Administrative Agent or Lessor, after exercising its rights of inspection, may prepare and distribute to the Participants certain reports pertaining to the assets of the Parent Guarantor, Lessee and/or any Subsidiary for internal use by the Administrative Agent, the Lessor and the Lenders in connection with the transactions contemplated hereby. Notwithstanding anything to the contrary in this Section 8 or any other provision of any Operative Document, neither the Parent Guarantor nor any of its Subsidiaries will be required to disclose, permit the inspection, examination or making of extracts, or discussion of, any documents, information or other matter that (1) constitutes non-financial trade secrets or non-financial proprietary information, (2) in respect of which disclosure to the Administrative Agent or any Participant (or any designated representative) is then prohibited by law, rule or regulation or any agreement binding on the Parent Guarantor or any of its Subsidiaries or (3) is subject to attorney-client or similar privilege or constitutes attorney work-product.</w:t>
      </w:r>
    </w:p>
    <w:p>
      <w:pPr>
        <w:spacing w:after="0" w:line="183" w:lineRule="exact"/>
        <w:rPr>
          <w:sz w:val="20"/>
          <w:szCs w:val="20"/>
          <w:color w:val="auto"/>
        </w:rPr>
      </w:pPr>
    </w:p>
    <w:p>
      <w:pPr>
        <w:jc w:val="both"/>
        <w:ind w:firstLine="1305"/>
        <w:spacing w:after="0" w:line="291" w:lineRule="auto"/>
        <w:tabs>
          <w:tab w:leader="none" w:pos="1565" w:val="left"/>
        </w:tabs>
        <w:numPr>
          <w:ilvl w:val="1"/>
          <w:numId w:val="125"/>
        </w:numPr>
        <w:rPr>
          <w:rFonts w:ascii="Arial" w:cs="Arial" w:eastAsia="Arial" w:hAnsi="Arial"/>
          <w:sz w:val="16"/>
          <w:szCs w:val="16"/>
          <w:color w:val="auto"/>
        </w:rPr>
      </w:pPr>
      <w:r>
        <w:rPr>
          <w:rFonts w:ascii="Arial" w:cs="Arial" w:eastAsia="Arial" w:hAnsi="Arial"/>
          <w:sz w:val="16"/>
          <w:szCs w:val="16"/>
          <w:i w:val="1"/>
          <w:iCs w:val="1"/>
          <w:color w:val="auto"/>
        </w:rPr>
        <w:t>Compliance with Laws</w:t>
      </w:r>
      <w:r>
        <w:rPr>
          <w:rFonts w:ascii="Arial" w:cs="Arial" w:eastAsia="Arial" w:hAnsi="Arial"/>
          <w:sz w:val="16"/>
          <w:szCs w:val="16"/>
          <w:color w:val="auto"/>
        </w:rPr>
        <w:t>. The Parent Guarantor will, and will cause each of its Subsidiaries (including the Lessee) to, comply with all</w:t>
      </w:r>
      <w:r>
        <w:rPr>
          <w:rFonts w:ascii="Arial" w:cs="Arial" w:eastAsia="Arial" w:hAnsi="Arial"/>
          <w:sz w:val="16"/>
          <w:szCs w:val="16"/>
          <w:i w:val="1"/>
          <w:iCs w:val="1"/>
          <w:color w:val="auto"/>
        </w:rPr>
        <w:t xml:space="preserve"> </w:t>
      </w:r>
      <w:r>
        <w:rPr>
          <w:rFonts w:ascii="Arial" w:cs="Arial" w:eastAsia="Arial" w:hAnsi="Arial"/>
          <w:sz w:val="16"/>
          <w:szCs w:val="16"/>
          <w:color w:val="auto"/>
        </w:rPr>
        <w:t>laws, rules, regulations and orders of any Governmental Authority applicable to it or its property (including without limitation Environmental Laws), except</w:t>
      </w:r>
    </w:p>
    <w:p>
      <w:pPr>
        <w:jc w:val="both"/>
        <w:ind w:firstLine="8"/>
        <w:spacing w:after="0" w:line="254" w:lineRule="auto"/>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Disclosed Matters or (ii) where the failure to do so could not reasonably be expected to result in a Material Adverse Effect. The Parent Guarantor will maintain in effect and enforce policies and is implementing and will maintain procedures reasonably designed to achieve material compliance by the Parent Guarantor, its Subsidiaries (including the Lessee) and their respective directors, officers, employees and agents with Anti-Corruption Laws and applicable Sanctions.</w:t>
      </w:r>
    </w:p>
    <w:p>
      <w:pPr>
        <w:spacing w:after="0" w:line="189" w:lineRule="exact"/>
        <w:rPr>
          <w:rFonts w:ascii="Arial" w:cs="Arial" w:eastAsia="Arial" w:hAnsi="Arial"/>
          <w:sz w:val="18"/>
          <w:szCs w:val="18"/>
          <w:color w:val="auto"/>
        </w:rPr>
      </w:pPr>
    </w:p>
    <w:p>
      <w:pPr>
        <w:jc w:val="both"/>
        <w:ind w:firstLine="1305"/>
        <w:spacing w:after="0" w:line="293" w:lineRule="auto"/>
        <w:tabs>
          <w:tab w:leader="none" w:pos="1551" w:val="left"/>
        </w:tabs>
        <w:numPr>
          <w:ilvl w:val="1"/>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Additional Subsidiary Guarantors. </w:t>
      </w:r>
      <w:r>
        <w:rPr>
          <w:rFonts w:ascii="Arial" w:cs="Arial" w:eastAsia="Arial" w:hAnsi="Arial"/>
          <w:sz w:val="16"/>
          <w:szCs w:val="16"/>
          <w:color w:val="auto"/>
        </w:rPr>
        <w:t>Within forty-five (45) days (or such later date as may be agreed upon by the Required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after which financial statements have been delivered pursuant to Section 8(a)(i) and any Person (other than the Lessee) qualifies as a Material Domestic Subsidiary pursuant to the definition of “Material Subsidiary” in accordance with the calculations in such financial statements, the Parent Guarantor shall provide the Administrative Agent with written notice thereof and shall cause each such Subsidiary to execute and deliver to the Administrative Agent the Guaranty (or a joinder thereto in the form contemplated thereby) pursuant to which such Subsidiary agrees to be bound by the terms and provisions thereof, the Guaranty (or joinder thereto) to be accompanied by requisite organizational resolutions, other organizational or constitutional documentation and legal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54" w:name="page155"/>
    <w:bookmarkEnd w:id="154"/>
    <w:p>
      <w:pPr>
        <w:jc w:val="both"/>
        <w:spacing w:after="0" w:line="297" w:lineRule="auto"/>
        <w:rPr>
          <w:sz w:val="20"/>
          <w:szCs w:val="20"/>
          <w:color w:val="auto"/>
        </w:rPr>
      </w:pPr>
      <w:r>
        <w:rPr>
          <w:rFonts w:ascii="Arial" w:cs="Arial" w:eastAsia="Arial" w:hAnsi="Arial"/>
          <w:sz w:val="16"/>
          <w:szCs w:val="16"/>
          <w:color w:val="auto"/>
        </w:rPr>
        <w:t>opinions as may be reasonably requested by the Administrative Agent (with any such opinion so requested to be in form and substance reasonably satisfactory to the Administrative Agent but, in any case, limited to the types of matters covered in any legal opinion delivered pursuant to Article VI of the Participation Agreement). Each guarantor and each borrower under the Bank Credit Agreement that is a Domestic Subsidiary (and not (x) the Lessee or (y) an Excluded Subsidiary pursuant to any of clauses (a) through (d) of the definition thereof) shall be party to this Guaranty, subject to Section 17 hereof. Notwithstanding anything to the contrary in any Operative Document, no Excluded Subsidiary shall be required to become a Subsidiary Guarantor.</w:t>
      </w:r>
    </w:p>
    <w:p>
      <w:pPr>
        <w:spacing w:after="0" w:line="158" w:lineRule="exact"/>
        <w:rPr>
          <w:sz w:val="20"/>
          <w:szCs w:val="20"/>
          <w:color w:val="auto"/>
        </w:rPr>
      </w:pPr>
    </w:p>
    <w:p>
      <w:pPr>
        <w:jc w:val="both"/>
        <w:ind w:firstLine="1305"/>
        <w:spacing w:after="0" w:line="255" w:lineRule="auto"/>
        <w:tabs>
          <w:tab w:leader="none" w:pos="1511"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proceeds of the Advance will be used only to pay for Participant Costs. No part of the proceeds of the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used, whether directly or indirectly, for any purpose that entails a violation of any of the Regulations of the F.R.S. Board, including Regulations T, U and X of the F.R.S. Board. The Parent Guarantor shall procure that its Subsidiaries (including the Lessee) and its or their respective directors, officers, employees and agents shall not use, the proceeds of the Advance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6"/>
          <w:szCs w:val="16"/>
          <w:i w:val="1"/>
          <w:iCs w:val="1"/>
          <w:color w:val="auto"/>
        </w:rPr>
        <w:t xml:space="preserve">Section 9. Guarantor Negative Covenants. </w:t>
      </w:r>
      <w:r>
        <w:rPr>
          <w:rFonts w:ascii="Arial" w:cs="Arial" w:eastAsia="Arial" w:hAnsi="Arial"/>
          <w:sz w:val="16"/>
          <w:szCs w:val="16"/>
          <w:color w:val="auto"/>
        </w:rPr>
        <w:t>The Parent Guarantor shall comply with the following covenants until all Liabilities have been paid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full:</w:t>
      </w:r>
    </w:p>
    <w:p>
      <w:pPr>
        <w:spacing w:after="0" w:line="211" w:lineRule="exact"/>
        <w:rPr>
          <w:sz w:val="20"/>
          <w:szCs w:val="20"/>
          <w:color w:val="auto"/>
        </w:rPr>
      </w:pPr>
    </w:p>
    <w:p>
      <w:pPr>
        <w:ind w:right="20" w:firstLine="1305"/>
        <w:spacing w:after="0" w:line="277" w:lineRule="auto"/>
        <w:tabs>
          <w:tab w:leader="none" w:pos="1541"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Subsidiary Indebtedness</w:t>
      </w:r>
      <w:r>
        <w:rPr>
          <w:rFonts w:ascii="Arial" w:cs="Arial" w:eastAsia="Arial" w:hAnsi="Arial"/>
          <w:sz w:val="18"/>
          <w:szCs w:val="18"/>
          <w:color w:val="auto"/>
        </w:rPr>
        <w:t>. The Parent Guarantor will not permit Lessee or any other Subsidiary to create, incur, assume or permit to exist</w:t>
      </w:r>
      <w:r>
        <w:rPr>
          <w:rFonts w:ascii="Arial" w:cs="Arial" w:eastAsia="Arial" w:hAnsi="Arial"/>
          <w:sz w:val="18"/>
          <w:szCs w:val="18"/>
          <w:i w:val="1"/>
          <w:iCs w:val="1"/>
          <w:color w:val="auto"/>
        </w:rPr>
        <w:t xml:space="preserve"> </w:t>
      </w:r>
      <w:r>
        <w:rPr>
          <w:rFonts w:ascii="Arial" w:cs="Arial" w:eastAsia="Arial" w:hAnsi="Arial"/>
          <w:sz w:val="18"/>
          <w:szCs w:val="18"/>
          <w:color w:val="auto"/>
        </w:rPr>
        <w:t>any Indebtedness, except:</w:t>
      </w:r>
    </w:p>
    <w:p>
      <w:pPr>
        <w:spacing w:after="0" w:line="170" w:lineRule="exact"/>
        <w:rPr>
          <w:rFonts w:ascii="Arial" w:cs="Arial" w:eastAsia="Arial" w:hAnsi="Arial"/>
          <w:sz w:val="18"/>
          <w:szCs w:val="18"/>
          <w:color w:val="auto"/>
        </w:rPr>
      </w:pPr>
    </w:p>
    <w:p>
      <w:pPr>
        <w:ind w:left="2160" w:hanging="207"/>
        <w:spacing w:after="0"/>
        <w:tabs>
          <w:tab w:leader="none" w:pos="21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300" w:firstLine="653"/>
        <w:spacing w:after="0" w:line="259" w:lineRule="auto"/>
        <w:tabs>
          <w:tab w:leader="none" w:pos="22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Indebtedness existing on the Restatement Date and set forth in Schedule 9(a) and amendments, modifications, extensions, refinancings, renewals and replacements of any such Indebtedness that does not increase the outstanding principal amount thereof (other than with respect to unpaid accrued interest and premium thereon, any committed or undrawn amounts and underwriting discounts, fees, commissions, premiums and expenses associated with such Indebtedness);</w:t>
      </w:r>
    </w:p>
    <w:p>
      <w:pPr>
        <w:spacing w:after="0" w:line="186" w:lineRule="exact"/>
        <w:rPr>
          <w:rFonts w:ascii="Arial" w:cs="Arial" w:eastAsia="Arial" w:hAnsi="Arial"/>
          <w:sz w:val="18"/>
          <w:szCs w:val="18"/>
          <w:color w:val="auto"/>
        </w:rPr>
      </w:pPr>
    </w:p>
    <w:p>
      <w:pPr>
        <w:ind w:left="2260" w:hanging="307"/>
        <w:spacing w:after="0"/>
        <w:tabs>
          <w:tab w:leader="none" w:pos="22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Indebtedness of any Subsidiary to the Parent Guarantor or any other Subsidiary;</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Guarantees by any Subsidiary of Indebtedness or other obligations of the Parent Guarantor or any other Subsidiary;</w:t>
      </w:r>
    </w:p>
    <w:p>
      <w:pPr>
        <w:spacing w:after="0" w:line="236" w:lineRule="exact"/>
        <w:rPr>
          <w:rFonts w:ascii="Arial" w:cs="Arial" w:eastAsia="Arial" w:hAnsi="Arial"/>
          <w:sz w:val="17"/>
          <w:szCs w:val="17"/>
          <w:color w:val="auto"/>
        </w:rPr>
      </w:pPr>
    </w:p>
    <w:p>
      <w:pPr>
        <w:ind w:left="1300" w:firstLine="653"/>
        <w:spacing w:after="0" w:line="277" w:lineRule="auto"/>
        <w:tabs>
          <w:tab w:leader="none" w:pos="221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Indebtedness of any Subsidiary incurred to finance the acquisition, construction, repair, replacement, lease or improvement of any fixed or capital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55" w:name="page156"/>
    <w:bookmarkEnd w:id="155"/>
    <w:p>
      <w:pPr>
        <w:jc w:val="both"/>
        <w:ind w:left="100"/>
        <w:spacing w:after="0" w:line="297" w:lineRule="auto"/>
        <w:rPr>
          <w:sz w:val="20"/>
          <w:szCs w:val="20"/>
          <w:color w:val="auto"/>
        </w:rPr>
      </w:pPr>
      <w:r>
        <w:rPr>
          <w:rFonts w:ascii="Arial" w:cs="Arial" w:eastAsia="Arial" w:hAnsi="Arial"/>
          <w:sz w:val="16"/>
          <w:szCs w:val="16"/>
          <w:color w:val="auto"/>
        </w:rPr>
        <w:t xml:space="preserve">assets, including Capital Lease Obligations and any Indebtedness assumed in connection with the acquisition of any such assets or secured by a Lien on any such assets prior to the acquisition thereof, and amendments, modifications, extensions, refinancings, renewals and replacements of any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Indebtedness is initially incurred prior to or within one hundred eighty (180) days after such acquisition or the completion of such construction, repair, replacement, lease or improvement and (B) the aggregate outstanding principal amount of Indebtedness permitted by this clause (v) shall not exceed $75,000,000 at any time outstanding;</w:t>
      </w:r>
    </w:p>
    <w:p>
      <w:pPr>
        <w:spacing w:after="0" w:line="158" w:lineRule="exact"/>
        <w:rPr>
          <w:sz w:val="20"/>
          <w:szCs w:val="20"/>
          <w:color w:val="auto"/>
        </w:rPr>
      </w:pPr>
    </w:p>
    <w:p>
      <w:pPr>
        <w:ind w:left="1060" w:hanging="307"/>
        <w:spacing w:after="0"/>
        <w:tabs>
          <w:tab w:leader="none" w:pos="10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Indebtedness of any Subsidiary as an account party in respect of letters of credit, bank guarantees, letters of guaranty or similar</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instruments;</w:t>
      </w:r>
    </w:p>
    <w:p>
      <w:pPr>
        <w:spacing w:after="0" w:line="210" w:lineRule="exact"/>
        <w:rPr>
          <w:rFonts w:ascii="Arial" w:cs="Arial" w:eastAsia="Arial" w:hAnsi="Arial"/>
          <w:sz w:val="16"/>
          <w:szCs w:val="16"/>
          <w:color w:val="auto"/>
        </w:rPr>
      </w:pPr>
    </w:p>
    <w:p>
      <w:pPr>
        <w:ind w:left="100" w:firstLine="653"/>
        <w:spacing w:after="0" w:line="277" w:lineRule="auto"/>
        <w:tabs>
          <w:tab w:leader="none" w:pos="111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unfunded pension fund and other employee benefit plan obligations and liabilities to the extent they are permitted to remain unfunded under applicable law;</w:t>
      </w:r>
    </w:p>
    <w:p>
      <w:pPr>
        <w:spacing w:after="0" w:line="170" w:lineRule="exact"/>
        <w:rPr>
          <w:rFonts w:ascii="Arial" w:cs="Arial" w:eastAsia="Arial" w:hAnsi="Arial"/>
          <w:sz w:val="18"/>
          <w:szCs w:val="18"/>
          <w:color w:val="auto"/>
        </w:rPr>
      </w:pPr>
    </w:p>
    <w:p>
      <w:pPr>
        <w:ind w:left="1160" w:hanging="40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incurred in the ordinary course of business;</w:t>
      </w:r>
    </w:p>
    <w:p>
      <w:pPr>
        <w:spacing w:after="0" w:line="225" w:lineRule="exact"/>
        <w:rPr>
          <w:rFonts w:ascii="Arial" w:cs="Arial" w:eastAsia="Arial" w:hAnsi="Arial"/>
          <w:sz w:val="18"/>
          <w:szCs w:val="18"/>
          <w:color w:val="auto"/>
        </w:rPr>
      </w:pPr>
    </w:p>
    <w:p>
      <w:pPr>
        <w:ind w:left="100" w:firstLine="653"/>
        <w:spacing w:after="0" w:line="277" w:lineRule="auto"/>
        <w:tabs>
          <w:tab w:leader="none" w:pos="10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Guarantees, surety bonds or performance bonds securing the performance of any Subsidiary, in each case incurred or assumed in connection with an Acquisition or disposition or other acquisition of assets not prohibited hereunder;</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00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Indebtedness of any Subsidiary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pacing w:after="0" w:line="181" w:lineRule="exact"/>
        <w:rPr>
          <w:rFonts w:ascii="Arial" w:cs="Arial" w:eastAsia="Arial" w:hAnsi="Arial"/>
          <w:sz w:val="18"/>
          <w:szCs w:val="18"/>
          <w:color w:val="auto"/>
        </w:rPr>
      </w:pPr>
    </w:p>
    <w:p>
      <w:pPr>
        <w:jc w:val="both"/>
        <w:ind w:left="100" w:firstLine="653"/>
        <w:spacing w:after="0" w:line="312" w:lineRule="auto"/>
        <w:tabs>
          <w:tab w:leader="none" w:pos="106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Indebtedness arising from the honoring by a bank or other financial institution of a check, draft or similar instrument drawn against insufficient funds in the ordinary course of business or otherwise in respect of any netting services, overdrafts and related liabilities arising from treasury, depository and cash management services or in connection with any automated clearing-house transfers of funds;</w:t>
      </w:r>
    </w:p>
    <w:p>
      <w:pPr>
        <w:spacing w:after="0" w:line="146" w:lineRule="exact"/>
        <w:rPr>
          <w:rFonts w:ascii="Arial" w:cs="Arial" w:eastAsia="Arial" w:hAnsi="Arial"/>
          <w:sz w:val="16"/>
          <w:szCs w:val="16"/>
          <w:color w:val="auto"/>
        </w:rPr>
      </w:pPr>
    </w:p>
    <w:p>
      <w:pPr>
        <w:ind w:left="1100" w:hanging="347"/>
        <w:spacing w:after="0"/>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Indebtedness in respect to judgments or awards under circumstances not giving rise to an Event of Default;</w:t>
      </w:r>
    </w:p>
    <w:p>
      <w:pPr>
        <w:spacing w:after="0" w:line="225" w:lineRule="exact"/>
        <w:rPr>
          <w:rFonts w:ascii="Arial" w:cs="Arial" w:eastAsia="Arial" w:hAnsi="Arial"/>
          <w:sz w:val="18"/>
          <w:szCs w:val="18"/>
          <w:color w:val="auto"/>
        </w:rPr>
      </w:pPr>
    </w:p>
    <w:p>
      <w:pPr>
        <w:ind w:left="1160" w:hanging="40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Indebtedness in respect of obligations that are being contested in accordance with Section 8(d);</w:t>
      </w:r>
    </w:p>
    <w:p>
      <w:pPr>
        <w:spacing w:after="0" w:line="225" w:lineRule="exact"/>
        <w:rPr>
          <w:rFonts w:ascii="Arial" w:cs="Arial" w:eastAsia="Arial" w:hAnsi="Arial"/>
          <w:sz w:val="18"/>
          <w:szCs w:val="18"/>
          <w:color w:val="auto"/>
        </w:rPr>
      </w:pPr>
    </w:p>
    <w:p>
      <w:pPr>
        <w:ind w:left="100" w:firstLine="653"/>
        <w:spacing w:after="0" w:line="277" w:lineRule="auto"/>
        <w:tabs>
          <w:tab w:leader="none" w:pos="116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Indebtedness consisting of (A) deferred payments or financing of insurance premiums incurred in the ordinary course of business of any Subsidiary</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156" w:name="page157"/>
    <w:bookmarkEnd w:id="156"/>
    <w:p>
      <w:pPr>
        <w:ind w:left="100"/>
        <w:spacing w:after="0"/>
        <w:rPr>
          <w:sz w:val="20"/>
          <w:szCs w:val="20"/>
          <w:color w:val="auto"/>
        </w:rPr>
      </w:pPr>
      <w:r>
        <w:rPr>
          <w:rFonts w:ascii="Arial" w:cs="Arial" w:eastAsia="Arial" w:hAnsi="Arial"/>
          <w:sz w:val="18"/>
          <w:szCs w:val="18"/>
          <w:color w:val="auto"/>
        </w:rPr>
        <w:t>and (B) take or pay obligations contained in any supply agreement entered into in the ordinary course of business;</w:t>
      </w:r>
    </w:p>
    <w:p>
      <w:pPr>
        <w:spacing w:after="0" w:line="225" w:lineRule="exact"/>
        <w:rPr>
          <w:sz w:val="20"/>
          <w:szCs w:val="20"/>
          <w:color w:val="auto"/>
        </w:rPr>
      </w:pPr>
    </w:p>
    <w:p>
      <w:pPr>
        <w:jc w:val="both"/>
        <w:ind w:left="100" w:firstLine="653"/>
        <w:spacing w:after="0" w:line="264" w:lineRule="auto"/>
        <w:tabs>
          <w:tab w:leader="none" w:pos="113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Indebtedness representing deferred compensation, severance, pension, and health and welfare retirement benefits or the equivalent to current and former employees of the Parent Guarantor or any Subsidiary incurred in the ordinary course of business or existing on the Restatement Date;</w:t>
      </w:r>
    </w:p>
    <w:p>
      <w:pPr>
        <w:spacing w:after="0" w:line="181" w:lineRule="exact"/>
        <w:rPr>
          <w:rFonts w:ascii="Arial" w:cs="Arial" w:eastAsia="Arial" w:hAnsi="Arial"/>
          <w:sz w:val="18"/>
          <w:szCs w:val="18"/>
          <w:color w:val="auto"/>
        </w:rPr>
      </w:pPr>
    </w:p>
    <w:p>
      <w:pPr>
        <w:ind w:left="100" w:firstLine="653"/>
        <w:spacing w:after="0" w:line="277" w:lineRule="auto"/>
        <w:tabs>
          <w:tab w:leader="none" w:pos="116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customer advances or deposits or other endorsements for collection, deposit or negotiation and warranties of products or services, in each case received or incurred in the ordinary course of business;</w:t>
      </w:r>
    </w:p>
    <w:p>
      <w:pPr>
        <w:spacing w:after="0" w:line="170" w:lineRule="exact"/>
        <w:rPr>
          <w:rFonts w:ascii="Arial" w:cs="Arial" w:eastAsia="Arial" w:hAnsi="Arial"/>
          <w:sz w:val="18"/>
          <w:szCs w:val="18"/>
          <w:color w:val="auto"/>
        </w:rPr>
      </w:pPr>
    </w:p>
    <w:p>
      <w:pPr>
        <w:jc w:val="both"/>
        <w:ind w:left="100" w:firstLine="653"/>
        <w:spacing w:after="0" w:line="273" w:lineRule="auto"/>
        <w:tabs>
          <w:tab w:leader="none" w:pos="12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Priority Indebtedness of any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after giving effect to the incurrence of any such Priority Indebtedness in reliance on this clause (xvii), the sum of (without duplication) (i) the aggregate principal amount of all such Priority Indebtedness outstanding in reliance on this clause (xvii),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aggregate principal amount of Indebtedness and other obligations of the Parent Guarantor and its Subsidiaries secured by Liens in reliance on Section 9(b)(xix)(B) 9(b)(xix)(C), shall not exceed fifteen percent (15%) of the Parent Guarantor’s Consolidated Net Worth (determined as of the last day of the most recent fiscal quarter for which financial statements shall have been delivered pursuant to Section 8(a)(i) or Section 8(a)(ii);</w:t>
      </w:r>
    </w:p>
    <w:p>
      <w:pPr>
        <w:spacing w:after="0" w:line="178" w:lineRule="exact"/>
        <w:rPr>
          <w:rFonts w:ascii="Arial" w:cs="Arial" w:eastAsia="Arial" w:hAnsi="Arial"/>
          <w:sz w:val="17"/>
          <w:szCs w:val="17"/>
          <w:color w:val="auto"/>
        </w:rPr>
      </w:pPr>
    </w:p>
    <w:p>
      <w:pPr>
        <w:jc w:val="both"/>
        <w:ind w:left="100" w:firstLine="653"/>
        <w:spacing w:after="0" w:line="264" w:lineRule="auto"/>
        <w:tabs>
          <w:tab w:leader="none" w:pos="125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unsecured Indebtedness of the Lessee or any other Subsidiary so long as at the time of and immediately after giving effect on a pro forma basis to the incurrence of such Indebtedness (A) no Event of Default shall have occurred and be continuing and (B) the Parent Guarantor shall be in compliance with the financial covenants set forth in Sections 9(f) and (g);</w:t>
      </w:r>
    </w:p>
    <w:p>
      <w:pPr>
        <w:spacing w:after="0" w:line="181" w:lineRule="exact"/>
        <w:rPr>
          <w:rFonts w:ascii="Arial" w:cs="Arial" w:eastAsia="Arial" w:hAnsi="Arial"/>
          <w:sz w:val="18"/>
          <w:szCs w:val="18"/>
          <w:color w:val="auto"/>
        </w:rPr>
      </w:pPr>
    </w:p>
    <w:p>
      <w:pPr>
        <w:ind w:left="1140" w:hanging="387"/>
        <w:spacing w:after="0"/>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 Indebtedness in an aggregate outstanding principal amount not to exceed $75,000,000;</w:t>
      </w:r>
    </w:p>
    <w:p>
      <w:pPr>
        <w:spacing w:after="0" w:line="225" w:lineRule="exact"/>
        <w:rPr>
          <w:rFonts w:ascii="Arial" w:cs="Arial" w:eastAsia="Arial" w:hAnsi="Arial"/>
          <w:sz w:val="18"/>
          <w:szCs w:val="18"/>
          <w:color w:val="auto"/>
        </w:rPr>
      </w:pPr>
    </w:p>
    <w:p>
      <w:pPr>
        <w:jc w:val="both"/>
        <w:ind w:left="100" w:firstLine="653"/>
        <w:spacing w:after="0" w:line="257" w:lineRule="auto"/>
        <w:tabs>
          <w:tab w:leader="none" w:pos="11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Indebtedness assumed by any Subsidiary in connection with any Acquisition or other acquisition of any property or assets or Indebtedness of any Person that becomes a Subsidiary after the Restatement Date in a transaction not prohibited hereby, and amendments, modifications, extensions, refinancings, renewals and replacements of any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is not incurred in contemplation of such acquisition and (B) the aggregate outstanding principal amount of such Indebtedness does not exceed $200,000,000;</w:t>
      </w:r>
    </w:p>
    <w:p>
      <w:pPr>
        <w:spacing w:after="0" w:line="188" w:lineRule="exact"/>
        <w:rPr>
          <w:rFonts w:ascii="Arial" w:cs="Arial" w:eastAsia="Arial" w:hAnsi="Arial"/>
          <w:sz w:val="18"/>
          <w:szCs w:val="18"/>
          <w:color w:val="auto"/>
        </w:rPr>
      </w:pPr>
    </w:p>
    <w:p>
      <w:pPr>
        <w:jc w:val="both"/>
        <w:ind w:left="100" w:firstLine="653"/>
        <w:spacing w:after="0" w:line="286" w:lineRule="auto"/>
        <w:tabs>
          <w:tab w:leader="none" w:pos="116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“Obligations” (as defined in the Bank Credit Agreement) in an aggregate principal amount of up to $1,000,000,000, including any additional “Commitments” and/or “Incremental Term Loans” (as such terms are defined therein) pursuant to Section 2.20 of the Bank Credit Agreement, any “Specified Ancillary Obligations” or other defined term of similar import (as defined in the</w:t>
      </w:r>
    </w:p>
    <w:p>
      <w:pPr>
        <w:spacing w:after="0" w:line="13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157" w:name="page158"/>
    <w:bookmarkEnd w:id="157"/>
    <w:p>
      <w:pPr>
        <w:jc w:val="both"/>
        <w:ind w:left="1300"/>
        <w:spacing w:after="0" w:line="297" w:lineRule="auto"/>
        <w:rPr>
          <w:sz w:val="20"/>
          <w:szCs w:val="20"/>
          <w:color w:val="auto"/>
        </w:rPr>
      </w:pPr>
      <w:r>
        <w:rPr>
          <w:rFonts w:ascii="Arial" w:cs="Arial" w:eastAsia="Arial" w:hAnsi="Arial"/>
          <w:sz w:val="16"/>
          <w:szCs w:val="16"/>
          <w:color w:val="auto"/>
        </w:rPr>
        <w:t>Bank Credit Agreement), and any amendments, modifications, extensions, refinancings, renewals and replacements of any such Indebtedness to the extent not resulting in the aggregate principal amount of all Indebtedness outstanding at any time pursuant to this Section 9(a)(xxi) exceeding $1,000,000,000 (other than with respect to increases pursuant to any such amendment, modification, extension, refinancing, renewal and/or replacement on account of unpaid accrued interest and premium on such Indebtedness, any committed or undrawn amounts and underwriting discounts, fees, commissions, premiums and expenses associated with such Indebtedness);</w:t>
      </w:r>
    </w:p>
    <w:p>
      <w:pPr>
        <w:spacing w:after="0" w:line="158" w:lineRule="exact"/>
        <w:rPr>
          <w:sz w:val="20"/>
          <w:szCs w:val="20"/>
          <w:color w:val="auto"/>
        </w:rPr>
      </w:pPr>
    </w:p>
    <w:p>
      <w:pPr>
        <w:ind w:left="1300" w:firstLine="653"/>
        <w:spacing w:after="0" w:line="277" w:lineRule="auto"/>
        <w:tabs>
          <w:tab w:leader="none" w:pos="241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Indebtedness of the Lessee or any Subsidiary incurred to develop Permitted Developed Areas, Undeveloped Areas and/or Permitted Development Projects; and</w:t>
      </w:r>
    </w:p>
    <w:p>
      <w:pPr>
        <w:spacing w:after="0" w:line="170" w:lineRule="exact"/>
        <w:rPr>
          <w:rFonts w:ascii="Arial" w:cs="Arial" w:eastAsia="Arial" w:hAnsi="Arial"/>
          <w:sz w:val="18"/>
          <w:szCs w:val="18"/>
          <w:color w:val="auto"/>
        </w:rPr>
      </w:pPr>
    </w:p>
    <w:p>
      <w:pPr>
        <w:jc w:val="both"/>
        <w:ind w:left="1300" w:firstLine="653"/>
        <w:spacing w:after="0" w:line="302" w:lineRule="auto"/>
        <w:tabs>
          <w:tab w:leader="none" w:pos="2446" w:val="left"/>
        </w:tabs>
        <w:numPr>
          <w:ilvl w:val="1"/>
          <w:numId w:val="131"/>
        </w:numPr>
        <w:rPr>
          <w:rFonts w:ascii="Arial" w:cs="Arial" w:eastAsia="Arial" w:hAnsi="Arial"/>
          <w:sz w:val="16"/>
          <w:szCs w:val="16"/>
          <w:color w:val="auto"/>
        </w:rPr>
      </w:pPr>
      <w:r>
        <w:rPr>
          <w:rFonts w:ascii="Arial" w:cs="Arial" w:eastAsia="Arial" w:hAnsi="Arial"/>
          <w:sz w:val="16"/>
          <w:szCs w:val="16"/>
          <w:color w:val="auto"/>
        </w:rPr>
        <w:t>liabilities incurred in the ordinary course of business relating to the ownership and operation of the Leased Property and the routine administration of Lessee, in amounts not to exceed six percent (6%) of the principal balance of the Loans, which liabilities are not more than sixty (60) days past the date invoiced (unless being contested in good faith in accordance with the terms of this Guaranty and the other Operative Documents), are not evidenced by a note, and which amounts are normal and reasonable under the circumstance.</w:t>
      </w:r>
    </w:p>
    <w:p>
      <w:pPr>
        <w:spacing w:after="0" w:line="154" w:lineRule="exact"/>
        <w:rPr>
          <w:rFonts w:ascii="Arial" w:cs="Arial" w:eastAsia="Arial" w:hAnsi="Arial"/>
          <w:sz w:val="16"/>
          <w:szCs w:val="16"/>
          <w:color w:val="auto"/>
        </w:rPr>
      </w:pPr>
    </w:p>
    <w:p>
      <w:pPr>
        <w:ind w:firstLine="1305"/>
        <w:spacing w:after="0" w:line="308" w:lineRule="auto"/>
        <w:tabs>
          <w:tab w:leader="none" w:pos="1551"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Liens</w:t>
      </w:r>
      <w:r>
        <w:rPr>
          <w:rFonts w:ascii="Arial" w:cs="Arial" w:eastAsia="Arial" w:hAnsi="Arial"/>
          <w:sz w:val="17"/>
          <w:szCs w:val="17"/>
          <w:color w:val="auto"/>
        </w:rPr>
        <w:t>. The Parent Guarantor will not, and will not permit Lessee or any other Subsidiary to, create, incur, assume or permit to exist any</w:t>
      </w:r>
      <w:r>
        <w:rPr>
          <w:rFonts w:ascii="Arial" w:cs="Arial" w:eastAsia="Arial" w:hAnsi="Arial"/>
          <w:sz w:val="17"/>
          <w:szCs w:val="17"/>
          <w:i w:val="1"/>
          <w:iCs w:val="1"/>
          <w:color w:val="auto"/>
        </w:rPr>
        <w:t xml:space="preserve"> </w:t>
      </w:r>
      <w:r>
        <w:rPr>
          <w:rFonts w:ascii="Arial" w:cs="Arial" w:eastAsia="Arial" w:hAnsi="Arial"/>
          <w:sz w:val="17"/>
          <w:szCs w:val="17"/>
          <w:color w:val="auto"/>
        </w:rPr>
        <w:t>Lien on (y) the Leased Property other than Permitted Liens or (z) any other property or asset now owned or hereafter acquired by it except:</w:t>
      </w:r>
    </w:p>
    <w:p>
      <w:pPr>
        <w:spacing w:after="0" w:line="146" w:lineRule="exact"/>
        <w:rPr>
          <w:rFonts w:ascii="Arial" w:cs="Arial" w:eastAsia="Arial" w:hAnsi="Arial"/>
          <w:sz w:val="17"/>
          <w:szCs w:val="17"/>
          <w:color w:val="auto"/>
        </w:rPr>
      </w:pPr>
    </w:p>
    <w:p>
      <w:pPr>
        <w:ind w:left="2160" w:hanging="207"/>
        <w:spacing w:after="0"/>
        <w:tabs>
          <w:tab w:leader="none" w:pos="216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Liens (if any) created pursuant to any Operative Document including with respect to any obligation to provide cash collateral;</w:t>
      </w:r>
    </w:p>
    <w:p>
      <w:pPr>
        <w:spacing w:after="0" w:line="248" w:lineRule="exact"/>
        <w:rPr>
          <w:rFonts w:ascii="Arial" w:cs="Arial" w:eastAsia="Arial" w:hAnsi="Arial"/>
          <w:sz w:val="16"/>
          <w:szCs w:val="16"/>
          <w:color w:val="auto"/>
        </w:rPr>
      </w:pPr>
    </w:p>
    <w:p>
      <w:pPr>
        <w:ind w:left="2220" w:hanging="267"/>
        <w:spacing w:after="0"/>
        <w:tabs>
          <w:tab w:leader="none" w:pos="22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Permitted Encumbrances and Permitted Liens;</w:t>
      </w:r>
    </w:p>
    <w:p>
      <w:pPr>
        <w:spacing w:after="0" w:line="225" w:lineRule="exact"/>
        <w:rPr>
          <w:rFonts w:ascii="Arial" w:cs="Arial" w:eastAsia="Arial" w:hAnsi="Arial"/>
          <w:sz w:val="18"/>
          <w:szCs w:val="18"/>
          <w:color w:val="auto"/>
        </w:rPr>
      </w:pPr>
    </w:p>
    <w:p>
      <w:pPr>
        <w:jc w:val="both"/>
        <w:ind w:left="1300" w:firstLine="653"/>
        <w:spacing w:after="0" w:line="290" w:lineRule="auto"/>
        <w:tabs>
          <w:tab w:leader="none" w:pos="2268"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Parent Guarantor or any Subsidiary existing on the Restatement Date and set forth in Schedule 9(b) and any amendments, modifications, extensions, renewals, refinancings and replacements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Lien shall not apply to any other property or asset of the Parent Guarantor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(2) the amount secured or benefited thereby is not increased (other than as not otherwise prohibited by this Guaranty) and amendments, modifications, extensions, refinancings, renewals and replacements thereof that do not increase the outstanding principal amount thereof (other than as not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58" w:name="page159"/>
    <w:bookmarkEnd w:id="158"/>
    <w:p>
      <w:pPr>
        <w:ind w:left="100"/>
        <w:spacing w:after="0"/>
        <w:rPr>
          <w:sz w:val="20"/>
          <w:szCs w:val="20"/>
          <w:color w:val="auto"/>
        </w:rPr>
      </w:pPr>
      <w:r>
        <w:rPr>
          <w:rFonts w:ascii="Arial" w:cs="Arial" w:eastAsia="Arial" w:hAnsi="Arial"/>
          <w:sz w:val="18"/>
          <w:szCs w:val="18"/>
          <w:color w:val="auto"/>
        </w:rPr>
        <w:t>otherwise prohibited by this Guaranty);</w:t>
      </w:r>
    </w:p>
    <w:p>
      <w:pPr>
        <w:spacing w:after="0" w:line="225" w:lineRule="exact"/>
        <w:rPr>
          <w:sz w:val="20"/>
          <w:szCs w:val="20"/>
          <w:color w:val="auto"/>
        </w:rPr>
      </w:pPr>
    </w:p>
    <w:p>
      <w:pPr>
        <w:jc w:val="both"/>
        <w:ind w:left="100" w:firstLine="653"/>
        <w:spacing w:after="0" w:line="287" w:lineRule="auto"/>
        <w:tabs>
          <w:tab w:leader="none" w:pos="105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the Parent Guarantor or any Subsidiary or existing on any property or asset of any Person that becomes a Subsidiary after the Restatement Date prior to the time such Person becomes a Subsidiary or existing on any asset of any Person existing at the time such Person is merged into or consolidated with the Parent Guarantor or a Subsidiary and any amendments, modifications, extensions, renewals and replacements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Lien is not created in contemplation of or in connection with such acquisition or such Person becoming a Subsidiary, as the case may be, (2) such Lien shall not apply to any other property or assets of the Parent Guarantor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(3) such Lien shall secure only those obligations which it secures on the date of such acquisition or the date such Person becomes a Subsidiary or the date of such merger or consolidation, as the case may be, and amendments, modifications, extensions, refinancings, renewals and replacements thereof that do not increase the outstanding principal amount thereof (other than as not prohibited by this Guaranty);</w:t>
      </w:r>
    </w:p>
    <w:p>
      <w:pPr>
        <w:spacing w:after="0" w:line="168" w:lineRule="exact"/>
        <w:rPr>
          <w:rFonts w:ascii="Arial" w:cs="Arial" w:eastAsia="Arial" w:hAnsi="Arial"/>
          <w:sz w:val="16"/>
          <w:szCs w:val="16"/>
          <w:color w:val="auto"/>
        </w:rPr>
      </w:pPr>
    </w:p>
    <w:p>
      <w:pPr>
        <w:jc w:val="both"/>
        <w:ind w:left="100" w:firstLine="653"/>
        <w:spacing w:after="0" w:line="289" w:lineRule="auto"/>
        <w:tabs>
          <w:tab w:leader="none" w:pos="101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Liens on assets (including capital leases) acquired (including as a replacement), constructed, repaired, leased or improved by the Parent Guarantor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Liens secure Indebtedness or Capital Lease Obligations of the Parent Guarantor or any Subsidiary permitted by Section 9(a)(v) (or, in the case of the Parent Guarantor, that would have been permitted by Section 9(a)(v) had such Indebtedness or Capital Lease Obligations instead been incurred by a Subsidiary), (B) such Liens and the Indebtedness secured thereby are initially incurred prior to or within one hundred eighty (180) days after such acquisition or lease or the completion of such construction, replacement, repair or improvement and (C) such Liens shall not apply to any other property or assets of the Parent Guarantor or any Subsidiary other than improvements thereon, replacements and products thereof, additions and accessions thereto or proceeds thereof and customary security deposits;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individual financings of equipment provided by one lender (or a syndicate of lenders) may be cross-collateralized to other financings of equipment provided by such lender (or syndicate);</w:t>
      </w:r>
    </w:p>
    <w:p>
      <w:pPr>
        <w:spacing w:after="0" w:line="166" w:lineRule="exact"/>
        <w:rPr>
          <w:rFonts w:ascii="Arial" w:cs="Arial" w:eastAsia="Arial" w:hAnsi="Arial"/>
          <w:sz w:val="16"/>
          <w:szCs w:val="16"/>
          <w:color w:val="auto"/>
        </w:rPr>
      </w:pPr>
    </w:p>
    <w:p>
      <w:pPr>
        <w:jc w:val="both"/>
        <w:ind w:left="100" w:firstLine="653"/>
        <w:spacing w:after="0" w:line="286" w:lineRule="auto"/>
        <w:tabs>
          <w:tab w:leader="none" w:pos="1069" w:val="left"/>
        </w:tabs>
        <w:numPr>
          <w:ilvl w:val="0"/>
          <w:numId w:val="133"/>
        </w:numPr>
        <w:rPr>
          <w:rFonts w:ascii="Arial" w:cs="Arial" w:eastAsia="Arial" w:hAnsi="Arial"/>
          <w:sz w:val="17"/>
          <w:szCs w:val="17"/>
          <w:color w:val="auto"/>
        </w:rPr>
      </w:pPr>
      <w:r>
        <w:rPr>
          <w:rFonts w:ascii="Arial" w:cs="Arial" w:eastAsia="Arial" w:hAnsi="Arial"/>
          <w:sz w:val="17"/>
          <w:szCs w:val="17"/>
          <w:color w:val="auto"/>
        </w:rPr>
        <w:t>Liens granted by (i) a Subsidiary that is not a Subsidiary Guarantor in favor of the Parent Guarantor, the Lessee or another Subsidiary in respect of Indebtedness or other obligations owed by such Subsidiary to the Parent Guarantor, the Lessee or such other Subsidiary and (ii) Lessee, a Guarantor or a Bank Credit Agreement Specified Loan Party in favor of another Guarantor,</w:t>
      </w:r>
    </w:p>
    <w:p>
      <w:pPr>
        <w:spacing w:after="0" w:line="13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159" w:name="page160"/>
    <w:bookmarkEnd w:id="159"/>
    <w:p>
      <w:pPr>
        <w:jc w:val="both"/>
        <w:ind w:left="100"/>
        <w:spacing w:after="0" w:line="264" w:lineRule="auto"/>
        <w:rPr>
          <w:sz w:val="20"/>
          <w:szCs w:val="20"/>
          <w:color w:val="auto"/>
        </w:rPr>
      </w:pPr>
      <w:r>
        <w:rPr>
          <w:rFonts w:ascii="Arial" w:cs="Arial" w:eastAsia="Arial" w:hAnsi="Arial"/>
          <w:sz w:val="18"/>
          <w:szCs w:val="18"/>
          <w:color w:val="auto"/>
        </w:rPr>
        <w:t>another Bank Credit Agreement Specified Loan Party or Lessee in respect of Indebtedness or other obligations owed by Lessee, such Guarantor or such Bank Credit Agreement Specified Loan Party to such other Guarantor, such other Bank Credit Agreement Specified Loan Party or Lessee;</w:t>
      </w:r>
    </w:p>
    <w:p>
      <w:pPr>
        <w:spacing w:after="0" w:line="181" w:lineRule="exact"/>
        <w:rPr>
          <w:sz w:val="20"/>
          <w:szCs w:val="20"/>
          <w:color w:val="auto"/>
        </w:rPr>
      </w:pPr>
    </w:p>
    <w:p>
      <w:pPr>
        <w:ind w:left="100" w:firstLine="653"/>
        <w:spacing w:after="0" w:line="277" w:lineRule="auto"/>
        <w:tabs>
          <w:tab w:leader="none" w:pos="112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arising out of any conditional sale, title retention, consignment or other similar arrangements for the sale of goods entered into by the Parent Guarantor or any of its Subsidiaries the ordinary course of business;</w:t>
      </w:r>
    </w:p>
    <w:p>
      <w:pPr>
        <w:spacing w:after="0" w:line="170" w:lineRule="exact"/>
        <w:rPr>
          <w:rFonts w:ascii="Arial" w:cs="Arial" w:eastAsia="Arial" w:hAnsi="Arial"/>
          <w:sz w:val="18"/>
          <w:szCs w:val="18"/>
          <w:color w:val="auto"/>
        </w:rPr>
      </w:pPr>
    </w:p>
    <w:p>
      <w:pPr>
        <w:ind w:left="1160" w:hanging="40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securing the financing of insurance premiums solely to the extent of such premiums;</w:t>
      </w:r>
    </w:p>
    <w:p>
      <w:pPr>
        <w:spacing w:after="0" w:line="225" w:lineRule="exact"/>
        <w:rPr>
          <w:rFonts w:ascii="Arial" w:cs="Arial" w:eastAsia="Arial" w:hAnsi="Arial"/>
          <w:sz w:val="18"/>
          <w:szCs w:val="18"/>
          <w:color w:val="auto"/>
        </w:rPr>
      </w:pPr>
    </w:p>
    <w:p>
      <w:pPr>
        <w:jc w:val="both"/>
        <w:ind w:left="100" w:firstLine="653"/>
        <w:spacing w:after="0" w:line="279" w:lineRule="auto"/>
        <w:tabs>
          <w:tab w:leader="none" w:pos="105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71" w:lineRule="exact"/>
        <w:rPr>
          <w:rFonts w:ascii="Arial" w:cs="Arial" w:eastAsia="Arial" w:hAnsi="Arial"/>
          <w:sz w:val="17"/>
          <w:szCs w:val="17"/>
          <w:color w:val="auto"/>
        </w:rPr>
      </w:pPr>
    </w:p>
    <w:p>
      <w:pPr>
        <w:ind w:left="100" w:firstLine="653"/>
        <w:spacing w:after="0" w:line="277" w:lineRule="auto"/>
        <w:tabs>
          <w:tab w:leader="none" w:pos="100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07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on any cash earnest money deposits made by the Parent Guarantor or any of its Subsidiaries in connection with an Acquisition or other investment not prohibited hereunder, including, without limitation, in connection with any letter of intent or purchase agreement relating thereto;</w:t>
      </w:r>
    </w:p>
    <w:p>
      <w:pPr>
        <w:spacing w:after="0" w:line="181" w:lineRule="exact"/>
        <w:rPr>
          <w:rFonts w:ascii="Arial" w:cs="Arial" w:eastAsia="Arial" w:hAnsi="Arial"/>
          <w:sz w:val="18"/>
          <w:szCs w:val="18"/>
          <w:color w:val="auto"/>
        </w:rPr>
      </w:pPr>
    </w:p>
    <w:p>
      <w:pPr>
        <w:ind w:left="100" w:firstLine="653"/>
        <w:spacing w:after="0" w:line="277" w:lineRule="auto"/>
        <w:tabs>
          <w:tab w:leader="none" w:pos="110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in connection with the sale or transfer of any assets in a transaction permitted under Section 9(c), customary rights and restrictions contained in agreements relating to such sale or transfer pending the completion thereof;</w:t>
      </w:r>
    </w:p>
    <w:p>
      <w:pPr>
        <w:spacing w:after="0" w:line="170" w:lineRule="exact"/>
        <w:rPr>
          <w:rFonts w:ascii="Arial" w:cs="Arial" w:eastAsia="Arial" w:hAnsi="Arial"/>
          <w:sz w:val="18"/>
          <w:szCs w:val="18"/>
          <w:color w:val="auto"/>
        </w:rPr>
      </w:pPr>
    </w:p>
    <w:p>
      <w:pPr>
        <w:ind w:left="100" w:right="20" w:firstLine="653"/>
        <w:spacing w:after="0" w:line="342" w:lineRule="auto"/>
        <w:tabs>
          <w:tab w:leader="none" w:pos="115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Liens in the nature of the right of setoff in favor of counterparties to contractual agreements with the Parent Guarantor or any Subsidiary (A) in the ordinary course of business or (B) not otherwise prohibited hereunder other than in connection with Indebtedness;</w:t>
      </w:r>
    </w:p>
    <w:p>
      <w:pPr>
        <w:spacing w:after="0" w:line="123" w:lineRule="exact"/>
        <w:rPr>
          <w:rFonts w:ascii="Arial" w:cs="Arial" w:eastAsia="Arial" w:hAnsi="Arial"/>
          <w:sz w:val="16"/>
          <w:szCs w:val="16"/>
          <w:color w:val="auto"/>
        </w:rPr>
      </w:pPr>
    </w:p>
    <w:p>
      <w:pPr>
        <w:ind w:left="1140" w:hanging="387"/>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dispositions and other sales of assets permitted under Section 9(c);</w:t>
      </w:r>
    </w:p>
    <w:p>
      <w:pPr>
        <w:spacing w:after="0" w:line="225" w:lineRule="exact"/>
        <w:rPr>
          <w:rFonts w:ascii="Arial" w:cs="Arial" w:eastAsia="Arial" w:hAnsi="Arial"/>
          <w:sz w:val="18"/>
          <w:szCs w:val="18"/>
          <w:color w:val="auto"/>
        </w:rPr>
      </w:pPr>
    </w:p>
    <w:p>
      <w:pPr>
        <w:ind w:left="100" w:firstLine="653"/>
        <w:spacing w:after="0" w:line="277" w:lineRule="auto"/>
        <w:tabs>
          <w:tab w:leader="none" w:pos="109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the extent constituting a Lien, Liens with respect to repurchase obligations in the ordinary course of business in connection with the cash management activities of the Parent Guarantor or any Subsidiary;</w:t>
      </w:r>
    </w:p>
    <w:p>
      <w:pPr>
        <w:spacing w:after="0" w:line="170" w:lineRule="exact"/>
        <w:rPr>
          <w:rFonts w:ascii="Arial" w:cs="Arial" w:eastAsia="Arial" w:hAnsi="Arial"/>
          <w:sz w:val="18"/>
          <w:szCs w:val="18"/>
          <w:color w:val="auto"/>
        </w:rPr>
      </w:pPr>
    </w:p>
    <w:p>
      <w:pPr>
        <w:ind w:left="1140" w:hanging="387"/>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that are contractual rights of set-off (A) relating to the</w:t>
      </w:r>
    </w:p>
    <w:p>
      <w:pPr>
        <w:spacing w:after="0" w:line="1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160" w:name="page161"/>
    <w:bookmarkEnd w:id="160"/>
    <w:p>
      <w:pPr>
        <w:ind w:left="100"/>
        <w:spacing w:after="0"/>
        <w:rPr>
          <w:sz w:val="20"/>
          <w:szCs w:val="20"/>
          <w:color w:val="auto"/>
        </w:rPr>
      </w:pPr>
      <w:r>
        <w:rPr>
          <w:rFonts w:ascii="Arial" w:cs="Arial" w:eastAsia="Arial" w:hAnsi="Arial"/>
          <w:sz w:val="16"/>
          <w:szCs w:val="16"/>
          <w:color w:val="auto"/>
        </w:rPr>
        <w:t>establishment of depositary relations with banks or other financial institutions not given in connection with the issuance of Indebtedness or</w:t>
      </w:r>
    </w:p>
    <w:p>
      <w:pPr>
        <w:spacing w:after="0" w:line="46" w:lineRule="exact"/>
        <w:rPr>
          <w:sz w:val="20"/>
          <w:szCs w:val="20"/>
          <w:color w:val="auto"/>
        </w:rPr>
      </w:pPr>
    </w:p>
    <w:p>
      <w:pPr>
        <w:ind w:left="100" w:firstLine="5"/>
        <w:spacing w:after="0" w:line="261" w:lineRule="auto"/>
        <w:tabs>
          <w:tab w:leader="none" w:pos="41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relating to pooled deposit or sweep accounts of Parent Guarantor or any Subsidiary to permit satisfaction of overdraft or similar obligations incurred in the ordinary course of business of the Parent Guarantor or any Subsidiary;</w:t>
      </w:r>
    </w:p>
    <w:p>
      <w:pPr>
        <w:spacing w:after="0" w:line="183" w:lineRule="exact"/>
        <w:rPr>
          <w:rFonts w:ascii="Arial" w:cs="Arial" w:eastAsia="Arial" w:hAnsi="Arial"/>
          <w:sz w:val="18"/>
          <w:szCs w:val="18"/>
          <w:color w:val="auto"/>
        </w:rPr>
      </w:pPr>
    </w:p>
    <w:p>
      <w:pPr>
        <w:ind w:left="100" w:firstLine="653"/>
        <w:spacing w:after="0" w:line="277" w:lineRule="auto"/>
        <w:tabs>
          <w:tab w:leader="none" w:pos="125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Lien (and rights of set-off) arising under Section 24 or 25 of the general terms and conditions (</w:t>
      </w:r>
      <w:r>
        <w:rPr>
          <w:rFonts w:ascii="Arial" w:cs="Arial" w:eastAsia="Arial" w:hAnsi="Arial"/>
          <w:sz w:val="18"/>
          <w:szCs w:val="18"/>
          <w:i w:val="1"/>
          <w:iCs w:val="1"/>
          <w:color w:val="auto"/>
        </w:rPr>
        <w:t>algemene</w:t>
      </w:r>
      <w:r>
        <w:rPr>
          <w:rFonts w:ascii="Arial" w:cs="Arial" w:eastAsia="Arial" w:hAnsi="Arial"/>
          <w:sz w:val="18"/>
          <w:szCs w:val="18"/>
          <w:color w:val="auto"/>
        </w:rPr>
        <w:t xml:space="preserve"> </w:t>
      </w:r>
      <w:r>
        <w:rPr>
          <w:rFonts w:ascii="Arial" w:cs="Arial" w:eastAsia="Arial" w:hAnsi="Arial"/>
          <w:sz w:val="18"/>
          <w:szCs w:val="18"/>
          <w:i w:val="1"/>
          <w:iCs w:val="1"/>
          <w:color w:val="auto"/>
        </w:rPr>
        <w:t>bankvoorwaarden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25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Liens of sellers of goods to the Parent Guarantor, any Subsidiary Guarantor and any of their respective Subsidiaries arising under Article 2 of the UCC or similar provisions of applicable law in the ordinary course of business, covering only the goods sold and securing only the unpaid purchase price for such goods and related expenses;</w:t>
      </w:r>
    </w:p>
    <w:p>
      <w:pPr>
        <w:spacing w:after="0" w:line="181" w:lineRule="exact"/>
        <w:rPr>
          <w:rFonts w:ascii="Arial" w:cs="Arial" w:eastAsia="Arial" w:hAnsi="Arial"/>
          <w:sz w:val="18"/>
          <w:szCs w:val="18"/>
          <w:color w:val="auto"/>
        </w:rPr>
      </w:pPr>
    </w:p>
    <w:p>
      <w:pPr>
        <w:jc w:val="both"/>
        <w:ind w:left="100" w:firstLine="653"/>
        <w:spacing w:after="0" w:line="290" w:lineRule="auto"/>
        <w:tabs>
          <w:tab w:leader="none" w:pos="1189"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Liens securing (A) Indebtedness of any Subsidiary described in clause (a) of the definition of Priority Indebtedness outstanding in reliance on Section 9(a)(xvii), (B) Priority Indebtedness of the Parent Guarantor and (C) other obligations (excluding Indebtedness) of the Parent Guarantor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immediately after giving effect to the incurrence of any Indebtedness or obligations secured by Liens in reliance on this clause (xix), the sum of (without duplication) (x) the aggregate principal amount of all Priority Indebtedness of any Subsidiary outstanding in reliance on Section 9(a)(xvii),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aggregate outstanding principal amount of all Indebtedness and other obligations of the Parent Guarantor and its Subsidiaries secured by Liens in reliance on subclause (ii) or (iii) above shall not exceed fifteen percent (15%) of the Parent Guarantor’s Consolidated Net Worth (determined as of the last day of the most recent fiscal quarter for which financial statements shall have been delivered pursuant to Section 8(a)(i) or Section 8(a)(ii);</w:t>
      </w:r>
    </w:p>
    <w:p>
      <w:pPr>
        <w:spacing w:after="0" w:line="166" w:lineRule="exact"/>
        <w:rPr>
          <w:rFonts w:ascii="Arial" w:cs="Arial" w:eastAsia="Arial" w:hAnsi="Arial"/>
          <w:sz w:val="16"/>
          <w:szCs w:val="16"/>
          <w:color w:val="auto"/>
        </w:rPr>
      </w:pPr>
    </w:p>
    <w:p>
      <w:pPr>
        <w:jc w:val="both"/>
        <w:ind w:left="100" w:firstLine="653"/>
        <w:spacing w:after="0" w:line="264" w:lineRule="auto"/>
        <w:tabs>
          <w:tab w:leader="none" w:pos="109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spacing w:after="0" w:line="181" w:lineRule="exact"/>
        <w:rPr>
          <w:rFonts w:ascii="Arial" w:cs="Arial" w:eastAsia="Arial" w:hAnsi="Arial"/>
          <w:sz w:val="18"/>
          <w:szCs w:val="18"/>
          <w:color w:val="auto"/>
        </w:rPr>
      </w:pPr>
    </w:p>
    <w:p>
      <w:pPr>
        <w:jc w:val="both"/>
        <w:ind w:left="100" w:firstLine="653"/>
        <w:spacing w:after="0" w:line="264" w:lineRule="auto"/>
        <w:tabs>
          <w:tab w:leader="none" w:pos="114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pledges or deposits to secure Indebtedness of the Parent Guarantor or any Subsidiary as an account party in respect of letters of credit, bank guarantees, letters of guaranty or similar instruments so long as the aggregate principal amount of such Indebtedness so secured does not exceed $50,000,000;</w:t>
      </w:r>
    </w:p>
    <w:p>
      <w:pPr>
        <w:spacing w:after="0" w:line="181" w:lineRule="exact"/>
        <w:rPr>
          <w:rFonts w:ascii="Arial" w:cs="Arial" w:eastAsia="Arial" w:hAnsi="Arial"/>
          <w:sz w:val="18"/>
          <w:szCs w:val="18"/>
          <w:color w:val="auto"/>
        </w:rPr>
      </w:pPr>
    </w:p>
    <w:p>
      <w:pPr>
        <w:ind w:left="100" w:firstLine="653"/>
        <w:spacing w:after="0" w:line="277" w:lineRule="auto"/>
        <w:tabs>
          <w:tab w:leader="none" w:pos="120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pledges or transfers of collateral to support bilateral mark-to-market security arrangements in respect of uncleared swap or derivative transactions;</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161" w:name="page162"/>
    <w:bookmarkEnd w:id="161"/>
    <w:p>
      <w:pPr>
        <w:ind w:left="1300" w:firstLine="653"/>
        <w:spacing w:after="0" w:line="342" w:lineRule="auto"/>
        <w:tabs>
          <w:tab w:leader="none" w:pos="2453" w:val="left"/>
        </w:tabs>
        <w:numPr>
          <w:ilvl w:val="2"/>
          <w:numId w:val="136"/>
        </w:numPr>
        <w:rPr>
          <w:rFonts w:ascii="Arial" w:cs="Arial" w:eastAsia="Arial" w:hAnsi="Arial"/>
          <w:sz w:val="16"/>
          <w:szCs w:val="16"/>
          <w:color w:val="auto"/>
        </w:rPr>
      </w:pPr>
      <w:r>
        <w:rPr>
          <w:rFonts w:ascii="Arial" w:cs="Arial" w:eastAsia="Arial" w:hAnsi="Arial"/>
          <w:sz w:val="16"/>
          <w:szCs w:val="16"/>
          <w:color w:val="auto"/>
        </w:rPr>
        <w:t>Liens on assets of the Parent Guarantor and its Subsidiaries not otherwise permitted under this Section 9(b) so long as the aggregate principal amount of the Indebtedness and other obligations subject to such Liens does not at any time exceed $75,000,000;</w:t>
      </w:r>
    </w:p>
    <w:p>
      <w:pPr>
        <w:spacing w:after="0" w:line="123" w:lineRule="exact"/>
        <w:rPr>
          <w:rFonts w:ascii="Arial" w:cs="Arial" w:eastAsia="Arial" w:hAnsi="Arial"/>
          <w:sz w:val="16"/>
          <w:szCs w:val="16"/>
          <w:color w:val="auto"/>
        </w:rPr>
      </w:pPr>
    </w:p>
    <w:p>
      <w:pPr>
        <w:ind w:left="1300" w:firstLine="653"/>
        <w:spacing w:after="0" w:line="277" w:lineRule="auto"/>
        <w:tabs>
          <w:tab w:leader="none" w:pos="2446"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in the case of any joint venture, any put and call arrangements related to its Equity Interests set forth in its organizational documents or any related joint venture or similar agreement;</w:t>
      </w:r>
    </w:p>
    <w:p>
      <w:pPr>
        <w:spacing w:after="0" w:line="170" w:lineRule="exact"/>
        <w:rPr>
          <w:rFonts w:ascii="Arial" w:cs="Arial" w:eastAsia="Arial" w:hAnsi="Arial"/>
          <w:sz w:val="18"/>
          <w:szCs w:val="18"/>
          <w:color w:val="auto"/>
        </w:rPr>
      </w:pPr>
    </w:p>
    <w:p>
      <w:pPr>
        <w:jc w:val="both"/>
        <w:ind w:left="1300" w:firstLine="653"/>
        <w:spacing w:after="0" w:line="264" w:lineRule="auto"/>
        <w:tabs>
          <w:tab w:leader="none" w:pos="2396" w:val="left"/>
        </w:tabs>
        <w:numPr>
          <w:ilvl w:val="2"/>
          <w:numId w:val="136"/>
        </w:numPr>
        <w:rPr>
          <w:rFonts w:ascii="Arial" w:cs="Arial" w:eastAsia="Arial" w:hAnsi="Arial"/>
          <w:sz w:val="18"/>
          <w:szCs w:val="18"/>
          <w:color w:val="auto"/>
        </w:rPr>
      </w:pPr>
      <w:r>
        <w:rPr>
          <w:rFonts w:ascii="Arial" w:cs="Arial" w:eastAsia="Arial" w:hAnsi="Arial"/>
          <w:sz w:val="18"/>
          <w:szCs w:val="18"/>
          <w:color w:val="auto"/>
        </w:rPr>
        <w:t>Liens (if any) created pursuant to the Bank Credit Agreement with respect to any obligation to provide cash collateral in connection with any defaulting lenders thereunder, any letters of credit issued thereunder and/or extensions of credit thereunder denominated in a currency other than Dollars; and</w:t>
      </w:r>
    </w:p>
    <w:p>
      <w:pPr>
        <w:spacing w:after="0" w:line="181" w:lineRule="exact"/>
        <w:rPr>
          <w:rFonts w:ascii="Arial" w:cs="Arial" w:eastAsia="Arial" w:hAnsi="Arial"/>
          <w:sz w:val="18"/>
          <w:szCs w:val="18"/>
          <w:color w:val="auto"/>
        </w:rPr>
      </w:pPr>
    </w:p>
    <w:p>
      <w:pPr>
        <w:jc w:val="both"/>
        <w:ind w:left="1300" w:firstLine="653"/>
        <w:spacing w:after="0" w:line="286" w:lineRule="auto"/>
        <w:tabs>
          <w:tab w:leader="none" w:pos="2448" w:val="left"/>
        </w:tabs>
        <w:numPr>
          <w:ilvl w:val="2"/>
          <w:numId w:val="136"/>
        </w:numPr>
        <w:rPr>
          <w:rFonts w:ascii="Arial" w:cs="Arial" w:eastAsia="Arial" w:hAnsi="Arial"/>
          <w:sz w:val="17"/>
          <w:szCs w:val="17"/>
          <w:color w:val="auto"/>
        </w:rPr>
      </w:pPr>
      <w:r>
        <w:rPr>
          <w:rFonts w:ascii="Arial" w:cs="Arial" w:eastAsia="Arial" w:hAnsi="Arial"/>
          <w:sz w:val="17"/>
          <w:szCs w:val="17"/>
          <w:color w:val="auto"/>
        </w:rPr>
        <w:t>Liens on Permitted Developed Areas, Undeveloped Areas and/or Permitted Development Projects and property related to any of the foregoing (other than any Collateral); provided that such Liens secure (A) Indebtedness permitted by Section 9(a)(xxii) or (B) obligations not constituting Indebtedness that were incurred in connection with the development of any such property.</w:t>
      </w:r>
    </w:p>
    <w:p>
      <w:pPr>
        <w:spacing w:after="0" w:line="165" w:lineRule="exact"/>
        <w:rPr>
          <w:rFonts w:ascii="Arial" w:cs="Arial" w:eastAsia="Arial" w:hAnsi="Arial"/>
          <w:sz w:val="17"/>
          <w:szCs w:val="17"/>
          <w:color w:val="auto"/>
        </w:rPr>
      </w:pPr>
    </w:p>
    <w:p>
      <w:pPr>
        <w:jc w:val="both"/>
        <w:ind w:firstLine="1305"/>
        <w:spacing w:after="0" w:line="279" w:lineRule="auto"/>
        <w:tabs>
          <w:tab w:leader="none" w:pos="1541"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Fundamental Changes and Asset Sales</w:t>
      </w:r>
      <w:r>
        <w:rPr>
          <w:rFonts w:ascii="Arial" w:cs="Arial" w:eastAsia="Arial" w:hAnsi="Arial"/>
          <w:sz w:val="17"/>
          <w:szCs w:val="17"/>
          <w:color w:val="auto"/>
        </w:rPr>
        <w:t>. (i) The Parent Guarantor will not, and will not permit Lessee or any other Subsidiary to, merge</w:t>
      </w:r>
      <w:r>
        <w:rPr>
          <w:rFonts w:ascii="Arial" w:cs="Arial" w:eastAsia="Arial" w:hAnsi="Arial"/>
          <w:sz w:val="17"/>
          <w:szCs w:val="17"/>
          <w:i w:val="1"/>
          <w:iCs w:val="1"/>
          <w:color w:val="auto"/>
        </w:rPr>
        <w:t xml:space="preserve"> </w:t>
      </w:r>
      <w:r>
        <w:rPr>
          <w:rFonts w:ascii="Arial" w:cs="Arial" w:eastAsia="Arial" w:hAnsi="Arial"/>
          <w:sz w:val="17"/>
          <w:szCs w:val="17"/>
          <w:color w:val="auto"/>
        </w:rPr>
        <w:t>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Parent Guarantor and its Subsidiaries (taken as a whole) (whether now owned or hereafter acquired), or liquidate or dissolve, except that:</w:t>
      </w:r>
    </w:p>
    <w:p>
      <w:pPr>
        <w:spacing w:after="0" w:line="171" w:lineRule="exact"/>
        <w:rPr>
          <w:rFonts w:ascii="Arial" w:cs="Arial" w:eastAsia="Arial" w:hAnsi="Arial"/>
          <w:sz w:val="17"/>
          <w:szCs w:val="17"/>
          <w:color w:val="auto"/>
        </w:rPr>
      </w:pPr>
    </w:p>
    <w:p>
      <w:pPr>
        <w:jc w:val="both"/>
        <w:ind w:left="1620" w:firstLine="657"/>
        <w:spacing w:after="0" w:line="288" w:lineRule="auto"/>
        <w:tabs>
          <w:tab w:leader="none" w:pos="2602" w:val="left"/>
        </w:tabs>
        <w:numPr>
          <w:ilvl w:val="3"/>
          <w:numId w:val="137"/>
        </w:numPr>
        <w:rPr>
          <w:rFonts w:ascii="Arial" w:cs="Arial" w:eastAsia="Arial" w:hAnsi="Arial"/>
          <w:sz w:val="16"/>
          <w:szCs w:val="16"/>
          <w:color w:val="auto"/>
        </w:rPr>
      </w:pPr>
      <w:r>
        <w:rPr>
          <w:rFonts w:ascii="Arial" w:cs="Arial" w:eastAsia="Arial" w:hAnsi="Arial"/>
          <w:sz w:val="16"/>
          <w:szCs w:val="16"/>
          <w:color w:val="auto"/>
        </w:rPr>
        <w:t xml:space="preserve">any Person (other than the Parent Guarantor or any of its Subsidiaries) may merge or consolidate with the Parent Guarantor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merger or consolidation involving (1) the Lessee must result in the Lessee as the surviving entity (unless in connection therewith an Affiliate Transferee becomes the Lessee pursuant to Article VI of the Lease),</w:t>
      </w:r>
    </w:p>
    <w:p>
      <w:pPr>
        <w:ind w:left="1620" w:right="20" w:firstLine="9"/>
        <w:spacing w:after="0" w:line="261" w:lineRule="auto"/>
        <w:tabs>
          <w:tab w:leader="none" w:pos="189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Parent Guarantor must result in the Parent Guarantor as the surviving entity and (3) a Subsidiary Guarantor must result in a Subsidiary Guarantor (or any entity that becomes a Subsidiary Guarantor) as the surviving entity;</w:t>
      </w:r>
    </w:p>
    <w:p>
      <w:pPr>
        <w:spacing w:after="0" w:line="183" w:lineRule="exact"/>
        <w:rPr>
          <w:rFonts w:ascii="Arial" w:cs="Arial" w:eastAsia="Arial" w:hAnsi="Arial"/>
          <w:sz w:val="18"/>
          <w:szCs w:val="18"/>
          <w:color w:val="auto"/>
        </w:rPr>
      </w:pPr>
    </w:p>
    <w:p>
      <w:pPr>
        <w:jc w:val="both"/>
        <w:ind w:left="1620" w:firstLine="657"/>
        <w:spacing w:after="0" w:line="257" w:lineRule="auto"/>
        <w:tabs>
          <w:tab w:leader="none" w:pos="2563" w:val="left"/>
        </w:tabs>
        <w:numPr>
          <w:ilvl w:val="3"/>
          <w:numId w:val="138"/>
        </w:numPr>
        <w:rPr>
          <w:rFonts w:ascii="Arial" w:cs="Arial" w:eastAsia="Arial" w:hAnsi="Arial"/>
          <w:sz w:val="18"/>
          <w:szCs w:val="18"/>
          <w:color w:val="auto"/>
        </w:rPr>
      </w:pPr>
      <w:r>
        <w:rPr>
          <w:rFonts w:ascii="Arial" w:cs="Arial" w:eastAsia="Arial" w:hAnsi="Arial"/>
          <w:sz w:val="18"/>
          <w:szCs w:val="18"/>
          <w:color w:val="auto"/>
        </w:rPr>
        <w:t xml:space="preserve">any Subsidiary may merge into or consolidate with a Guarantor, the Lessee, or a Bank Credit Agreement Specified Loan Party in a transaction in which the surviving entity is such Guarantor, the Lessee or such Bank Credit Agreement Specified Loan Party;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such merger or consolidation involving (1) the Lessee must result in the Lessee as the surviving entity (unless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therewith an Affiliate Transferee becomes the Lessee pursuant to Article VI of the Lease), (2) the Parent Guarantor must result in the Parent Guarantor as the surviving entity and (3) 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62" w:name="page163"/>
    <w:bookmarkEnd w:id="162"/>
    <w:p>
      <w:pPr>
        <w:ind w:left="420"/>
        <w:spacing w:after="0" w:line="277" w:lineRule="auto"/>
        <w:rPr>
          <w:sz w:val="20"/>
          <w:szCs w:val="20"/>
          <w:color w:val="auto"/>
        </w:rPr>
      </w:pPr>
      <w:r>
        <w:rPr>
          <w:rFonts w:ascii="Arial" w:cs="Arial" w:eastAsia="Arial" w:hAnsi="Arial"/>
          <w:sz w:val="18"/>
          <w:szCs w:val="18"/>
          <w:color w:val="auto"/>
        </w:rPr>
        <w:t>Subsidiary Guarantor must result in a Subsidiary Guarantor as the surviving entity (unless also involving the Lessee or Parent Guarantor, in which case, subclause (1) or (2) above shall apply, as applicable);</w:t>
      </w:r>
    </w:p>
    <w:p>
      <w:pPr>
        <w:spacing w:after="0" w:line="170" w:lineRule="exact"/>
        <w:rPr>
          <w:sz w:val="20"/>
          <w:szCs w:val="20"/>
          <w:color w:val="auto"/>
        </w:rPr>
      </w:pPr>
    </w:p>
    <w:p>
      <w:pPr>
        <w:jc w:val="both"/>
        <w:ind w:left="420" w:firstLine="657"/>
        <w:spacing w:after="0" w:line="264" w:lineRule="auto"/>
        <w:tabs>
          <w:tab w:leader="none" w:pos="1361"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Subsidiary that is not a Subsidiary Guarantor may merge into or consolidate with, or sell, transfer, lease or otherwise dispose of any or all of its assets to, another Subsidiary that is not a Subsidiary Guarantor (in connection with a liquidation, winding up or dissolution or otherwise);</w:t>
      </w:r>
    </w:p>
    <w:p>
      <w:pPr>
        <w:spacing w:after="0" w:line="181" w:lineRule="exact"/>
        <w:rPr>
          <w:rFonts w:ascii="Arial" w:cs="Arial" w:eastAsia="Arial" w:hAnsi="Arial"/>
          <w:sz w:val="18"/>
          <w:szCs w:val="18"/>
          <w:color w:val="auto"/>
        </w:rPr>
      </w:pPr>
    </w:p>
    <w:p>
      <w:pPr>
        <w:jc w:val="both"/>
        <w:ind w:left="420" w:firstLine="657"/>
        <w:spacing w:after="0" w:line="264" w:lineRule="auto"/>
        <w:tabs>
          <w:tab w:leader="none" w:pos="136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Subsidiary may sell, transfer, lease or otherwise dispose of any or all of its assets to the Parent Guarantor, the Lessee, a Subsidiary Guarantor or a Bank Credit Agreement Specified Loan Party (in connection with a liquidation, winding up or dissolution or otherwise);</w:t>
      </w:r>
    </w:p>
    <w:p>
      <w:pPr>
        <w:spacing w:after="0" w:line="181" w:lineRule="exact"/>
        <w:rPr>
          <w:rFonts w:ascii="Arial" w:cs="Arial" w:eastAsia="Arial" w:hAnsi="Arial"/>
          <w:sz w:val="18"/>
          <w:szCs w:val="18"/>
          <w:color w:val="auto"/>
        </w:rPr>
      </w:pPr>
    </w:p>
    <w:p>
      <w:pPr>
        <w:jc w:val="both"/>
        <w:ind w:left="420" w:firstLine="657"/>
        <w:spacing w:after="0" w:line="259" w:lineRule="auto"/>
        <w:tabs>
          <w:tab w:leader="none" w:pos="134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Subsidiary that is not a Subsidiary Guarantor may liquidate, wind up or dissolve (1) if the Parent Guarantor determines in good faith that such liquidation, winding up or dissolution is in the best interests of the Parent Guarantor and is not materially disadvantageous to the Participants or (2) to the extent undertaken in good faith for the purpose of improving the overall tax efficiency of the Parent Guarantor and its Subsidiaries;</w:t>
      </w:r>
    </w:p>
    <w:p>
      <w:pPr>
        <w:spacing w:after="0" w:line="186" w:lineRule="exact"/>
        <w:rPr>
          <w:rFonts w:ascii="Arial" w:cs="Arial" w:eastAsia="Arial" w:hAnsi="Arial"/>
          <w:sz w:val="18"/>
          <w:szCs w:val="18"/>
          <w:color w:val="auto"/>
        </w:rPr>
      </w:pPr>
    </w:p>
    <w:p>
      <w:pPr>
        <w:ind w:left="1340" w:hanging="263"/>
        <w:spacing w:after="0"/>
        <w:tabs>
          <w:tab w:leader="none" w:pos="13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Parent Guarantor and its Subsidiaries may consummate Permitted Restructurings;</w:t>
      </w:r>
    </w:p>
    <w:p>
      <w:pPr>
        <w:spacing w:after="0" w:line="225" w:lineRule="exact"/>
        <w:rPr>
          <w:rFonts w:ascii="Arial" w:cs="Arial" w:eastAsia="Arial" w:hAnsi="Arial"/>
          <w:sz w:val="18"/>
          <w:szCs w:val="18"/>
          <w:color w:val="auto"/>
        </w:rPr>
      </w:pPr>
    </w:p>
    <w:p>
      <w:pPr>
        <w:jc w:val="both"/>
        <w:ind w:left="420" w:firstLine="657"/>
        <w:spacing w:after="0" w:line="312" w:lineRule="auto"/>
        <w:tabs>
          <w:tab w:leader="none" w:pos="136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Parent Guarantor and its Subsidiaries may enter into, terminate or modify leases, subleases, licenses and sublicenses of technology and other property (1) in the ordinary course of business, (2) between or among the Parent Guarantor, the Lessee, any Subsidiary Guarantors and any of their Subsidiaries (or any combination thereof) or (3) as permitted by Article VI of the Lease;</w:t>
      </w:r>
    </w:p>
    <w:p>
      <w:pPr>
        <w:spacing w:after="0" w:line="146" w:lineRule="exact"/>
        <w:rPr>
          <w:rFonts w:ascii="Arial" w:cs="Arial" w:eastAsia="Arial" w:hAnsi="Arial"/>
          <w:sz w:val="16"/>
          <w:szCs w:val="16"/>
          <w:color w:val="auto"/>
        </w:rPr>
      </w:pPr>
    </w:p>
    <w:p>
      <w:pPr>
        <w:ind w:left="1380" w:hanging="303"/>
        <w:spacing w:after="0"/>
        <w:tabs>
          <w:tab w:leader="none" w:pos="13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Parent Guarantor and its Subsidiaries may incur Liens permitted under Section 9(b); and</w:t>
      </w:r>
    </w:p>
    <w:p>
      <w:pPr>
        <w:spacing w:after="0" w:line="225" w:lineRule="exact"/>
        <w:rPr>
          <w:rFonts w:ascii="Arial" w:cs="Arial" w:eastAsia="Arial" w:hAnsi="Arial"/>
          <w:sz w:val="18"/>
          <w:szCs w:val="18"/>
          <w:color w:val="auto"/>
        </w:rPr>
      </w:pPr>
    </w:p>
    <w:p>
      <w:pPr>
        <w:jc w:val="both"/>
        <w:ind w:left="420" w:firstLine="657"/>
        <w:spacing w:after="0" w:line="291" w:lineRule="auto"/>
        <w:tabs>
          <w:tab w:leader="none" w:pos="1307" w:val="left"/>
        </w:tabs>
        <w:numPr>
          <w:ilvl w:val="1"/>
          <w:numId w:val="139"/>
        </w:numPr>
        <w:rPr>
          <w:rFonts w:ascii="Arial" w:cs="Arial" w:eastAsia="Arial" w:hAnsi="Arial"/>
          <w:sz w:val="16"/>
          <w:szCs w:val="16"/>
          <w:color w:val="auto"/>
        </w:rPr>
      </w:pPr>
      <w:r>
        <w:rPr>
          <w:rFonts w:ascii="Arial" w:cs="Arial" w:eastAsia="Arial" w:hAnsi="Arial"/>
          <w:sz w:val="16"/>
          <w:szCs w:val="16"/>
          <w:color w:val="auto"/>
        </w:rPr>
        <w:t>with respect to any rights, title or interest of the Parent Guarantor and its Subsidiaries in the Collateral and the Purchase Agreement, leases, subleases, assignments and other transfers pursuant to or permitted by any of the Operative Documents, including</w:t>
      </w:r>
    </w:p>
    <w:p>
      <w:pPr>
        <w:jc w:val="both"/>
        <w:ind w:left="420" w:firstLine="9"/>
        <w:spacing w:after="0" w:line="302" w:lineRule="auto"/>
        <w:tabs>
          <w:tab w:leader="none" w:pos="72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assignment of some or all of the rights under the Purchase Agreement (including the right to take title to the Facility) pursuant to the Assignment of Purchase Agreement and (B) the assignment or other transfer to Parent Guarantor or a directly or indirectly wholly-owned Domestic Subsidiary of Parent Guarantor as an affiliate transferee pursuant to the Operative Documents; and</w:t>
      </w:r>
    </w:p>
    <w:p>
      <w:pPr>
        <w:spacing w:after="0" w:line="155" w:lineRule="exact"/>
        <w:rPr>
          <w:rFonts w:ascii="Arial" w:cs="Arial" w:eastAsia="Arial" w:hAnsi="Arial"/>
          <w:sz w:val="16"/>
          <w:szCs w:val="16"/>
          <w:color w:val="auto"/>
        </w:rPr>
      </w:pPr>
    </w:p>
    <w:p>
      <w:pPr>
        <w:ind w:left="4420" w:right="200" w:hanging="3343"/>
        <w:spacing w:after="0" w:line="496" w:lineRule="auto"/>
        <w:tabs>
          <w:tab w:leader="none" w:pos="130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with respect to any rights, title or interest of the Parent Guarantor and its Subsidiaries in any Permitted Developed Areas,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-1905</wp:posOffset>
            </wp:positionV>
            <wp:extent cx="72466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163" w:name="page164"/>
    <w:bookmarkEnd w:id="163"/>
    <w:p>
      <w:pPr>
        <w:jc w:val="both"/>
        <w:ind w:left="1620"/>
        <w:spacing w:after="0" w:line="288" w:lineRule="auto"/>
        <w:rPr>
          <w:sz w:val="20"/>
          <w:szCs w:val="20"/>
          <w:color w:val="auto"/>
        </w:rPr>
      </w:pPr>
      <w:r>
        <w:rPr>
          <w:rFonts w:ascii="Arial" w:cs="Arial" w:eastAsia="Arial" w:hAnsi="Arial"/>
          <w:sz w:val="16"/>
          <w:szCs w:val="16"/>
          <w:color w:val="auto"/>
        </w:rPr>
        <w:t>Undeveloped Areas and/or Permitted Development Projects and property related to any of the foregoing (other than any Collateral pursuant to this subclause (J)), leases, subleases, licenses, sublicenses, assignments and other transfers (including, without limitation, any termination or modification of any such lease, sublease, license or sublicense), in any such case of this subclause (J), to the extent</w:t>
      </w:r>
    </w:p>
    <w:p>
      <w:pPr>
        <w:ind w:left="1620" w:firstLine="9"/>
        <w:spacing w:after="0" w:line="261" w:lineRule="auto"/>
        <w:tabs>
          <w:tab w:leader="none" w:pos="191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not in violation of the Lease and (y) made pursuant to or not prohibited by any definitive documentation governing related Indebtedness (if any) permitted by Section 9(a)(xxii).</w:t>
      </w:r>
    </w:p>
    <w:p>
      <w:pPr>
        <w:spacing w:after="0" w:line="183" w:lineRule="exact"/>
        <w:rPr>
          <w:rFonts w:ascii="Arial" w:cs="Arial" w:eastAsia="Arial" w:hAnsi="Arial"/>
          <w:sz w:val="18"/>
          <w:szCs w:val="18"/>
          <w:color w:val="auto"/>
        </w:rPr>
      </w:pPr>
    </w:p>
    <w:p>
      <w:pPr>
        <w:jc w:val="both"/>
        <w:ind w:left="1120" w:firstLine="1117"/>
        <w:spacing w:after="0" w:line="259" w:lineRule="auto"/>
        <w:tabs>
          <w:tab w:leader="none" w:pos="2506"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Parent Guarantor will not, and will not permit Lessee or any other Subsidiary to, engage to any material extent in any business substantially different from businesses of the type conducted by the Parent Guarantor and its Subsidiaries (taken as a whole) on the Restatement Date and businesses reasonably related, ancillary, similar, complementary or synergistic thereto or reasonable extensions, development or expansion thereof.</w:t>
      </w:r>
    </w:p>
    <w:p>
      <w:pPr>
        <w:spacing w:after="0" w:line="186" w:lineRule="exact"/>
        <w:rPr>
          <w:rFonts w:ascii="Arial" w:cs="Arial" w:eastAsia="Arial" w:hAnsi="Arial"/>
          <w:sz w:val="18"/>
          <w:szCs w:val="18"/>
          <w:color w:val="auto"/>
        </w:rPr>
      </w:pPr>
    </w:p>
    <w:p>
      <w:pPr>
        <w:jc w:val="both"/>
        <w:ind w:firstLine="1123"/>
        <w:spacing w:after="0" w:line="267" w:lineRule="auto"/>
        <w:tabs>
          <w:tab w:leader="none" w:pos="1369"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Restricted Payments</w:t>
      </w:r>
      <w:r>
        <w:rPr>
          <w:rFonts w:ascii="Arial" w:cs="Arial" w:eastAsia="Arial" w:hAnsi="Arial"/>
          <w:sz w:val="17"/>
          <w:szCs w:val="17"/>
          <w:color w:val="auto"/>
        </w:rPr>
        <w:t>. The Parent Guarantor will not, and will not permit Lessee or any other Subsidiary to, make, directly or indirectly, any</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Payment, except (i) the Parent Guarantor may pay dividends or make other Restricted Payments with respect to its Equity Interests payable solely in additional Equity Interests, (ii) the Parent Guarantor may purchase, redeem or otherwise acquire Equity Interests upon the exercise of stock options or warrants if such Equity Interests represent a portion of the exercise price of such options or warrants or with the proceeds received from the substantially concurrent issue of new Equity Interests, (iii) the Parent Guarantor may make cash payments (A) on securities convertible into or exchangeable for Equity Interests in the Parent Guarantor in accordance with their terms or (B) in lieu of the issuance of fractional Equity Interests in connection with any dividend, split or combination thereof or the exercise of warrants, options or other securities convertible into or exchangeable for Equity Interests in the Parent Guarantor, (iv) Subsidiaries may (A) make dividends or other distributions to their respective equityholders with respect to their Equity Interests (which distributions shall be (x) made on at least a ratable basis to any such equityholders that are Guarantors and (y) in the case of a Subsidiary that is not a wholly-owned Subsidiary, made on at least a ratable basis to any such equityholders that are the Parent Guarantor or a Subsidiary), (B) make other Restricted Payments to Parent Guarantor, the Lessee or any Subsidiary Guarantor (either directly or indirectly through one or more Subsidiaries that are not Subsidiary Guarantors or the Lessee), (C) other than with respect to any such distributions by a Subsidiary Guarantor, make other Restricted Payments to a Bank Credit Agreement Specified Loan Party (either directly or indirectly through one or more Subsidiaries that are not Bank Credit Agreement Specified Loan Parties, Subsidiary Guarantors or the Lessee) and (D) make any Restricted Payments that the Parent Guarantor would have otherwise been permitted to make pursuant to this Section 9(d), (v) the Parent Guarantor may make Restricted Payments (A) for the repurchase, retirement or other acquisition or retirement for value of Equity Interests of the Parent Guarantor from any future, present or former employee, officer, director, manager or consultant of the Parent Guarantor or any Subsidiary upon the death, disability, retirement or termination of employment of any such Person or (B) pursuant to and in accordance with any agreement (including any employment agreement), stock option or stock ownership plans, incentive plans or other benefit plans, in each case for future, present or former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64" w:name="page165"/>
    <w:bookmarkEnd w:id="164"/>
    <w:p>
      <w:pPr>
        <w:jc w:val="both"/>
        <w:spacing w:after="0" w:line="253" w:lineRule="auto"/>
        <w:rPr>
          <w:sz w:val="20"/>
          <w:szCs w:val="20"/>
          <w:color w:val="auto"/>
        </w:rPr>
      </w:pPr>
      <w:r>
        <w:rPr>
          <w:rFonts w:ascii="Arial" w:cs="Arial" w:eastAsia="Arial" w:hAnsi="Arial"/>
          <w:sz w:val="18"/>
          <w:szCs w:val="18"/>
          <w:color w:val="auto"/>
        </w:rPr>
        <w:t xml:space="preserve">directors, officers, managers, employees or consultants of the Parent Guarantor and its Subsidiaries (including, without limitation, in respect of tax withholding or other similar tax obligation related to the foregoing), (vi) the Parent Guarantor and its Subsidiaries may make any other Restricted Payment so long as no Event of Default has occurred and is continuing at the time such Restricted Payment is made or would arise immediately after giving effect (on a pro forma basis) thereto and the aggregate amount of all such Restricted Payments pursuant to this clause (vi) during any fiscal year of the Parent Guarantor does not exceed $100,000,000;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Dollar limitation shall not be applicable, and such Restricted Payment shall not count against such Dollar limitation, if at the time of the making of such Restricted Payment and immediately after giving effect (on a pro forma basis) thereto, the Total Leverage Ratio is equal to or less than 3.00 to 1.00, and (vii) the Parent Guarantor may pay any dividend or distribution or make any irrevocable Restricted Payment within 60 days after the date of declaration of such dividend or distribution or giving irrevocable notice with respect to such Restricted Payment, as the case may be, if at the date of declaration or notice such Restricted Payment would have complied with the provisions of this Guaranty (including the other provisions of this Section 9(d)).</w:t>
      </w:r>
    </w:p>
    <w:p>
      <w:pPr>
        <w:spacing w:after="0" w:line="195" w:lineRule="exact"/>
        <w:rPr>
          <w:sz w:val="20"/>
          <w:szCs w:val="20"/>
          <w:color w:val="auto"/>
        </w:rPr>
      </w:pPr>
    </w:p>
    <w:p>
      <w:pPr>
        <w:jc w:val="both"/>
        <w:ind w:firstLine="1123"/>
        <w:spacing w:after="0" w:line="285" w:lineRule="auto"/>
        <w:tabs>
          <w:tab w:leader="none" w:pos="1359"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Transactions with Affiliates</w:t>
      </w:r>
      <w:r>
        <w:rPr>
          <w:rFonts w:ascii="Arial" w:cs="Arial" w:eastAsia="Arial" w:hAnsi="Arial"/>
          <w:sz w:val="16"/>
          <w:szCs w:val="16"/>
          <w:color w:val="auto"/>
        </w:rPr>
        <w:t>. The Parent Guarantor will not, and will not permit Lessee or any other Subsidiary to, sell, lease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any property or assets to, or purchase, lease or otherwise acquire any property or assets from, or otherwise engage in any other transactions with, any of its Affiliates, except (i) transactions on terms and conditions not materially less favorable to the Parent Guarantor or such Subsidiary than could be obtained on an arm’s-length basis from a Person that is not an Affiliate for a comparable transaction (considering such transactions and all other related transactions as a whole), (ii) transactions between or among the Parent Guarantor and its Subsidiaries (or an entity that becomes a Subsidiary of the Parent Guarantor as a result of such transaction) (or any combination thereof), (iii) the payment of customary fees to directors of the Parent Guarantor or any of its Subsidiaries, and customary compensation, reasonable out-of-pocket expense reimbursement and indemnification (including the provision of directors and officers insurance) of, and other employment or consulting agreements and arrangements, employee benefit plans and stock incentive plans paid to, future, present or past directors, officers, managers and employees of the Parent Guarantor or any of its Subsidiaries, (iv) transactions undertaken in good faith for the purpose of improving the overall tax efficiency of the Parent Guarantor and its Subsidiaries, (v) loans, advances and other transactions to the extent not prohibited by the terms of this Guaranty, the Lease or the Participation Agreement, including without limitation any Restricted Payment permitted by Section 9(d) and transactions permitted by Section 9(c), (vi) issuances of Equity Interests to Affiliates and the registration rights and other customary rights associated therewith, (vii) any Collaboration Arrangement or any other license, sublicense, lease or sublease (A) in existence on the Restatement Date (together with any amendments, restatements, extensions, replacements or other modifications thereto that are not materially adverse to the interests of the Lenders in their capacities as such), (B) in the ordinary course of business or (C) substantially consistent with past practices, (viii) transactions with Affiliates that are Disclosed Matters, (ix) transactions pursuant to agreements in effect on the Restatement Date (together with any amendments, restatements, extensions, replacements or other modifications thereto that are not materially adverse to the interests of the Participants in their capacities as such), (x) transactions with joint ventures for the purchase or sale of property or other assets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65" w:name="page166"/>
    <w:bookmarkEnd w:id="165"/>
    <w:p>
      <w:pPr>
        <w:jc w:val="both"/>
        <w:spacing w:after="0" w:line="269" w:lineRule="auto"/>
        <w:rPr>
          <w:sz w:val="20"/>
          <w:szCs w:val="20"/>
          <w:color w:val="auto"/>
        </w:rPr>
      </w:pPr>
      <w:r>
        <w:rPr>
          <w:rFonts w:ascii="Arial" w:cs="Arial" w:eastAsia="Arial" w:hAnsi="Arial"/>
          <w:sz w:val="17"/>
          <w:szCs w:val="17"/>
          <w:color w:val="auto"/>
        </w:rPr>
        <w:t>services entered into in the ordinary course of business and investments in joint ventures, (xi) transactions approved by (A) a majority of Disinterested Directors of the Parent Guarantor or of the applicable Subsidiary in good faith or (B) a committee of the board of directors (or other governing body) of such Person that is comprised of Disinterested Directors (or such committee otherwise approves such transactions by action of Disinterested Directors), (xii) any transaction or series of related transactions with respect to which the aggregate consideration paid, or fair market value of property disposed of, by the Parent Guarantor and its Subsidiaries is less than $2,000,000 for any such individual transaction or series of related transactions, (xiii) subleases and assignments permitted by the Operative Documents, including Article VI of the Lease, and other transactions permitted by Section 9(c)(J), (xiv) any transaction in respect of which the Parent Guarantor delivers to the Administrative Agent (for delivery to the Lessor or the Participants) a letter addressed to the Board of Directors of the Parent Guarantor (or the board of directors or other relevant governing body of the relevant Subsidiary) from an accounting, appraisal or investment banking firm that is in the good faith determination of the Parent Guarantor qualified to render such letter, which letter states that such transaction is on terms that are no less favorable to the Parent Guarantor or the relevant Subsidiary, as applicable, than would be obtained on an arm’s-length basis from a Person that is not an Affiliate for a comparable transaction, and (xv) any transaction with an Affiliate where the only consideration paid consists of Equity Interests of the Parent Guarantor.</w:t>
      </w:r>
    </w:p>
    <w:p>
      <w:pPr>
        <w:spacing w:after="0" w:line="180" w:lineRule="exact"/>
        <w:rPr>
          <w:sz w:val="20"/>
          <w:szCs w:val="20"/>
          <w:color w:val="auto"/>
        </w:rPr>
      </w:pPr>
    </w:p>
    <w:p>
      <w:pPr>
        <w:jc w:val="both"/>
        <w:ind w:firstLine="1123"/>
        <w:spacing w:after="0" w:line="287" w:lineRule="auto"/>
        <w:tabs>
          <w:tab w:leader="none" w:pos="1339" w:val="left"/>
        </w:tabs>
        <w:numPr>
          <w:ilvl w:val="0"/>
          <w:numId w:val="144"/>
        </w:numPr>
        <w:rPr>
          <w:rFonts w:ascii="Arial" w:cs="Arial" w:eastAsia="Arial" w:hAnsi="Arial"/>
          <w:sz w:val="16"/>
          <w:szCs w:val="16"/>
          <w:color w:val="auto"/>
        </w:rPr>
      </w:pPr>
      <w:r>
        <w:rPr>
          <w:rFonts w:ascii="Arial" w:cs="Arial" w:eastAsia="Arial" w:hAnsi="Arial"/>
          <w:sz w:val="16"/>
          <w:szCs w:val="16"/>
          <w:i w:val="1"/>
          <w:iCs w:val="1"/>
          <w:color w:val="auto"/>
        </w:rPr>
        <w:t>Maximum Total Leverage Ratio</w:t>
      </w:r>
      <w:r>
        <w:rPr>
          <w:rFonts w:ascii="Arial" w:cs="Arial" w:eastAsia="Arial" w:hAnsi="Arial"/>
          <w:sz w:val="16"/>
          <w:szCs w:val="16"/>
          <w:color w:val="auto"/>
        </w:rPr>
        <w:t>. The Parent Guarantor will not permit the ratio (the “</w:t>
      </w:r>
      <w:r>
        <w:rPr>
          <w:rFonts w:ascii="Arial" w:cs="Arial" w:eastAsia="Arial" w:hAnsi="Arial"/>
          <w:sz w:val="16"/>
          <w:szCs w:val="16"/>
          <w:i w:val="1"/>
          <w:iCs w:val="1"/>
          <w:color w:val="auto"/>
        </w:rPr>
        <w:t>Total Leverage Ratio</w:t>
      </w:r>
      <w:r>
        <w:rPr>
          <w:rFonts w:ascii="Arial" w:cs="Arial" w:eastAsia="Arial" w:hAnsi="Arial"/>
          <w:sz w:val="16"/>
          <w:szCs w:val="16"/>
          <w:color w:val="auto"/>
        </w:rPr>
        <w:t>”), determined as of the end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its fiscal quarters ending on and after March 31, 2019, of (i) Consolidated Total Indebtedness to (ii) Consolidated EBITDA for the period of four (4) consecutive fiscal quarters ending with the end of such fiscal quarter, all calculated for the Parent Guarantor and its Subsidiaries on a consolidated basis, to be greater than 3.50 to 1.00. Notwithstanding the foregoing, the Parent Guarantor shall be permitted (such permission, the “</w:t>
      </w:r>
      <w:r>
        <w:rPr>
          <w:rFonts w:ascii="Arial" w:cs="Arial" w:eastAsia="Arial" w:hAnsi="Arial"/>
          <w:sz w:val="16"/>
          <w:szCs w:val="16"/>
          <w:i w:val="1"/>
          <w:iCs w:val="1"/>
          <w:color w:val="auto"/>
        </w:rPr>
        <w:t>Acquisition Holiday</w:t>
      </w:r>
      <w:r>
        <w:rPr>
          <w:rFonts w:ascii="Arial" w:cs="Arial" w:eastAsia="Arial" w:hAnsi="Arial"/>
          <w:sz w:val="16"/>
          <w:szCs w:val="16"/>
          <w:color w:val="auto"/>
        </w:rPr>
        <w:t xml:space="preserve">”) on no more than two (2) occasions during the term of the Participation Agreement to allow the maximum Total Leverage Ratio under this Section 9(f) to be increased to 4.00 to 1.00 for a period of four consecutive fiscal quarters in connection with an Acquisition occurring during the first of such four fiscal quarters if the aggregate consideration paid or to be paid in respect of such Acquisition exceeds $500,000,000, so long as the Parent Guarantor is in compliance on a pro forma basis with the maximum Total Leverage Ratio of 4.00 to 1.00 on the closing date of such Acquisition immediately after giving effect to such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Parent Guarantor shall provide notice in writing to the Administrative Agent of such increase and a transaction description of such Acquisition (regarding the name of the Person or summary description of the assets being acquired and the approximate purchase price), (y) the Parent Guarantor may not elect a new Acquisition Holiday for at least two (2) fiscal quarters following the end of an Acquisition Holiday and (z) at the end of such period of four consecutive fiscal quarters, the maximum Total Leverage Ratio permitted under this Section 9(f) shall revert to 3.50 to 1.00.</w:t>
      </w:r>
    </w:p>
    <w:p>
      <w:pPr>
        <w:spacing w:after="0" w:line="168" w:lineRule="exact"/>
        <w:rPr>
          <w:rFonts w:ascii="Arial" w:cs="Arial" w:eastAsia="Arial" w:hAnsi="Arial"/>
          <w:sz w:val="16"/>
          <w:szCs w:val="16"/>
          <w:color w:val="auto"/>
        </w:rPr>
      </w:pPr>
    </w:p>
    <w:p>
      <w:pPr>
        <w:jc w:val="both"/>
        <w:ind w:firstLine="1953"/>
        <w:spacing w:after="0" w:line="264" w:lineRule="auto"/>
        <w:tabs>
          <w:tab w:leader="none" w:pos="2199" w:val="left"/>
        </w:tabs>
        <w:numPr>
          <w:ilvl w:val="1"/>
          <w:numId w:val="144"/>
        </w:numPr>
        <w:rPr>
          <w:rFonts w:ascii="Arial" w:cs="Arial" w:eastAsia="Arial" w:hAnsi="Arial"/>
          <w:sz w:val="18"/>
          <w:szCs w:val="18"/>
          <w:color w:val="auto"/>
        </w:rPr>
      </w:pPr>
      <w:r>
        <w:rPr>
          <w:rFonts w:ascii="Arial" w:cs="Arial" w:eastAsia="Arial" w:hAnsi="Arial"/>
          <w:sz w:val="18"/>
          <w:szCs w:val="18"/>
          <w:i w:val="1"/>
          <w:iCs w:val="1"/>
          <w:color w:val="auto"/>
        </w:rPr>
        <w:t>Minimum Interest Coverage Ratio</w:t>
      </w:r>
      <w:r>
        <w:rPr>
          <w:rFonts w:ascii="Arial" w:cs="Arial" w:eastAsia="Arial" w:hAnsi="Arial"/>
          <w:sz w:val="18"/>
          <w:szCs w:val="18"/>
          <w:color w:val="auto"/>
        </w:rPr>
        <w:t>. The Parent Guarantor will not permit the ratio, determined as of the end of each of its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quarters ending on and after March 31, 2019, of (i) Consolidated EBITDA to (ii) Consolidated Interest Expense, in each case for the period of four (4) consecutive fiscal quarters ending with the end of such fiscal quarter, all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calculated for the Parent Guarantor and its Subsidiaries on a consolidated basis, to be less than 2.50 to 1.00.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10. Successors and Assigns</w:t>
      </w:r>
      <w:r>
        <w:rPr>
          <w:rFonts w:ascii="Arial" w:cs="Arial" w:eastAsia="Arial" w:hAnsi="Arial"/>
          <w:sz w:val="18"/>
          <w:szCs w:val="18"/>
          <w:color w:val="auto"/>
        </w:rPr>
        <w:t>. This Guaranty shall be binding upon each Guarantor and upon each Guarantor’s successors and assigns;</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no Guarantor shall assign or transfer any of its interests or obligations hereunder without the prior written consent of the requisite Participants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Section 15.5 of the Participation Agreement (it being understood that the foregoing proviso shall not prohibit transactions permitted by Section 9(c) of this Guaranty).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11. Severability</w:t>
      </w:r>
      <w:r>
        <w:rPr>
          <w:rFonts w:ascii="Arial" w:cs="Arial" w:eastAsia="Arial" w:hAnsi="Arial"/>
          <w:sz w:val="18"/>
          <w:szCs w:val="18"/>
          <w:color w:val="auto"/>
        </w:rPr>
        <w:t>. Any provision of this Guaranty that is prohibited or unenforceable in any jurisdiction shall, as to such jurisdiction, be</w:t>
      </w:r>
      <w:r>
        <w:rPr>
          <w:rFonts w:ascii="Arial" w:cs="Arial" w:eastAsia="Arial" w:hAnsi="Arial"/>
          <w:sz w:val="18"/>
          <w:szCs w:val="18"/>
          <w:i w:val="1"/>
          <w:i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Section 12. Submission to Jurisdiction; Service of Process</w:t>
      </w:r>
      <w:r>
        <w:rPr>
          <w:rFonts w:ascii="Arial" w:cs="Arial" w:eastAsia="Arial" w:hAnsi="Arial"/>
          <w:sz w:val="16"/>
          <w:szCs w:val="16"/>
          <w:color w:val="auto"/>
        </w:rPr>
        <w:t>. Each Guarantor: (a) submits for itself and its property in any legal action or proceeding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this Guaranty, or for recognition and enforcement of any judgment in respect thereof, to the exclusive general jurisdiction of the United States District Court for the Southern District of New York and of any New York state court sitting in the borough of Manhattan, and appellate courts from any thereof; (b) consents that any such action or proceedings may be brought to such courts, and waives any objection that it may now or hereafter have to the venue of any such action or proceeding in any such court or that such action or proceeding was brought in an inconvenient court and agrees not to plead or claim the same; (c) agrees, to the fullest extent of Applicable Law, that service of process in any such action or proceeding may be effected by mailing a copy thereof by registered or certified mail (or any substantially similar form of mail), postage prepaid, to it at its address referred to in Section 13 below or at such other address of which the other parties hereto shall have been notified pursuant to Section 13; and (d) agrees that nothing herein shall affect the right to effect service of process in any other manner permitted by law or shall affect the right that any Beneficiary may otherwise have to sue in any other jurisdiction.</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13. Notices</w:t>
      </w:r>
      <w:r>
        <w:rPr>
          <w:rFonts w:ascii="Arial" w:cs="Arial" w:eastAsia="Arial" w:hAnsi="Arial"/>
          <w:sz w:val="18"/>
          <w:szCs w:val="18"/>
          <w:color w:val="auto"/>
        </w:rPr>
        <w:t>. All notices, requests, demands or other communications (i) to any Guarantor or (ii) that are required or permitted to be made by</w:t>
      </w:r>
      <w:r>
        <w:rPr>
          <w:rFonts w:ascii="Arial" w:cs="Arial" w:eastAsia="Arial" w:hAnsi="Arial"/>
          <w:sz w:val="18"/>
          <w:szCs w:val="18"/>
          <w:i w:val="1"/>
          <w:iCs w:val="1"/>
          <w:color w:val="auto"/>
        </w:rPr>
        <w:t xml:space="preserve"> </w:t>
      </w:r>
      <w:r>
        <w:rPr>
          <w:rFonts w:ascii="Arial" w:cs="Arial" w:eastAsia="Arial" w:hAnsi="Arial"/>
          <w:sz w:val="18"/>
          <w:szCs w:val="18"/>
          <w:color w:val="auto"/>
        </w:rPr>
        <w:t>any Guarantor pursuant to this Guaranty to Administrative Agent and/or any Participant shall be in writing and shall be deemed to have been duly given when addressed to the appropriate Person and delivered in the manner specified in Section 15.3 of the Participation Agreement. The initial address for notices to each Guarantor is set forth on Schedule III to the Participation Agreement.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Section 14. Amendment. </w:t>
      </w:r>
      <w:r>
        <w:rPr>
          <w:rFonts w:ascii="Arial" w:cs="Arial" w:eastAsia="Arial" w:hAnsi="Arial"/>
          <w:sz w:val="18"/>
          <w:szCs w:val="18"/>
          <w:color w:val="auto"/>
        </w:rPr>
        <w:t>This Guaranty may not be amended or modified or any of its provisions waived, except in accordance with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15.5 of the Participation Agreement.</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i w:val="1"/>
          <w:iCs w:val="1"/>
          <w:color w:val="auto"/>
        </w:rPr>
        <w:t>Section 15. Governing Law; Waiver of Jury Trial</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GUARANTY SHALL IN ALL RESPECTS, EXCEPT AS SET FORTH IN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PROVISO, BE GOVERNED BY THE INTERNAL LAW OF THE STATE OF NEW YORK AS TO ALL MATTERS 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67" w:name="page168"/>
    <w:bookmarkEnd w:id="167"/>
    <w:p>
      <w:pPr>
        <w:jc w:val="both"/>
        <w:spacing w:after="0" w:line="254" w:lineRule="auto"/>
        <w:rPr>
          <w:sz w:val="20"/>
          <w:szCs w:val="20"/>
          <w:color w:val="auto"/>
        </w:rPr>
      </w:pPr>
      <w:r>
        <w:rPr>
          <w:rFonts w:ascii="Arial" w:cs="Arial" w:eastAsia="Arial" w:hAnsi="Arial"/>
          <w:sz w:val="18"/>
          <w:szCs w:val="18"/>
          <w:b w:val="1"/>
          <w:bCs w:val="1"/>
          <w:color w:val="auto"/>
        </w:rPr>
        <w:t>CONSTRUCTION, VALIDITY AND PERFORMANCE, WITHOUT REGARD TO CONFLICTS OF LAW PRINCIPLES, EXCEPT TITLE 14 OF ARTICLE 5 OF THE NEW YORK GENERAL OBLIGATIONS LAW; PROVIDED, HOWEVER, THAT WITH RESPECT TO THE CREATION, PERFECTION, EFFECT OF PERFECTION, PRIORITY AND ENFORCEMENT OF SECURITY INTERESTS AND LIENS IN THE LEASED PROPERTY AND PROJECT COLLATERAL, SUCH MATTERS SHALL BE GOVERNED BY THE LAWS OF THE STATE OF NEW YORK AND, TO THE EXTENT APPLICABLE, THE UNIFORM COMMERCIAL CODE OF SUCH STATE (INCLUDING THE CHOICE OF LAW RULES UNDER SUCH UNIFORM COMMERCIAL CODE). EACH GUARANTOR HEREBY EXPRESSLY WAIVES ANY RIGHT TO A TRIAL BY JURY IN ANY ACTION OR PROCEEDING TO ENFORCE OR DEFEND ANY RIGHTS UNDER THIS GUARANTY OR UNDER ANY AMENDMENT, INSTRUMENT, DOCUMENT OR AGREEMENT DELIVERED OR WHICH MAY IN THE FUTURE BE DELIVERED IN CONNECTION HEREWITH OR ARISING FROM ANY RELATIONSHIP EXISTING IN CONNECTION WITH THIS GUARANTY, AND AGREES THAT ANY SUCH ACTION OR PROCEEDING SHALL BE TRIED BEFORE A COURT AND NOT BEFORE A JURY.</w:t>
      </w:r>
    </w:p>
    <w:p>
      <w:pPr>
        <w:spacing w:after="0" w:line="19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Section 16. No Advisory or Fiduciary Responsibility</w:t>
      </w:r>
      <w:r>
        <w:rPr>
          <w:rFonts w:ascii="Arial" w:cs="Arial" w:eastAsia="Arial" w:hAnsi="Arial"/>
          <w:sz w:val="16"/>
          <w:szCs w:val="16"/>
          <w:color w:val="auto"/>
        </w:rPr>
        <w:t>. In connection with all aspects of each transaction contemplated hereby (including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any amendment, waiver or other modification hereof or of any other Operative Document), each Guarantor acknowledges and agrees that: (i) (A) the services regarding this Guaranty provided by the Administrative Agent and the Participants are arm’s-length commercial transactions between the Guarantors, on the one hand, and the Administrative Agent and the Participants, on the other hand, (B) each Guarantor has consulted its own legal, accounting, regulatory and tax advisors to the extent it has deemed appropriate, and (C) each Guarantor is capable of evaluating, and understands and accepts, the terms, risks and conditions of the transactions contemplated hereby and by the other Operative Documents; (ii) (A) the Administrative Agent and each Participant is and has been acting solely as a principal and, except as expressly agreed in writing by the relevant parties, has not been, is not, and will not be acting as an advisor, agent or fiduciary for any Guarantor or any other Person and (B) neither the Administrative Agent nor any Participant has any obligation to any Guarantor or any of its Affiliates with respect to the transactions contemplated hereby except those obligations expressly set forth herein and in the other Operative Documents; and (iii) the Administrative Agent and the Participants and their respective Affiliates may be engaged in a broad range of transactions that involve interests that differ from those of the Guarantors and their respective Affiliates, and neither the Administrative Agent, nor any Participant has any obligation to disclose any of such interests to any Guarantor or any of its Affiliates. None of the Administrative Agent and the Participants will use confidential information obtained from or on behalf of Lessee or any Guarantor by virtue of the transactions contemplated by the Operative Documents or its other relationships with Lessee or any Guarantor in connection with the performance by the Administrative Agent or such Participant of services for other companies, and none of the Administrative Agent and the Participants will furnish any such information to other companies. To the fullest extent permitted by law, each Guarantor hereby waives and releases any claims that it may have against the Administrative Agent, or any Participant with respect to any breach or alleged breach of agency or fiduciary duty in connection with any aspect of any transaction contemplated hereby.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68" w:name="page169"/>
    <w:bookmarkEnd w:id="168"/>
    <w:p>
      <w:pPr>
        <w:ind w:left="660"/>
        <w:spacing w:after="0"/>
        <w:rPr>
          <w:sz w:val="20"/>
          <w:szCs w:val="20"/>
          <w:color w:val="auto"/>
        </w:rPr>
      </w:pPr>
      <w:r>
        <w:rPr>
          <w:rFonts w:ascii="Arial" w:cs="Arial" w:eastAsia="Arial" w:hAnsi="Arial"/>
          <w:sz w:val="18"/>
          <w:szCs w:val="18"/>
          <w:i w:val="1"/>
          <w:iCs w:val="1"/>
          <w:color w:val="auto"/>
        </w:rPr>
        <w:t>Section 17. Releases; Termination of Guaranty</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302" w:lineRule="auto"/>
        <w:tabs>
          <w:tab w:leader="none" w:pos="157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A Subsidiary Guarantor shall automatically be released from its obligations under this Guaranty upon the consummation of any transaction permitted by this Guaranty as a result of which such Subsidiary Guarantor ceases to be a Subsidiary, so long as, immediately after giving effect to the consummation of such transaction, no Default or Event of Default results therefrom;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so required by this Guaranty or the Participation Agreement, the Required Participants shall have consented to such transaction and the terms of such consent shall not have provided otherwise.</w:t>
      </w:r>
    </w:p>
    <w:p>
      <w:pPr>
        <w:spacing w:after="0" w:line="154" w:lineRule="exact"/>
        <w:rPr>
          <w:rFonts w:ascii="Arial" w:cs="Arial" w:eastAsia="Arial" w:hAnsi="Arial"/>
          <w:sz w:val="16"/>
          <w:szCs w:val="16"/>
          <w:color w:val="auto"/>
        </w:rPr>
      </w:pPr>
    </w:p>
    <w:p>
      <w:pPr>
        <w:jc w:val="both"/>
        <w:ind w:firstLine="1305"/>
        <w:spacing w:after="0" w:line="255" w:lineRule="auto"/>
        <w:tabs>
          <w:tab w:leader="none" w:pos="157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Further, the Administrative Agent may (and is hereby irrevocably authorized by each Participant to), upon the request of the Parent Guarantor or Lessee, release any Subsidiary Guarantor from its obligations under this Guaranty if such Subsidiary Guarantor is no longer a Material Domestic Subsidiary, becomes an Excluded Subsidiary or is otherwise not required pursuant to this terms of this Guaranty to provide a Subsidiary Guaranty; provided that, unless such Subsidiary Guarantor is a Bank Credit Agreement Specified Loan Party, prior to or substantially concurrently with the release of such Subsidiary Guarantor pursuant to this Section 17(b), it ceases to be a loan party (whether as a guarantor and/or borrower) under the Bank Credit Agreement and related loan documents.</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56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Further, the Administrative Agent may (and is hereby irrevocably authorized by each Participant to), upon the request of the Parent Guarantor or Lessee, release any Guarantor from its obligations under this Guaranty if such release is approved, authorized or ratified by the requisite Participants pursuant to Section 15.5 of the Participation Agreement.</w:t>
      </w:r>
    </w:p>
    <w:p>
      <w:pPr>
        <w:spacing w:after="0" w:line="181" w:lineRule="exact"/>
        <w:rPr>
          <w:rFonts w:ascii="Arial" w:cs="Arial" w:eastAsia="Arial" w:hAnsi="Arial"/>
          <w:sz w:val="18"/>
          <w:szCs w:val="18"/>
          <w:color w:val="auto"/>
        </w:rPr>
      </w:pPr>
    </w:p>
    <w:p>
      <w:pPr>
        <w:jc w:val="both"/>
        <w:ind w:firstLine="1305"/>
        <w:spacing w:after="0" w:line="293" w:lineRule="auto"/>
        <w:tabs>
          <w:tab w:leader="none" w:pos="158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At such time as the Liabilities (other than Liabilities expressly stated to survive such payment and termination) shall have been indefeasibly paid in full in cash, all obligations of each Guarantor under this Guaranty shall automatically terminate (other than with respect to Liabilities expressly stated to survive such payment and termination), all without delivery of any instrument or performance of any act by any Person (it being agreed that, upon indefeasible payment in full in cash of the Liabilities (other than (i) Liabilities expressly stated to survive such payment and termination and (ii) contingent Liabilities for costs, expenses, indemnities and similar obligations not then due and payable), Sections 8 and 9 of this Guaranty shall automatically terminate, notwithstanding the survival of this Guaranty with respect to Liabilities expressly stated to survive such payment and termination).</w:t>
      </w:r>
    </w:p>
    <w:p>
      <w:pPr>
        <w:spacing w:after="0" w:line="164" w:lineRule="exact"/>
        <w:rPr>
          <w:rFonts w:ascii="Arial" w:cs="Arial" w:eastAsia="Arial" w:hAnsi="Arial"/>
          <w:sz w:val="16"/>
          <w:szCs w:val="16"/>
          <w:color w:val="auto"/>
        </w:rPr>
      </w:pPr>
    </w:p>
    <w:p>
      <w:pPr>
        <w:jc w:val="both"/>
        <w:ind w:firstLine="1305"/>
        <w:spacing w:after="0" w:line="255" w:lineRule="auto"/>
        <w:tabs>
          <w:tab w:leader="none" w:pos="155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Upon request by the Administrative Agent at any time, the Participants will confirm in writing the Administrative Agent’s authority to release any particular Guarantor pursuant hereto. In connection with any termination or release pursuant to this Section 17, the Administrative Agent shall (and is hereby irrevocably authorized by each Participant to) execute and deliver to any Guarantor or Lessee, at such Guarantor’s or Lessee’s expense, all documents that such Guarantor or Lessee shall reasonably request to evidence such termination or release. Any execution and delivery of documents pursuant to this Section 17 shall be without recourse to or warranty by the Administrative Agent except with respect to any customary further assurances that are expressly agreed to in writing by the Administrative Agent.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69" w:name="page170"/>
    <w:bookmarkEnd w:id="169"/>
    <w:p>
      <w:pPr>
        <w:ind w:left="660"/>
        <w:spacing w:after="0"/>
        <w:rPr>
          <w:sz w:val="20"/>
          <w:szCs w:val="20"/>
          <w:color w:val="auto"/>
        </w:rPr>
      </w:pPr>
      <w:r>
        <w:rPr>
          <w:rFonts w:ascii="Arial" w:cs="Arial" w:eastAsia="Arial" w:hAnsi="Arial"/>
          <w:sz w:val="18"/>
          <w:szCs w:val="18"/>
          <w:i w:val="1"/>
          <w:iCs w:val="1"/>
          <w:color w:val="auto"/>
        </w:rPr>
        <w:t>Section 18. Contribution with Respect to Liabilities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54" w:lineRule="auto"/>
        <w:tabs>
          <w:tab w:leader="none" w:pos="155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the extent that any Guarantor shall make a payment under this Guaranty (a “</w:t>
      </w:r>
      <w:r>
        <w:rPr>
          <w:rFonts w:ascii="Arial" w:cs="Arial" w:eastAsia="Arial" w:hAnsi="Arial"/>
          <w:sz w:val="18"/>
          <w:szCs w:val="18"/>
          <w:i w:val="1"/>
          <w:iCs w:val="1"/>
          <w:color w:val="auto"/>
        </w:rPr>
        <w:t>Guarantor Payment</w:t>
      </w:r>
      <w:r>
        <w:rPr>
          <w:rFonts w:ascii="Arial" w:cs="Arial" w:eastAsia="Arial" w:hAnsi="Arial"/>
          <w:sz w:val="18"/>
          <w:szCs w:val="18"/>
          <w:color w:val="auto"/>
        </w:rPr>
        <w:t>”) which, taking into account all other Guarantor Payments then previously or concurrently made by any other Guarantor, exceeds the amount which otherwise would have been paid by or attributable to such Guarantor if each Guarantor had paid the aggregate Liabilities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Liabilities and termination of this Guaranty,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spacing w:after="0" w:line="192" w:lineRule="exact"/>
        <w:rPr>
          <w:rFonts w:ascii="Arial" w:cs="Arial" w:eastAsia="Arial" w:hAnsi="Arial"/>
          <w:sz w:val="18"/>
          <w:szCs w:val="18"/>
          <w:color w:val="auto"/>
        </w:rPr>
      </w:pPr>
    </w:p>
    <w:p>
      <w:pPr>
        <w:jc w:val="both"/>
        <w:ind w:firstLine="1305"/>
        <w:spacing w:after="0" w:line="302" w:lineRule="auto"/>
        <w:tabs>
          <w:tab w:leader="none" w:pos="155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54" w:lineRule="exact"/>
        <w:rPr>
          <w:rFonts w:ascii="Arial" w:cs="Arial" w:eastAsia="Arial" w:hAnsi="Arial"/>
          <w:sz w:val="16"/>
          <w:szCs w:val="16"/>
          <w:color w:val="auto"/>
        </w:rPr>
      </w:pPr>
    </w:p>
    <w:p>
      <w:pPr>
        <w:jc w:val="both"/>
        <w:ind w:firstLine="1305"/>
        <w:spacing w:after="0" w:line="264" w:lineRule="auto"/>
        <w:tabs>
          <w:tab w:leader="none" w:pos="154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This Section 18 is intended only to define the relative rights of the Guarantors, and nothing set forth in this Section 18 is intended to or shall impair the obligations of the Guarantors, jointly and severally, to pay any amounts as and when the same shall become due and payable in accordance with the terms of this Guaranty.</w:t>
      </w:r>
    </w:p>
    <w:p>
      <w:pPr>
        <w:spacing w:after="0" w:line="181" w:lineRule="exact"/>
        <w:rPr>
          <w:rFonts w:ascii="Arial" w:cs="Arial" w:eastAsia="Arial" w:hAnsi="Arial"/>
          <w:sz w:val="18"/>
          <w:szCs w:val="18"/>
          <w:color w:val="auto"/>
        </w:rPr>
      </w:pPr>
    </w:p>
    <w:p>
      <w:pPr>
        <w:ind w:right="20" w:firstLine="1305"/>
        <w:spacing w:after="0" w:line="277" w:lineRule="auto"/>
        <w:tabs>
          <w:tab w:leader="none" w:pos="155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Guarantor or Guarantors to which such contribution and indemnification is owing.</w:t>
      </w:r>
    </w:p>
    <w:p>
      <w:pPr>
        <w:spacing w:after="0" w:line="170" w:lineRule="exact"/>
        <w:rPr>
          <w:rFonts w:ascii="Arial" w:cs="Arial" w:eastAsia="Arial" w:hAnsi="Arial"/>
          <w:sz w:val="18"/>
          <w:szCs w:val="18"/>
          <w:color w:val="auto"/>
        </w:rPr>
      </w:pPr>
    </w:p>
    <w:p>
      <w:pPr>
        <w:ind w:firstLine="1305"/>
        <w:spacing w:after="0" w:line="277" w:lineRule="auto"/>
        <w:tabs>
          <w:tab w:leader="none" w:pos="157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rights of the indemnifying Guarantors against other Guarantors under this Section 18 shall be exercisable upon the full and indefeasible payment of the Liabilities in cash and the termination of this Guaranty pursuant to Section 17.</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Section 19. Effect of Restatement. </w:t>
      </w:r>
      <w:r>
        <w:rPr>
          <w:rFonts w:ascii="Arial" w:cs="Arial" w:eastAsia="Arial" w:hAnsi="Arial"/>
          <w:sz w:val="18"/>
          <w:szCs w:val="18"/>
          <w:color w:val="auto"/>
        </w:rPr>
        <w:t>On the Restatement Date, the Original Guaranty will be amended and restated as set forth in this Guaranty.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hereto acknowledge and agree, however, that (a) this Guaranty and the other Restated Operative Documents do not constitute a novation or termination of the Liabilities under and as defined in the Original Guaranty or under the other Operative Documents as in effect immediately prior to the Restatement Date, (b) such Liabilities are in all respects continuing with only the terms being modified as provided in this Guaranty and the other Restated Operative Documents, (c) the mortgage, liens and security interests in favor of the Lessor securing payment of such Obligations are in all respects continuing and in full force and effect with respect to all Obligations and (d) except to the extent the context requires otherwise, all references in the other Operative Documents to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70" w:name="page171"/>
    <w:bookmarkEnd w:id="170"/>
    <w:p>
      <w:pPr>
        <w:spacing w:after="0" w:line="277" w:lineRule="auto"/>
        <w:rPr>
          <w:sz w:val="20"/>
          <w:szCs w:val="20"/>
          <w:color w:val="auto"/>
        </w:rPr>
      </w:pPr>
      <w:r>
        <w:rPr>
          <w:rFonts w:ascii="Arial" w:cs="Arial" w:eastAsia="Arial" w:hAnsi="Arial"/>
          <w:sz w:val="18"/>
          <w:szCs w:val="18"/>
          <w:color w:val="auto"/>
        </w:rPr>
        <w:t>“Guaranty” or other reference originally applicable to the Original Guaranty shall be deemed to refer without further amendment to this Guaranty, as amended, restated, supplemented or otherwise modified from time to time in accordance with the terms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ND OF</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AGES</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71" w:name="page172"/>
    <w:bookmarkEnd w:id="171"/>
    <w:p>
      <w:pPr>
        <w:ind w:left="660"/>
        <w:spacing w:after="0"/>
        <w:rPr>
          <w:sz w:val="20"/>
          <w:szCs w:val="20"/>
          <w:color w:val="auto"/>
        </w:rPr>
      </w:pPr>
      <w:r>
        <w:rPr>
          <w:rFonts w:ascii="Arial" w:cs="Arial" w:eastAsia="Arial" w:hAnsi="Arial"/>
          <w:sz w:val="16"/>
          <w:szCs w:val="16"/>
          <w:color w:val="auto"/>
        </w:rPr>
        <w:t>I</w:t>
      </w:r>
      <w:r>
        <w:rPr>
          <w:rFonts w:ascii="Arial" w:cs="Arial" w:eastAsia="Arial" w:hAnsi="Arial"/>
          <w:sz w:val="11"/>
          <w:szCs w:val="11"/>
          <w:color w:val="auto"/>
        </w:rPr>
        <w:t>N</w:t>
      </w:r>
      <w:r>
        <w:rPr>
          <w:rFonts w:ascii="Arial" w:cs="Arial" w:eastAsia="Arial" w:hAnsi="Arial"/>
          <w:sz w:val="16"/>
          <w:szCs w:val="16"/>
          <w:color w:val="auto"/>
        </w:rPr>
        <w:t xml:space="preserve"> W</w:t>
      </w:r>
      <w:r>
        <w:rPr>
          <w:rFonts w:ascii="Arial" w:cs="Arial" w:eastAsia="Arial" w:hAnsi="Arial"/>
          <w:sz w:val="11"/>
          <w:szCs w:val="11"/>
          <w:color w:val="auto"/>
        </w:rPr>
        <w:t>ITNESS</w:t>
      </w:r>
      <w:r>
        <w:rPr>
          <w:rFonts w:ascii="Arial" w:cs="Arial" w:eastAsia="Arial" w:hAnsi="Arial"/>
          <w:sz w:val="16"/>
          <w:szCs w:val="16"/>
          <w:color w:val="auto"/>
        </w:rPr>
        <w:t xml:space="preserve"> W</w:t>
      </w:r>
      <w:r>
        <w:rPr>
          <w:rFonts w:ascii="Arial" w:cs="Arial" w:eastAsia="Arial" w:hAnsi="Arial"/>
          <w:sz w:val="11"/>
          <w:szCs w:val="11"/>
          <w:color w:val="auto"/>
        </w:rPr>
        <w:t>HEREOF</w:t>
      </w:r>
      <w:r>
        <w:rPr>
          <w:rFonts w:ascii="Arial" w:cs="Arial" w:eastAsia="Arial" w:hAnsi="Arial"/>
          <w:sz w:val="16"/>
          <w:szCs w:val="16"/>
          <w:color w:val="auto"/>
        </w:rPr>
        <w:t>, each Initial Guarantor has caused this Amended and Restated Guaranty to be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Parent Guarantor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72" w:name="page173"/>
    <w:bookmarkEnd w:id="172"/>
    <w:p>
      <w:pPr>
        <w:jc w:val="right"/>
        <w:ind w:right="167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H</w:t>
      </w:r>
      <w:r>
        <w:rPr>
          <w:rFonts w:ascii="Arial" w:cs="Arial" w:eastAsia="Arial" w:hAnsi="Arial"/>
          <w:sz w:val="12"/>
          <w:szCs w:val="12"/>
          <w:color w:val="auto"/>
        </w:rPr>
        <w:t>EALTHCARE</w:t>
      </w:r>
      <w:r>
        <w:rPr>
          <w:rFonts w:ascii="Arial" w:cs="Arial" w:eastAsia="Arial" w:hAnsi="Arial"/>
          <w:sz w:val="18"/>
          <w:szCs w:val="18"/>
          <w:color w:val="auto"/>
        </w:rPr>
        <w:t xml:space="preserve"> S</w:t>
      </w:r>
      <w:r>
        <w:rPr>
          <w:rFonts w:ascii="Arial" w:cs="Arial" w:eastAsia="Arial" w:hAnsi="Arial"/>
          <w:sz w:val="12"/>
          <w:szCs w:val="12"/>
          <w:color w:val="auto"/>
        </w:rPr>
        <w:t>OLUTIONS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a Subsidiary Guarantor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184150</wp:posOffset>
            </wp:positionV>
            <wp:extent cx="72466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173" w:name="page174"/>
    <w:bookmarkEnd w:id="173"/>
    <w:p>
      <w:pPr>
        <w:jc w:val="right"/>
        <w:ind w:right="205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G</w:t>
      </w:r>
      <w:r>
        <w:rPr>
          <w:rFonts w:ascii="Arial" w:cs="Arial" w:eastAsia="Arial" w:hAnsi="Arial"/>
          <w:sz w:val="12"/>
          <w:szCs w:val="12"/>
          <w:color w:val="auto"/>
        </w:rPr>
        <w:t>ENETICS</w:t>
      </w:r>
      <w:r>
        <w:rPr>
          <w:rFonts w:ascii="Arial" w:cs="Arial" w:eastAsia="Arial" w:hAnsi="Arial"/>
          <w:sz w:val="18"/>
          <w:szCs w:val="18"/>
          <w:color w:val="auto"/>
        </w:rPr>
        <w:t xml:space="preserve"> C</w:t>
      </w:r>
      <w:r>
        <w:rPr>
          <w:rFonts w:ascii="Arial" w:cs="Arial" w:eastAsia="Arial" w:hAnsi="Arial"/>
          <w:sz w:val="12"/>
          <w:szCs w:val="12"/>
          <w:color w:val="auto"/>
        </w:rPr>
        <w:t>ENTER</w:t>
      </w:r>
      <w:r>
        <w:rPr>
          <w:rFonts w:ascii="Arial" w:cs="Arial" w:eastAsia="Arial" w:hAnsi="Arial"/>
          <w:sz w:val="18"/>
          <w:szCs w:val="18"/>
          <w:color w:val="auto"/>
        </w:rPr>
        <w:t xml:space="preserve"> LLC,</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a Subsidiary Guarantor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184150</wp:posOffset>
            </wp:positionV>
            <wp:extent cx="72466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174" w:name="page175"/>
    <w:bookmarkEnd w:id="174"/>
    <w:p>
      <w:pPr>
        <w:ind w:left="4520"/>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as of the date first written above:</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ANK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N.A.,</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184150</wp:posOffset>
            </wp:positionV>
            <wp:extent cx="72466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NNEX</w:t>
      </w:r>
      <w:r>
        <w:rPr>
          <w:rFonts w:ascii="Arial" w:cs="Arial" w:eastAsia="Arial" w:hAnsi="Arial"/>
          <w:sz w:val="22"/>
          <w:szCs w:val="22"/>
          <w:b w:val="1"/>
          <w:bCs w:val="1"/>
          <w:color w:val="auto"/>
        </w:rPr>
        <w:t xml:space="preserv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UPPLEMENT TO</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UARANTY</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Reference is hereby made to the Amended and Restated Guaranty, dated as of May 2, 2019 (as amended, restated, supplemented or otherwise modified from time to time, the “</w:t>
      </w:r>
      <w:r>
        <w:rPr>
          <w:rFonts w:ascii="Arial" w:cs="Arial" w:eastAsia="Arial" w:hAnsi="Arial"/>
          <w:sz w:val="16"/>
          <w:szCs w:val="16"/>
          <w:i w:val="1"/>
          <w:iCs w:val="1"/>
          <w:color w:val="auto"/>
        </w:rPr>
        <w:t>Guaranty</w:t>
      </w:r>
      <w:r>
        <w:rPr>
          <w:rFonts w:ascii="Arial" w:cs="Arial" w:eastAsia="Arial" w:hAnsi="Arial"/>
          <w:sz w:val="16"/>
          <w:szCs w:val="16"/>
          <w:color w:val="auto"/>
        </w:rPr>
        <w:t>”), made by (i) R</w:t>
      </w:r>
      <w:r>
        <w:rPr>
          <w:rFonts w:ascii="Arial" w:cs="Arial" w:eastAsia="Arial" w:hAnsi="Arial"/>
          <w:sz w:val="11"/>
          <w:szCs w:val="11"/>
          <w:color w:val="auto"/>
        </w:rPr>
        <w:t>EGENERON</w:t>
      </w:r>
      <w:r>
        <w:rPr>
          <w:rFonts w:ascii="Arial" w:cs="Arial" w:eastAsia="Arial" w:hAnsi="Arial"/>
          <w:sz w:val="16"/>
          <w:szCs w:val="16"/>
          <w:color w:val="auto"/>
        </w:rPr>
        <w:t xml:space="preserve"> P</w:t>
      </w:r>
      <w:r>
        <w:rPr>
          <w:rFonts w:ascii="Arial" w:cs="Arial" w:eastAsia="Arial" w:hAnsi="Arial"/>
          <w:sz w:val="11"/>
          <w:szCs w:val="11"/>
          <w:color w:val="auto"/>
        </w:rPr>
        <w:t>HARMACEUTICALS</w:t>
      </w:r>
      <w:r>
        <w:rPr>
          <w:rFonts w:ascii="Arial" w:cs="Arial" w:eastAsia="Arial" w:hAnsi="Arial"/>
          <w:sz w:val="16"/>
          <w:szCs w:val="16"/>
          <w:color w:val="auto"/>
        </w:rPr>
        <w:t>, I</w:t>
      </w:r>
      <w:r>
        <w:rPr>
          <w:rFonts w:ascii="Arial" w:cs="Arial" w:eastAsia="Arial" w:hAnsi="Arial"/>
          <w:sz w:val="11"/>
          <w:szCs w:val="11"/>
          <w:color w:val="auto"/>
        </w:rPr>
        <w:t>NC</w:t>
      </w:r>
      <w:r>
        <w:rPr>
          <w:rFonts w:ascii="Arial" w:cs="Arial" w:eastAsia="Arial" w:hAnsi="Arial"/>
          <w:sz w:val="16"/>
          <w:szCs w:val="16"/>
          <w:color w:val="auto"/>
        </w:rPr>
        <w:t>., a New York corporation (the “</w:t>
      </w:r>
      <w:r>
        <w:rPr>
          <w:rFonts w:ascii="Arial" w:cs="Arial" w:eastAsia="Arial" w:hAnsi="Arial"/>
          <w:sz w:val="16"/>
          <w:szCs w:val="16"/>
          <w:i w:val="1"/>
          <w:iCs w:val="1"/>
          <w:color w:val="auto"/>
        </w:rPr>
        <w:t>Parent Guarantor</w:t>
      </w:r>
      <w:r>
        <w:rPr>
          <w:rFonts w:ascii="Arial" w:cs="Arial" w:eastAsia="Arial" w:hAnsi="Arial"/>
          <w:sz w:val="16"/>
          <w:szCs w:val="16"/>
          <w:color w:val="auto"/>
        </w:rPr>
        <w:t>”), and (ii) each Subsidiary of the Parent Guarantor party thereto from time to time as a Subsidiary Guarantor, and together with the New Subsidiary Guarantor (as defined below) (the “</w:t>
      </w:r>
      <w:r>
        <w:rPr>
          <w:rFonts w:ascii="Arial" w:cs="Arial" w:eastAsia="Arial" w:hAnsi="Arial"/>
          <w:sz w:val="16"/>
          <w:szCs w:val="16"/>
          <w:i w:val="1"/>
          <w:iCs w:val="1"/>
          <w:color w:val="auto"/>
        </w:rPr>
        <w:t>Subsidiary Guarantors</w:t>
      </w:r>
      <w:r>
        <w:rPr>
          <w:rFonts w:ascii="Arial" w:cs="Arial" w:eastAsia="Arial" w:hAnsi="Arial"/>
          <w:sz w:val="16"/>
          <w:szCs w:val="16"/>
          <w:color w:val="auto"/>
        </w:rPr>
        <w:t xml:space="preserve">”) in favor of (a) each Participant, and (b) the Administrative Agent, for the benefit of itself and the other Beneficiaries. Capitalized terms used herein and not defined herein shall have the meanings given to them in the Guaranty. By its execution below, the undersigned </w:t>
      </w:r>
      <w:r>
        <w:rPr>
          <w:rFonts w:ascii="Arial" w:cs="Arial" w:eastAsia="Arial" w:hAnsi="Arial"/>
          <w:sz w:val="16"/>
          <w:szCs w:val="16"/>
          <w:b w:val="1"/>
          <w:bCs w:val="1"/>
          <w:color w:val="auto"/>
        </w:rPr>
        <w:t>[N</w:t>
      </w:r>
      <w:r>
        <w:rPr>
          <w:rFonts w:ascii="Arial" w:cs="Arial" w:eastAsia="Arial" w:hAnsi="Arial"/>
          <w:sz w:val="11"/>
          <w:szCs w:val="11"/>
          <w:b w:val="1"/>
          <w:bCs w:val="1"/>
          <w:color w:val="auto"/>
        </w:rPr>
        <w:t>AME</w:t>
      </w:r>
      <w:r>
        <w:rPr>
          <w:rFonts w:ascii="Arial" w:cs="Arial" w:eastAsia="Arial" w:hAnsi="Arial"/>
          <w:sz w:val="16"/>
          <w:szCs w:val="16"/>
          <w:color w:val="auto"/>
        </w:rPr>
        <w:t xml:space="preserve"> </w:t>
      </w:r>
      <w:r>
        <w:rPr>
          <w:rFonts w:ascii="Arial" w:cs="Arial" w:eastAsia="Arial" w:hAnsi="Arial"/>
          <w:sz w:val="11"/>
          <w:szCs w:val="11"/>
          <w:b w:val="1"/>
          <w:bCs w:val="1"/>
          <w:color w:val="auto"/>
        </w:rPr>
        <w:t xml:space="preserve">OF </w:t>
      </w:r>
      <w:r>
        <w:rPr>
          <w:rFonts w:ascii="Arial" w:cs="Arial" w:eastAsia="Arial" w:hAnsi="Arial"/>
          <w:sz w:val="16"/>
          <w:szCs w:val="16"/>
          <w:b w:val="1"/>
          <w:bCs w:val="1"/>
          <w:color w:val="auto"/>
        </w:rPr>
        <w:t>N</w:t>
      </w:r>
      <w:r>
        <w:rPr>
          <w:rFonts w:ascii="Arial" w:cs="Arial" w:eastAsia="Arial" w:hAnsi="Arial"/>
          <w:sz w:val="11"/>
          <w:szCs w:val="11"/>
          <w:b w:val="1"/>
          <w:bCs w:val="1"/>
          <w:color w:val="auto"/>
        </w:rPr>
        <w:t xml:space="preserve">EW </w:t>
      </w:r>
      <w:r>
        <w:rPr>
          <w:rFonts w:ascii="Arial" w:cs="Arial" w:eastAsia="Arial" w:hAnsi="Arial"/>
          <w:sz w:val="16"/>
          <w:szCs w:val="16"/>
          <w:b w:val="1"/>
          <w:bCs w:val="1"/>
          <w:color w:val="auto"/>
        </w:rPr>
        <w:t>S</w:t>
      </w:r>
      <w:r>
        <w:rPr>
          <w:rFonts w:ascii="Arial" w:cs="Arial" w:eastAsia="Arial" w:hAnsi="Arial"/>
          <w:sz w:val="11"/>
          <w:szCs w:val="11"/>
          <w:b w:val="1"/>
          <w:bCs w:val="1"/>
          <w:color w:val="auto"/>
        </w:rPr>
        <w:t xml:space="preserve">UBSIDIARY </w:t>
      </w:r>
      <w:r>
        <w:rPr>
          <w:rFonts w:ascii="Arial" w:cs="Arial" w:eastAsia="Arial" w:hAnsi="Arial"/>
          <w:sz w:val="16"/>
          <w:szCs w:val="16"/>
          <w:b w:val="1"/>
          <w:bCs w:val="1"/>
          <w:color w:val="auto"/>
        </w:rPr>
        <w:t>G</w:t>
      </w:r>
      <w:r>
        <w:rPr>
          <w:rFonts w:ascii="Arial" w:cs="Arial" w:eastAsia="Arial" w:hAnsi="Arial"/>
          <w:sz w:val="11"/>
          <w:szCs w:val="11"/>
          <w:b w:val="1"/>
          <w:bCs w:val="1"/>
          <w:color w:val="auto"/>
        </w:rPr>
        <w:t>UARANTOR</w:t>
      </w:r>
      <w:r>
        <w:rPr>
          <w:rFonts w:ascii="Arial" w:cs="Arial" w:eastAsia="Arial" w:hAnsi="Arial"/>
          <w:sz w:val="16"/>
          <w:szCs w:val="16"/>
          <w:b w:val="1"/>
          <w:bCs w:val="1"/>
          <w:color w:val="auto"/>
        </w:rPr>
        <w:t>]</w:t>
      </w:r>
      <w:r>
        <w:rPr>
          <w:rFonts w:ascii="Arial" w:cs="Arial" w:eastAsia="Arial" w:hAnsi="Arial"/>
          <w:sz w:val="16"/>
          <w:szCs w:val="16"/>
          <w:color w:val="auto"/>
        </w:rPr>
        <w:t>, a</w:t>
      </w: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rPr>
        <w:t>[corporation] [partnership] [limited liability company]</w:t>
      </w:r>
      <w:r>
        <w:rPr>
          <w:rFonts w:ascii="Arial" w:cs="Arial" w:eastAsia="Arial" w:hAnsi="Arial"/>
          <w:sz w:val="11"/>
          <w:szCs w:val="11"/>
          <w:b w:val="1"/>
          <w:bCs w:val="1"/>
          <w:color w:val="auto"/>
        </w:rPr>
        <w:t xml:space="preserve"> </w:t>
      </w:r>
      <w:r>
        <w:rPr>
          <w:rFonts w:ascii="Arial" w:cs="Arial" w:eastAsia="Arial" w:hAnsi="Arial"/>
          <w:sz w:val="16"/>
          <w:szCs w:val="16"/>
          <w:color w:val="auto"/>
        </w:rPr>
        <w:t>(the “</w:t>
      </w:r>
      <w:r>
        <w:rPr>
          <w:rFonts w:ascii="Arial" w:cs="Arial" w:eastAsia="Arial" w:hAnsi="Arial"/>
          <w:sz w:val="16"/>
          <w:szCs w:val="16"/>
          <w:i w:val="1"/>
          <w:iCs w:val="1"/>
          <w:color w:val="auto"/>
        </w:rPr>
        <w:t>New Subsidiary Guarantor</w:t>
      </w:r>
      <w:r>
        <w:rPr>
          <w:rFonts w:ascii="Arial" w:cs="Arial" w:eastAsia="Arial" w:hAnsi="Arial"/>
          <w:sz w:val="16"/>
          <w:szCs w:val="16"/>
          <w:color w:val="auto"/>
        </w:rPr>
        <w:t>”), agrees to become, and does</w:t>
      </w:r>
      <w:r>
        <w:rPr>
          <w:rFonts w:ascii="Arial" w:cs="Arial" w:eastAsia="Arial" w:hAnsi="Arial"/>
          <w:sz w:val="11"/>
          <w:szCs w:val="11"/>
          <w:b w:val="1"/>
          <w:bCs w:val="1"/>
          <w:color w:val="auto"/>
        </w:rPr>
        <w:t xml:space="preserve"> </w:t>
      </w:r>
      <w:r>
        <w:rPr>
          <w:rFonts w:ascii="Arial" w:cs="Arial" w:eastAsia="Arial" w:hAnsi="Arial"/>
          <w:sz w:val="16"/>
          <w:szCs w:val="16"/>
          <w:color w:val="auto"/>
        </w:rPr>
        <w:t>hereby become, a Subsidiary Guarantor under the Guaranty and agrees to be bound by such Guaranty as if originally a party thereto. By its execution below, the undersigned represents and warrants as to itself that all of the representations and warranties contained in clauses (a) (solely the first sentence thereof), (b) and (c) of Section 7 of the Guaranty that are applicable to a Subsidiary Guarantor or a Subsidiary of the Parent Guarantor are true and correct in all material respects (or, in the case of any representation or warranty qualified by materiality or Material Adverse Effect, in all respects) as of the date hereof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w:t>
      </w:r>
      <w:r>
        <w:rPr>
          <w:rFonts w:ascii="Arial" w:cs="Arial" w:eastAsia="Arial" w:hAnsi="Arial"/>
          <w:sz w:val="11"/>
          <w:szCs w:val="11"/>
          <w:color w:val="auto"/>
        </w:rPr>
        <w:t>N</w:t>
      </w:r>
      <w:r>
        <w:rPr>
          <w:rFonts w:ascii="Arial" w:cs="Arial" w:eastAsia="Arial" w:hAnsi="Arial"/>
          <w:sz w:val="16"/>
          <w:szCs w:val="16"/>
          <w:color w:val="auto"/>
        </w:rPr>
        <w:t xml:space="preserve"> W</w:t>
      </w:r>
      <w:r>
        <w:rPr>
          <w:rFonts w:ascii="Arial" w:cs="Arial" w:eastAsia="Arial" w:hAnsi="Arial"/>
          <w:sz w:val="11"/>
          <w:szCs w:val="11"/>
          <w:color w:val="auto"/>
        </w:rPr>
        <w:t>ITNESS</w:t>
      </w:r>
      <w:r>
        <w:rPr>
          <w:rFonts w:ascii="Arial" w:cs="Arial" w:eastAsia="Arial" w:hAnsi="Arial"/>
          <w:sz w:val="16"/>
          <w:szCs w:val="16"/>
          <w:color w:val="auto"/>
        </w:rPr>
        <w:t xml:space="preserve"> W</w:t>
      </w:r>
      <w:r>
        <w:rPr>
          <w:rFonts w:ascii="Arial" w:cs="Arial" w:eastAsia="Arial" w:hAnsi="Arial"/>
          <w:sz w:val="11"/>
          <w:szCs w:val="11"/>
          <w:color w:val="auto"/>
        </w:rPr>
        <w:t>HEREOF</w:t>
      </w:r>
      <w:r>
        <w:rPr>
          <w:rFonts w:ascii="Arial" w:cs="Arial" w:eastAsia="Arial" w:hAnsi="Arial"/>
          <w:sz w:val="16"/>
          <w:szCs w:val="16"/>
          <w:color w:val="auto"/>
        </w:rPr>
        <w:t>, the New Subsidiary Guarantor has caused this Supplement to the Guaranty to be duly executed and delivered as of this 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 of ________________, 20__.</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N</w:t>
      </w:r>
      <w:r>
        <w:rPr>
          <w:rFonts w:ascii="Arial" w:cs="Arial" w:eastAsia="Arial" w:hAnsi="Arial"/>
          <w:sz w:val="12"/>
          <w:szCs w:val="12"/>
          <w:color w:val="auto"/>
        </w:rPr>
        <w:t>EW</w:t>
      </w:r>
      <w:r>
        <w:rPr>
          <w:rFonts w:ascii="Arial" w:cs="Arial" w:eastAsia="Arial" w:hAnsi="Arial"/>
          <w:sz w:val="18"/>
          <w:szCs w:val="18"/>
          <w:color w:val="auto"/>
        </w:rPr>
        <w:t xml:space="preserve"> S</w:t>
      </w:r>
      <w:r>
        <w:rPr>
          <w:rFonts w:ascii="Arial" w:cs="Arial" w:eastAsia="Arial" w:hAnsi="Arial"/>
          <w:sz w:val="12"/>
          <w:szCs w:val="12"/>
          <w:color w:val="auto"/>
        </w:rPr>
        <w:t>UBSIDIARY</w:t>
      </w:r>
      <w:r>
        <w:rPr>
          <w:rFonts w:ascii="Arial" w:cs="Arial" w:eastAsia="Arial" w:hAnsi="Arial"/>
          <w:sz w:val="18"/>
          <w:szCs w:val="18"/>
          <w:color w:val="auto"/>
        </w:rPr>
        <w:t xml:space="preserve"> G</w:t>
      </w:r>
      <w:r>
        <w:rPr>
          <w:rFonts w:ascii="Arial" w:cs="Arial" w:eastAsia="Arial" w:hAnsi="Arial"/>
          <w:sz w:val="12"/>
          <w:szCs w:val="12"/>
          <w:color w:val="auto"/>
        </w:rPr>
        <w:t>UARANTOR</w:t>
      </w:r>
      <w:r>
        <w:rPr>
          <w:rFonts w:ascii="Arial" w:cs="Arial" w:eastAsia="Arial" w:hAnsi="Arial"/>
          <w:sz w:val="18"/>
          <w:szCs w:val="18"/>
          <w:color w:val="auto"/>
        </w:rPr>
        <w:t>]</w:t>
      </w:r>
    </w:p>
    <w:p>
      <w:pPr>
        <w:spacing w:after="0" w:line="22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14605</wp:posOffset>
            </wp:positionV>
            <wp:extent cx="25901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14605</wp:posOffset>
            </wp:positionV>
            <wp:extent cx="26498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SSIGNMENT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w:t>
      </w:r>
      <w:r>
        <w:rPr>
          <w:rFonts w:ascii="Arial" w:cs="Arial" w:eastAsia="Arial" w:hAnsi="Arial"/>
          <w:sz w:val="11"/>
          <w:szCs w:val="11"/>
          <w:color w:val="auto"/>
        </w:rPr>
        <w:t>HIS</w:t>
      </w:r>
      <w:r>
        <w:rPr>
          <w:rFonts w:ascii="Arial" w:cs="Arial" w:eastAsia="Arial" w:hAnsi="Arial"/>
          <w:sz w:val="16"/>
          <w:szCs w:val="16"/>
          <w:color w:val="auto"/>
        </w:rPr>
        <w:t xml:space="preserve"> A</w:t>
      </w:r>
      <w:r>
        <w:rPr>
          <w:rFonts w:ascii="Arial" w:cs="Arial" w:eastAsia="Arial" w:hAnsi="Arial"/>
          <w:sz w:val="11"/>
          <w:szCs w:val="11"/>
          <w:color w:val="auto"/>
        </w:rPr>
        <w:t>SSIGNEE</w:t>
      </w:r>
      <w:r>
        <w:rPr>
          <w:rFonts w:ascii="Arial" w:cs="Arial" w:eastAsia="Arial" w:hAnsi="Arial"/>
          <w:sz w:val="16"/>
          <w:szCs w:val="16"/>
          <w:color w:val="auto"/>
        </w:rPr>
        <w:t xml:space="preserve"> A</w:t>
      </w:r>
      <w:r>
        <w:rPr>
          <w:rFonts w:ascii="Arial" w:cs="Arial" w:eastAsia="Arial" w:hAnsi="Arial"/>
          <w:sz w:val="11"/>
          <w:szCs w:val="11"/>
          <w:color w:val="auto"/>
        </w:rPr>
        <w:t>SSUMPTION</w:t>
      </w:r>
      <w:r>
        <w:rPr>
          <w:rFonts w:ascii="Arial" w:cs="Arial" w:eastAsia="Arial" w:hAnsi="Arial"/>
          <w:sz w:val="16"/>
          <w:szCs w:val="16"/>
          <w:color w:val="auto"/>
        </w:rPr>
        <w:t xml:space="preserve"> A</w:t>
      </w:r>
      <w:r>
        <w:rPr>
          <w:rFonts w:ascii="Arial" w:cs="Arial" w:eastAsia="Arial" w:hAnsi="Arial"/>
          <w:sz w:val="11"/>
          <w:szCs w:val="11"/>
          <w:color w:val="auto"/>
        </w:rPr>
        <w:t>GREEMENT</w:t>
      </w:r>
      <w:r>
        <w:rPr>
          <w:rFonts w:ascii="Arial" w:cs="Arial" w:eastAsia="Arial" w:hAnsi="Arial"/>
          <w:sz w:val="16"/>
          <w:szCs w:val="16"/>
          <w:color w:val="auto"/>
        </w:rPr>
        <w:t xml:space="preserve"> (this “</w:t>
      </w:r>
      <w:r>
        <w:rPr>
          <w:rFonts w:ascii="Arial" w:cs="Arial" w:eastAsia="Arial" w:hAnsi="Arial"/>
          <w:sz w:val="16"/>
          <w:szCs w:val="16"/>
          <w:i w:val="1"/>
          <w:iCs w:val="1"/>
          <w:color w:val="auto"/>
        </w:rPr>
        <w:t>Agreement</w:t>
      </w:r>
      <w:r>
        <w:rPr>
          <w:rFonts w:ascii="Arial" w:cs="Arial" w:eastAsia="Arial" w:hAnsi="Arial"/>
          <w:sz w:val="16"/>
          <w:szCs w:val="16"/>
          <w:color w:val="auto"/>
        </w:rPr>
        <w:t>”) is made by [Name of Assignee], a ____________________ (“</w:t>
      </w:r>
      <w:r>
        <w:rPr>
          <w:rFonts w:ascii="Arial" w:cs="Arial" w:eastAsia="Arial" w:hAnsi="Arial"/>
          <w:sz w:val="16"/>
          <w:szCs w:val="16"/>
          <w:i w:val="1"/>
          <w:iCs w:val="1"/>
          <w:color w:val="auto"/>
        </w:rPr>
        <w:t>Assignee</w:t>
      </w:r>
      <w:r>
        <w:rPr>
          <w:rFonts w:ascii="Arial" w:cs="Arial" w:eastAsia="Arial" w:hAnsi="Arial"/>
          <w:sz w:val="16"/>
          <w:szCs w:val="16"/>
          <w:color w:val="auto"/>
        </w:rPr>
        <w:t>”), and agreed to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acknowledged by [Name of Assignor], a ____________________ (“</w:t>
      </w:r>
      <w:r>
        <w:rPr>
          <w:rFonts w:ascii="Arial" w:cs="Arial" w:eastAsia="Arial" w:hAnsi="Arial"/>
          <w:sz w:val="18"/>
          <w:szCs w:val="18"/>
          <w:i w:val="1"/>
          <w:iCs w:val="1"/>
          <w:color w:val="auto"/>
        </w:rPr>
        <w:t>Assignor</w:t>
      </w:r>
      <w:r>
        <w:rPr>
          <w:rFonts w:ascii="Arial" w:cs="Arial" w:eastAsia="Arial" w:hAnsi="Arial"/>
          <w:sz w:val="18"/>
          <w:szCs w:val="18"/>
          <w:color w:val="auto"/>
        </w:rPr>
        <w:t>”), on [_______ __, 20__].</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ITNESSETH</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HEREAS</w:t>
      </w:r>
      <w:r>
        <w:rPr>
          <w:rFonts w:ascii="Arial" w:cs="Arial" w:eastAsia="Arial" w:hAnsi="Arial"/>
          <w:sz w:val="18"/>
          <w:szCs w:val="18"/>
          <w:color w:val="auto"/>
        </w:rPr>
        <w:t>, Assignor is a party to that certain Amended and Restated Participation Agreement, dated as of May 2, 2019 (as amended, restated, supplemented or otherwise modified from time to time, the “</w:t>
      </w:r>
      <w:r>
        <w:rPr>
          <w:rFonts w:ascii="Arial" w:cs="Arial" w:eastAsia="Arial" w:hAnsi="Arial"/>
          <w:sz w:val="18"/>
          <w:szCs w:val="18"/>
          <w:i w:val="1"/>
          <w:iCs w:val="1"/>
          <w:color w:val="auto"/>
        </w:rPr>
        <w:t>Participation Agreement</w:t>
      </w:r>
      <w:r>
        <w:rPr>
          <w:rFonts w:ascii="Arial" w:cs="Arial" w:eastAsia="Arial" w:hAnsi="Arial"/>
          <w:sz w:val="18"/>
          <w:szCs w:val="18"/>
          <w:color w:val="auto"/>
        </w:rPr>
        <w:t>”), among Assignor, as a Participant; 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 a New York limited liability company, as Lessee; BA L</w:t>
      </w:r>
      <w:r>
        <w:rPr>
          <w:rFonts w:ascii="Arial" w:cs="Arial" w:eastAsia="Arial" w:hAnsi="Arial"/>
          <w:sz w:val="12"/>
          <w:szCs w:val="12"/>
          <w:color w:val="auto"/>
        </w:rPr>
        <w:t>EASING</w:t>
      </w:r>
      <w:r>
        <w:rPr>
          <w:rFonts w:ascii="Arial" w:cs="Arial" w:eastAsia="Arial" w:hAnsi="Arial"/>
          <w:sz w:val="18"/>
          <w:szCs w:val="18"/>
          <w:color w:val="auto"/>
        </w:rPr>
        <w:t xml:space="preserve"> BSC, LLC, as Lessor; B</w:t>
      </w:r>
      <w:r>
        <w:rPr>
          <w:rFonts w:ascii="Arial" w:cs="Arial" w:eastAsia="Arial" w:hAnsi="Arial"/>
          <w:sz w:val="12"/>
          <w:szCs w:val="12"/>
          <w:color w:val="auto"/>
        </w:rPr>
        <w:t>ANK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N.A., not in its individual capacity, except as expressly stated therein, but solely as Administrative Agent; and the Lenders from time to time party thereto;</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w:t>
      </w:r>
      <w:r>
        <w:rPr>
          <w:rFonts w:ascii="Arial" w:cs="Arial" w:eastAsia="Arial" w:hAnsi="Arial"/>
          <w:sz w:val="11"/>
          <w:szCs w:val="11"/>
          <w:color w:val="auto"/>
        </w:rPr>
        <w:t>HEREAS</w:t>
      </w:r>
      <w:r>
        <w:rPr>
          <w:rFonts w:ascii="Arial" w:cs="Arial" w:eastAsia="Arial" w:hAnsi="Arial"/>
          <w:sz w:val="16"/>
          <w:szCs w:val="16"/>
          <w:color w:val="auto"/>
        </w:rPr>
        <w:t>, subject to the terms and conditions hereof, pursuant to Section 12.1 of the Participation Agreement, Assignor desires to transfer $[_______] of the amount of its [Loan Balance][Lessor Balance] and its related right, title and interest in, to and under the Participation Agreement, the other</w:t>
      </w:r>
    </w:p>
    <w:p>
      <w:pPr>
        <w:spacing w:after="0"/>
        <w:rPr>
          <w:sz w:val="20"/>
          <w:szCs w:val="20"/>
          <w:color w:val="auto"/>
        </w:rPr>
      </w:pPr>
      <w:r>
        <w:rPr>
          <w:rFonts w:ascii="Arial" w:cs="Arial" w:eastAsia="Arial" w:hAnsi="Arial"/>
          <w:sz w:val="16"/>
          <w:szCs w:val="16"/>
          <w:color w:val="auto"/>
        </w:rPr>
        <w:t>Operative Documents to which Assignor is a party, the Leased Property and the other Collateral to Assignee, and Assignee desires to acquire $[_______] of</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amount of Assignor’s [Loan Balance][Lessor Balance] and of said right, title and interest in, to and under the Participation Agreement, the other Operative Documents to which Assignor is a party, the Leased Property and the other Collateral;</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HEREAS</w:t>
      </w:r>
      <w:r>
        <w:rPr>
          <w:rFonts w:ascii="Arial" w:cs="Arial" w:eastAsia="Arial" w:hAnsi="Arial"/>
          <w:sz w:val="18"/>
          <w:szCs w:val="18"/>
          <w:color w:val="auto"/>
        </w:rPr>
        <w:t xml:space="preserve">, subject to the terms and conditions hereof, pursuant to Section 12.1 of the Participation Agreement Assignee is required,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to become a party to the Participation Agreement and to all of the other Operative Documents to which Assignor is a party, to provide all of the representations, warranties and agreements set forth in Section 2 hereof and to be bound by all of the terms of, and to undertake and assume all of the obligations with respect to the Interest (as defined below) of Assignor contained in, the Operative Documents, except as provided below and Assignor acknowledges and consents to the assumption of such agreements and obligations by Assignee;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w:t>
      </w:r>
      <w:r>
        <w:rPr>
          <w:rFonts w:ascii="Arial" w:cs="Arial" w:eastAsia="Arial" w:hAnsi="Arial"/>
          <w:sz w:val="11"/>
          <w:szCs w:val="11"/>
          <w:color w:val="auto"/>
        </w:rPr>
        <w:t>OW</w:t>
      </w:r>
      <w:r>
        <w:rPr>
          <w:rFonts w:ascii="Arial" w:cs="Arial" w:eastAsia="Arial" w:hAnsi="Arial"/>
          <w:sz w:val="17"/>
          <w:szCs w:val="17"/>
          <w:color w:val="auto"/>
        </w:rPr>
        <w:t xml:space="preserve"> T</w:t>
      </w:r>
      <w:r>
        <w:rPr>
          <w:rFonts w:ascii="Arial" w:cs="Arial" w:eastAsia="Arial" w:hAnsi="Arial"/>
          <w:sz w:val="11"/>
          <w:szCs w:val="11"/>
          <w:color w:val="auto"/>
        </w:rPr>
        <w:t>HEREFORE</w:t>
      </w:r>
      <w:r>
        <w:rPr>
          <w:rFonts w:ascii="Arial" w:cs="Arial" w:eastAsia="Arial" w:hAnsi="Arial"/>
          <w:sz w:val="17"/>
          <w:szCs w:val="17"/>
          <w:color w:val="auto"/>
        </w:rPr>
        <w:t>, in consideration of the premises and the mutual agreements herein contained, and other good and valuable consideration, the receipt and sufficiency of which are hereby acknowledged, and intending to be legally bound, the parties hereto agree as follows:</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Section 1. Definitions. </w:t>
      </w:r>
      <w:r>
        <w:rPr>
          <w:rFonts w:ascii="Arial" w:cs="Arial" w:eastAsia="Arial" w:hAnsi="Arial"/>
          <w:sz w:val="18"/>
          <w:szCs w:val="18"/>
          <w:color w:val="auto"/>
        </w:rPr>
        <w:t>Capitalized terms used but not defined herein shall, except as such definitions may be specifically modified in the body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 for the purposes of a particular section, paragraph or clause, have the meanings given such terms in Appendix 1 to the Participation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77" w:name="page178"/>
    <w:bookmarkEnd w:id="177"/>
    <w:p>
      <w:pPr>
        <w:ind w:left="540"/>
        <w:spacing w:after="0"/>
        <w:rPr>
          <w:sz w:val="20"/>
          <w:szCs w:val="20"/>
          <w:color w:val="auto"/>
        </w:rPr>
      </w:pPr>
      <w:r>
        <w:rPr>
          <w:rFonts w:ascii="Arial" w:cs="Arial" w:eastAsia="Arial" w:hAnsi="Arial"/>
          <w:sz w:val="18"/>
          <w:szCs w:val="18"/>
          <w:i w:val="1"/>
          <w:iCs w:val="1"/>
          <w:color w:val="auto"/>
        </w:rPr>
        <w:t>Section 2. Agreements.</w:t>
      </w:r>
    </w:p>
    <w:p>
      <w:pPr>
        <w:spacing w:after="0" w:line="225" w:lineRule="exact"/>
        <w:rPr>
          <w:sz w:val="20"/>
          <w:szCs w:val="20"/>
          <w:color w:val="auto"/>
        </w:rPr>
      </w:pPr>
    </w:p>
    <w:p>
      <w:pPr>
        <w:jc w:val="both"/>
        <w:ind w:left="-120" w:firstLine="656"/>
        <w:spacing w:after="0" w:line="269" w:lineRule="auto"/>
        <w:tabs>
          <w:tab w:leader="none" w:pos="773" w:val="left"/>
        </w:tabs>
        <w:numPr>
          <w:ilvl w:val="0"/>
          <w:numId w:val="147"/>
        </w:numPr>
        <w:rPr>
          <w:rFonts w:ascii="Arial" w:cs="Arial" w:eastAsia="Arial" w:hAnsi="Arial"/>
          <w:sz w:val="17"/>
          <w:szCs w:val="17"/>
          <w:color w:val="auto"/>
        </w:rPr>
      </w:pPr>
      <w:r>
        <w:rPr>
          <w:rFonts w:ascii="Arial" w:cs="Arial" w:eastAsia="Arial" w:hAnsi="Arial"/>
          <w:sz w:val="17"/>
          <w:szCs w:val="17"/>
          <w:i w:val="1"/>
          <w:iCs w:val="1"/>
          <w:color w:val="auto"/>
        </w:rPr>
        <w:t xml:space="preserve">Transfer and Assumption. </w:t>
      </w:r>
      <w:r>
        <w:rPr>
          <w:rFonts w:ascii="Arial" w:cs="Arial" w:eastAsia="Arial" w:hAnsi="Arial"/>
          <w:sz w:val="17"/>
          <w:szCs w:val="17"/>
          <w:color w:val="auto"/>
        </w:rPr>
        <w:t>Assignor hereby irrevocably sells, transfers and assigns, without recourse to Assignor, to Assignee $[_______] of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[Loan Balance][Lessor Balance] and its related right, title and interest in, to and under the Participation Agreement, the other Operative Documents to which Assignor is a party, the Leased Property and the other Collateral, and Assignee hereby irrevocably (A) purchases and assumes $[_______] of Assignor’s [Loan Balance][Lessor Balance] and all of such right, title and interest transferred pursuant to this paragraph (a) in, to and under the Participation Agreement, the other Operative Documents to which Assignor is a party, the Leased Property and other Collateral, (B) confirms that from and after the date hereof it shall be a party to each of the Operative Documents to which Assignor is a party and (C) from and after the date hereof agrees to be bound by all the terms of such Operative Documents as a Participant, and undertakes and assumes all the obligations of Assignor contained in such Operative Documents with respect to the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Assignor’s rights to indemnification under Article XIII of the Participation Agreement to the extent relating to acts, conditions or events occurring or existing prior to the date hereof shall be retained in full by Assignor,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Assignor shall have the right to direct the Administrative Agent with respect to such rights retained by Assignor and (y) any obligations of Assignor arising or accruing prior to the date hereof shall be retained by Assignor and not assumed by Assignee. The right, title and interest so transferred are hereinafter called the “</w:t>
      </w:r>
      <w:r>
        <w:rPr>
          <w:rFonts w:ascii="Arial" w:cs="Arial" w:eastAsia="Arial" w:hAnsi="Arial"/>
          <w:sz w:val="17"/>
          <w:szCs w:val="17"/>
          <w:i w:val="1"/>
          <w:iCs w:val="1"/>
          <w:color w:val="auto"/>
        </w:rPr>
        <w:t>Interest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 [Loan Balance][Lessor Balance] transferred hereunder is equal to $____________.</w:t>
      </w:r>
    </w:p>
    <w:p>
      <w:pPr>
        <w:spacing w:after="0" w:line="179" w:lineRule="exact"/>
        <w:rPr>
          <w:rFonts w:ascii="Arial" w:cs="Arial" w:eastAsia="Arial" w:hAnsi="Arial"/>
          <w:sz w:val="17"/>
          <w:szCs w:val="17"/>
          <w:color w:val="auto"/>
        </w:rPr>
      </w:pPr>
    </w:p>
    <w:p>
      <w:pPr>
        <w:ind w:left="-120" w:firstLine="656"/>
        <w:spacing w:after="0" w:line="277" w:lineRule="auto"/>
        <w:tabs>
          <w:tab w:leader="none" w:pos="783"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of Assignee. </w:t>
      </w:r>
      <w:r>
        <w:rPr>
          <w:rFonts w:ascii="Arial" w:cs="Arial" w:eastAsia="Arial" w:hAnsi="Arial"/>
          <w:sz w:val="18"/>
          <w:szCs w:val="18"/>
          <w:color w:val="auto"/>
        </w:rPr>
        <w:t>Assignee, for the benefit of the other Participants, Administrative Agent, Lessee and the Guarantors,</w:t>
      </w:r>
      <w:r>
        <w:rPr>
          <w:rFonts w:ascii="Arial" w:cs="Arial" w:eastAsia="Arial" w:hAnsi="Arial"/>
          <w:sz w:val="18"/>
          <w:szCs w:val="18"/>
          <w:i w:val="1"/>
          <w:iCs w:val="1"/>
          <w:color w:val="auto"/>
        </w:rPr>
        <w:t xml:space="preserve"> </w:t>
      </w:r>
      <w:r>
        <w:rPr>
          <w:rFonts w:ascii="Arial" w:cs="Arial" w:eastAsia="Arial" w:hAnsi="Arial"/>
          <w:sz w:val="18"/>
          <w:szCs w:val="18"/>
          <w:color w:val="auto"/>
        </w:rPr>
        <w:t>hereby represents and warrants that:</w:t>
      </w:r>
    </w:p>
    <w:p>
      <w:pPr>
        <w:spacing w:after="0" w:line="170" w:lineRule="exact"/>
        <w:rPr>
          <w:sz w:val="20"/>
          <w:szCs w:val="20"/>
          <w:color w:val="auto"/>
        </w:rPr>
      </w:pPr>
    </w:p>
    <w:p>
      <w:pPr>
        <w:ind w:left="1480" w:hanging="206"/>
        <w:spacing w:after="0"/>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Eligible Assignee. </w:t>
      </w:r>
      <w:r>
        <w:rPr>
          <w:rFonts w:ascii="Arial" w:cs="Arial" w:eastAsia="Arial" w:hAnsi="Arial"/>
          <w:sz w:val="18"/>
          <w:szCs w:val="18"/>
          <w:color w:val="auto"/>
        </w:rPr>
        <w:t>[</w:t>
      </w:r>
      <w:r>
        <w:rPr>
          <w:rFonts w:ascii="Arial" w:cs="Arial" w:eastAsia="Arial" w:hAnsi="Arial"/>
          <w:sz w:val="18"/>
          <w:szCs w:val="18"/>
          <w:i w:val="1"/>
          <w:iCs w:val="1"/>
          <w:color w:val="auto"/>
        </w:rPr>
        <w:t>SELECT ONE</w:t>
      </w:r>
      <w:r>
        <w:rPr>
          <w:rFonts w:ascii="Arial" w:cs="Arial" w:eastAsia="Arial" w:hAnsi="Arial"/>
          <w:sz w:val="18"/>
          <w:szCs w:val="18"/>
          <w:color w:val="auto"/>
        </w:rPr>
        <w:t>]:</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_____ Assignee is (x) already a Participant (immediately prior to the effectiveness of this Agreement), (y) an Affiliate or Subsidiary</w:t>
      </w:r>
    </w:p>
    <w:p>
      <w:pPr>
        <w:spacing w:after="0" w:line="4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of a Participant, and/or (z) a lender or Affiliate or Subsidiary of a lender under the Bank Credit Agreement.</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_____ Assignee is an Eligible Assignee under clause (c) or (d) of the definition thereof and, to the extent required pursuant to the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terms of the Participation Agreement, has obtained Lessee’s consent to the assignment contemplated hereby.</w:t>
      </w:r>
    </w:p>
    <w:p>
      <w:pPr>
        <w:spacing w:after="0" w:line="211" w:lineRule="exact"/>
        <w:rPr>
          <w:sz w:val="20"/>
          <w:szCs w:val="20"/>
          <w:color w:val="auto"/>
        </w:rPr>
      </w:pPr>
    </w:p>
    <w:p>
      <w:pPr>
        <w:jc w:val="both"/>
        <w:ind w:left="540" w:firstLine="734"/>
        <w:spacing w:after="0" w:line="264" w:lineRule="auto"/>
        <w:tabs>
          <w:tab w:leader="none" w:pos="1557"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Power and Authority</w:t>
      </w:r>
      <w:r>
        <w:rPr>
          <w:rFonts w:ascii="Arial" w:cs="Arial" w:eastAsia="Arial" w:hAnsi="Arial"/>
          <w:sz w:val="18"/>
          <w:szCs w:val="18"/>
          <w:color w:val="auto"/>
        </w:rPr>
        <w:t>. Assignee has the requisite power and authority to enter into and perform its obligations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other Operative Documents to which it will become a party (the “</w:t>
      </w:r>
      <w:r>
        <w:rPr>
          <w:rFonts w:ascii="Arial" w:cs="Arial" w:eastAsia="Arial" w:hAnsi="Arial"/>
          <w:sz w:val="18"/>
          <w:szCs w:val="18"/>
          <w:i w:val="1"/>
          <w:iCs w:val="1"/>
          <w:color w:val="auto"/>
        </w:rPr>
        <w:t>Assigned Agreements</w:t>
      </w:r>
      <w:r>
        <w:rPr>
          <w:rFonts w:ascii="Arial" w:cs="Arial" w:eastAsia="Arial" w:hAnsi="Arial"/>
          <w:sz w:val="18"/>
          <w:szCs w:val="18"/>
          <w:color w:val="auto"/>
        </w:rPr>
        <w:t>”) and to accept the assignment and transfer of the Interest and engage in the Overall Transaction.</w:t>
      </w:r>
    </w:p>
    <w:p>
      <w:pPr>
        <w:spacing w:after="0" w:line="181" w:lineRule="exact"/>
        <w:rPr>
          <w:rFonts w:ascii="Arial" w:cs="Arial" w:eastAsia="Arial" w:hAnsi="Arial"/>
          <w:sz w:val="18"/>
          <w:szCs w:val="18"/>
          <w:color w:val="auto"/>
        </w:rPr>
      </w:pPr>
    </w:p>
    <w:p>
      <w:pPr>
        <w:ind w:left="1580" w:hanging="306"/>
        <w:spacing w:after="0"/>
        <w:tabs>
          <w:tab w:leader="none" w:pos="1580" w:val="left"/>
        </w:tabs>
        <w:numPr>
          <w:ilvl w:val="0"/>
          <w:numId w:val="149"/>
        </w:numPr>
        <w:rPr>
          <w:rFonts w:ascii="Arial" w:cs="Arial" w:eastAsia="Arial" w:hAnsi="Arial"/>
          <w:sz w:val="16"/>
          <w:szCs w:val="16"/>
          <w:color w:val="auto"/>
        </w:rPr>
      </w:pPr>
      <w:r>
        <w:rPr>
          <w:rFonts w:ascii="Arial" w:cs="Arial" w:eastAsia="Arial" w:hAnsi="Arial"/>
          <w:sz w:val="16"/>
          <w:szCs w:val="16"/>
          <w:i w:val="1"/>
          <w:iCs w:val="1"/>
          <w:color w:val="auto"/>
        </w:rPr>
        <w:t>Assignee Liens</w:t>
      </w:r>
      <w:r>
        <w:rPr>
          <w:rFonts w:ascii="Arial" w:cs="Arial" w:eastAsia="Arial" w:hAnsi="Arial"/>
          <w:sz w:val="16"/>
          <w:szCs w:val="16"/>
          <w:color w:val="auto"/>
        </w:rPr>
        <w:t>. There are no Lessor Liens attributable to the Assignee on the Lease, the Leased Property or any other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184150</wp:posOffset>
            </wp:positionV>
            <wp:extent cx="72466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360" w:top="409" w:right="239" w:bottom="1440" w:gutter="0" w:footer="0" w:header="0"/>
        </w:sectPr>
      </w:pPr>
    </w:p>
    <w:bookmarkStart w:id="178" w:name="page179"/>
    <w:bookmarkEnd w:id="178"/>
    <w:p>
      <w:pPr>
        <w:ind w:left="4" w:firstLine="734"/>
        <w:spacing w:after="0" w:line="277" w:lineRule="auto"/>
        <w:tabs>
          <w:tab w:leader="none" w:pos="1047" w:val="left"/>
        </w:tabs>
        <w:numPr>
          <w:ilvl w:val="2"/>
          <w:numId w:val="150"/>
        </w:numPr>
        <w:rPr>
          <w:rFonts w:ascii="Arial" w:cs="Arial" w:eastAsia="Arial" w:hAnsi="Arial"/>
          <w:sz w:val="18"/>
          <w:szCs w:val="18"/>
          <w:color w:val="auto"/>
        </w:rPr>
      </w:pPr>
      <w:r>
        <w:rPr>
          <w:rFonts w:ascii="Arial" w:cs="Arial" w:eastAsia="Arial" w:hAnsi="Arial"/>
          <w:sz w:val="18"/>
          <w:szCs w:val="18"/>
          <w:i w:val="1"/>
          <w:iCs w:val="1"/>
          <w:color w:val="auto"/>
        </w:rPr>
        <w:t>Organization, etc</w:t>
      </w:r>
      <w:r>
        <w:rPr>
          <w:rFonts w:ascii="Arial" w:cs="Arial" w:eastAsia="Arial" w:hAnsi="Arial"/>
          <w:sz w:val="18"/>
          <w:szCs w:val="18"/>
          <w:color w:val="auto"/>
        </w:rPr>
        <w:t>. The Assignee is a ____________________ validly organized and existing and in good standing under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or jurisdiction of its creation.</w:t>
      </w:r>
    </w:p>
    <w:p>
      <w:pPr>
        <w:spacing w:after="0" w:line="170" w:lineRule="exact"/>
        <w:rPr>
          <w:rFonts w:ascii="Arial" w:cs="Arial" w:eastAsia="Arial" w:hAnsi="Arial"/>
          <w:sz w:val="18"/>
          <w:szCs w:val="18"/>
          <w:color w:val="auto"/>
        </w:rPr>
      </w:pPr>
    </w:p>
    <w:p>
      <w:pPr>
        <w:jc w:val="both"/>
        <w:ind w:left="4" w:firstLine="734"/>
        <w:spacing w:after="0" w:line="259" w:lineRule="auto"/>
        <w:tabs>
          <w:tab w:leader="none" w:pos="997" w:val="left"/>
        </w:tabs>
        <w:numPr>
          <w:ilvl w:val="2"/>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The Assignee (i) did not make, or subsequently acquire an interest in, any of the Loans or other Advances with the assets of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 plan” (as defined in Section 3(3) of ERISA), which is subject to Title I of ERISA or “plan” (as defined in Section 4975(e)(1) of the Code), (ii) is not purchasing the Interest hereunder with any such assets, and (iii) is not performing its obligations under the Operative Documents with any such assets.</w:t>
      </w:r>
    </w:p>
    <w:p>
      <w:pPr>
        <w:spacing w:after="0" w:line="186" w:lineRule="exact"/>
        <w:rPr>
          <w:rFonts w:ascii="Arial" w:cs="Arial" w:eastAsia="Arial" w:hAnsi="Arial"/>
          <w:sz w:val="18"/>
          <w:szCs w:val="18"/>
          <w:color w:val="auto"/>
        </w:rPr>
      </w:pPr>
    </w:p>
    <w:p>
      <w:pPr>
        <w:jc w:val="both"/>
        <w:ind w:left="4" w:firstLine="645"/>
        <w:spacing w:after="0" w:line="257" w:lineRule="auto"/>
        <w:tabs>
          <w:tab w:leader="none" w:pos="984" w:val="left"/>
        </w:tabs>
        <w:numPr>
          <w:ilvl w:val="1"/>
          <w:numId w:val="151"/>
        </w:numPr>
        <w:rPr>
          <w:rFonts w:ascii="Arial" w:cs="Arial" w:eastAsia="Arial" w:hAnsi="Arial"/>
          <w:sz w:val="18"/>
          <w:szCs w:val="18"/>
          <w:color w:val="auto"/>
        </w:rPr>
      </w:pPr>
      <w:r>
        <w:rPr>
          <w:rFonts w:ascii="Arial" w:cs="Arial" w:eastAsia="Arial" w:hAnsi="Arial"/>
          <w:sz w:val="18"/>
          <w:szCs w:val="18"/>
          <w:i w:val="1"/>
          <w:iCs w:val="1"/>
          <w:color w:val="auto"/>
        </w:rPr>
        <w:t>Authorization; Binding Effect</w:t>
      </w:r>
      <w:r>
        <w:rPr>
          <w:rFonts w:ascii="Arial" w:cs="Arial" w:eastAsia="Arial" w:hAnsi="Arial"/>
          <w:sz w:val="18"/>
          <w:szCs w:val="18"/>
          <w:color w:val="auto"/>
        </w:rPr>
        <w:t>. This Agreement has been or will be, on the date required to be delivered hereby, duly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and delivered by the Assignee. This Agreement and each of the other Assigned Agreements are the valid, legal and binding agreements of the Assignee, enforceable against the Assignee in accordance with their respective terms, except as enforcement may be limited by bankruptcy, insolvency, reorganization, moratorium or other similar laws affecting the enforcement of creditors’ rights generally and by general principles of equity.</w:t>
      </w:r>
    </w:p>
    <w:p>
      <w:pPr>
        <w:spacing w:after="0" w:line="188" w:lineRule="exact"/>
        <w:rPr>
          <w:rFonts w:ascii="Arial" w:cs="Arial" w:eastAsia="Arial" w:hAnsi="Arial"/>
          <w:sz w:val="18"/>
          <w:szCs w:val="18"/>
          <w:color w:val="auto"/>
        </w:rPr>
      </w:pPr>
    </w:p>
    <w:p>
      <w:pPr>
        <w:ind w:left="4" w:firstLine="645"/>
        <w:spacing w:after="0" w:line="277" w:lineRule="auto"/>
        <w:tabs>
          <w:tab w:leader="none" w:pos="1034" w:val="left"/>
        </w:tabs>
        <w:numPr>
          <w:ilvl w:val="1"/>
          <w:numId w:val="151"/>
        </w:numPr>
        <w:rPr>
          <w:rFonts w:ascii="Arial" w:cs="Arial" w:eastAsia="Arial" w:hAnsi="Arial"/>
          <w:sz w:val="18"/>
          <w:szCs w:val="18"/>
          <w:color w:val="auto"/>
        </w:rPr>
      </w:pPr>
      <w:r>
        <w:rPr>
          <w:rFonts w:ascii="Arial" w:cs="Arial" w:eastAsia="Arial" w:hAnsi="Arial"/>
          <w:sz w:val="18"/>
          <w:szCs w:val="18"/>
          <w:i w:val="1"/>
          <w:iCs w:val="1"/>
          <w:color w:val="auto"/>
        </w:rPr>
        <w:t>Non-Contravention</w:t>
      </w:r>
      <w:r>
        <w:rPr>
          <w:rFonts w:ascii="Arial" w:cs="Arial" w:eastAsia="Arial" w:hAnsi="Arial"/>
          <w:sz w:val="18"/>
          <w:szCs w:val="18"/>
          <w:color w:val="auto"/>
        </w:rPr>
        <w:t>. Neither the execution and delivery by the Assignee of this Agreement, nor compliance with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hereof, violates any of the terms, conditions or provisions of its charter documents or bylaws.</w:t>
      </w:r>
    </w:p>
    <w:p>
      <w:pPr>
        <w:spacing w:after="0" w:line="170" w:lineRule="exact"/>
        <w:rPr>
          <w:rFonts w:ascii="Arial" w:cs="Arial" w:eastAsia="Arial" w:hAnsi="Arial"/>
          <w:sz w:val="18"/>
          <w:szCs w:val="18"/>
          <w:color w:val="auto"/>
        </w:rPr>
      </w:pPr>
    </w:p>
    <w:p>
      <w:pPr>
        <w:ind w:left="4" w:firstLine="645"/>
        <w:spacing w:after="0" w:line="277" w:lineRule="auto"/>
        <w:tabs>
          <w:tab w:leader="none" w:pos="1057" w:val="left"/>
        </w:tabs>
        <w:numPr>
          <w:ilvl w:val="1"/>
          <w:numId w:val="151"/>
        </w:numPr>
        <w:rPr>
          <w:rFonts w:ascii="Arial" w:cs="Arial" w:eastAsia="Arial" w:hAnsi="Arial"/>
          <w:sz w:val="18"/>
          <w:szCs w:val="18"/>
          <w:color w:val="auto"/>
        </w:rPr>
      </w:pPr>
      <w:r>
        <w:rPr>
          <w:rFonts w:ascii="Arial" w:cs="Arial" w:eastAsia="Arial" w:hAnsi="Arial"/>
          <w:sz w:val="18"/>
          <w:szCs w:val="18"/>
          <w:i w:val="1"/>
          <w:iCs w:val="1"/>
          <w:color w:val="auto"/>
        </w:rPr>
        <w:t>Tax Documentation</w:t>
      </w:r>
      <w:r>
        <w:rPr>
          <w:rFonts w:ascii="Arial" w:cs="Arial" w:eastAsia="Arial" w:hAnsi="Arial"/>
          <w:sz w:val="18"/>
          <w:szCs w:val="18"/>
          <w:color w:val="auto"/>
        </w:rPr>
        <w:t>. Attached to this Agreement is any documentation required to be delivered by the Assignee pursuant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Section 12.3 of the Participation Agreement, duly completed and executed by the Assignee.</w:t>
      </w:r>
    </w:p>
    <w:p>
      <w:pPr>
        <w:spacing w:after="0" w:line="170" w:lineRule="exact"/>
        <w:rPr>
          <w:rFonts w:ascii="Arial" w:cs="Arial" w:eastAsia="Arial" w:hAnsi="Arial"/>
          <w:sz w:val="18"/>
          <w:szCs w:val="18"/>
          <w:color w:val="auto"/>
        </w:rPr>
      </w:pPr>
    </w:p>
    <w:p>
      <w:pPr>
        <w:jc w:val="both"/>
        <w:ind w:left="-656" w:firstLine="656"/>
        <w:spacing w:after="0" w:line="312" w:lineRule="auto"/>
        <w:tabs>
          <w:tab w:leader="none" w:pos="237"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of Assignor. </w:t>
      </w:r>
      <w:r>
        <w:rPr>
          <w:rFonts w:ascii="Arial" w:cs="Arial" w:eastAsia="Arial" w:hAnsi="Arial"/>
          <w:sz w:val="16"/>
          <w:szCs w:val="16"/>
          <w:color w:val="auto"/>
        </w:rPr>
        <w:t>Assignor hereby represents and warrants that (i) it is the legal and beneficial owner of the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prior to giving effect to this Agreement), (ii) the Interest is free and clear of any lien, encumbrance or other adverse claim and (iii) it has full power and authority, and has taken all action necessary, to execute and deliver this Agreement and to consummate the transactions contemplated hereby.</w:t>
      </w:r>
    </w:p>
    <w:p>
      <w:pPr>
        <w:spacing w:after="0" w:line="146" w:lineRule="exact"/>
        <w:rPr>
          <w:rFonts w:ascii="Arial" w:cs="Arial" w:eastAsia="Arial" w:hAnsi="Arial"/>
          <w:sz w:val="16"/>
          <w:szCs w:val="16"/>
          <w:color w:val="auto"/>
        </w:rPr>
      </w:pPr>
    </w:p>
    <w:p>
      <w:pPr>
        <w:ind w:left="-656" w:firstLine="656"/>
        <w:spacing w:after="0" w:line="277" w:lineRule="auto"/>
        <w:tabs>
          <w:tab w:leader="none" w:pos="247"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Third Party Beneficiaries. </w:t>
      </w:r>
      <w:r>
        <w:rPr>
          <w:rFonts w:ascii="Arial" w:cs="Arial" w:eastAsia="Arial" w:hAnsi="Arial"/>
          <w:sz w:val="18"/>
          <w:szCs w:val="18"/>
          <w:color w:val="auto"/>
        </w:rPr>
        <w:t>Assignor and Assignee hereby expressly agree that Lessee, the Guarantors and Administrative Agent are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beneficiaries of this Agreement.</w:t>
      </w:r>
    </w:p>
    <w:p>
      <w:pPr>
        <w:spacing w:after="0" w:line="170" w:lineRule="exact"/>
        <w:rPr>
          <w:rFonts w:ascii="Arial" w:cs="Arial" w:eastAsia="Arial" w:hAnsi="Arial"/>
          <w:sz w:val="18"/>
          <w:szCs w:val="18"/>
          <w:color w:val="auto"/>
        </w:rPr>
      </w:pPr>
    </w:p>
    <w:p>
      <w:pPr>
        <w:jc w:val="both"/>
        <w:ind w:left="-656" w:firstLine="656"/>
        <w:spacing w:after="0" w:line="312" w:lineRule="auto"/>
        <w:tabs>
          <w:tab w:leader="none" w:pos="250"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Payments</w:t>
      </w:r>
      <w:r>
        <w:rPr>
          <w:rFonts w:ascii="Arial" w:cs="Arial" w:eastAsia="Arial" w:hAnsi="Arial"/>
          <w:sz w:val="16"/>
          <w:szCs w:val="16"/>
          <w:color w:val="auto"/>
        </w:rPr>
        <w:t>. From and after the date hereof, the Administrative Agent (or the Lessee or Lessor, as applicable, in accordance with the Operative</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shall make all payments in respect of the Interest (including payments of principal, interest, fees and other amounts) to the Assignor for amounts which have accrued to but excluding the date hereof and to the Assignee for amounts which have accrued from and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119380</wp:posOffset>
            </wp:positionV>
            <wp:extent cx="724662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9" w:right="239" w:bottom="1440" w:gutter="0" w:footer="0" w:header="0"/>
        </w:sectPr>
      </w:pPr>
    </w:p>
    <w:bookmarkStart w:id="179" w:name="page180"/>
    <w:bookmarkEnd w:id="179"/>
    <w:p>
      <w:pPr>
        <w:ind w:left="660"/>
        <w:spacing w:after="0"/>
        <w:rPr>
          <w:sz w:val="20"/>
          <w:szCs w:val="20"/>
          <w:color w:val="auto"/>
        </w:rPr>
      </w:pPr>
      <w:r>
        <w:rPr>
          <w:rFonts w:ascii="Arial" w:cs="Arial" w:eastAsia="Arial" w:hAnsi="Arial"/>
          <w:sz w:val="18"/>
          <w:szCs w:val="18"/>
          <w:i w:val="1"/>
          <w:iCs w:val="1"/>
          <w:color w:val="auto"/>
        </w:rPr>
        <w:t>Section 3. Miscellaneous.</w:t>
      </w:r>
    </w:p>
    <w:p>
      <w:pPr>
        <w:spacing w:after="0" w:line="225" w:lineRule="exact"/>
        <w:rPr>
          <w:sz w:val="20"/>
          <w:szCs w:val="20"/>
          <w:color w:val="auto"/>
        </w:rPr>
      </w:pPr>
    </w:p>
    <w:p>
      <w:pPr>
        <w:ind w:firstLine="656"/>
        <w:spacing w:after="0" w:line="277" w:lineRule="auto"/>
        <w:tabs>
          <w:tab w:leader="none" w:pos="893"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The address of Assignee, for notices and payments under the Operative Documents and its Applicable Lending Office, is until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notice in accordance with Section 15.3 of the Participation Agreement,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Notice Information of Assignee: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14605</wp:posOffset>
            </wp:positionV>
            <wp:extent cx="20497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04978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169545</wp:posOffset>
            </wp:positionV>
            <wp:extent cx="25298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323850</wp:posOffset>
            </wp:positionV>
            <wp:extent cx="252984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14605</wp:posOffset>
            </wp:positionV>
            <wp:extent cx="20066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14605</wp:posOffset>
            </wp:positionV>
            <wp:extent cx="16725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14605</wp:posOffset>
            </wp:positionV>
            <wp:extent cx="17322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Applicable Lending Office of Assignee (Address for Wires):</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Bank: _______________________</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Address: _______________________</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ABA Routing No: _______________________</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Account No: _______________________</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Account Name: _______________________</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Attention: _______________________</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Reference: _______________________</w:t>
      </w:r>
    </w:p>
    <w:p>
      <w:pPr>
        <w:spacing w:after="0" w:line="211" w:lineRule="exact"/>
        <w:rPr>
          <w:sz w:val="20"/>
          <w:szCs w:val="20"/>
          <w:color w:val="auto"/>
        </w:rPr>
      </w:pPr>
    </w:p>
    <w:p>
      <w:pPr>
        <w:jc w:val="both"/>
        <w:ind w:firstLine="656"/>
        <w:spacing w:after="0" w:line="264" w:lineRule="auto"/>
        <w:tabs>
          <w:tab w:leader="none" w:pos="903"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w:t>
      </w:r>
      <w:r>
        <w:rPr>
          <w:rFonts w:ascii="Arial" w:cs="Arial" w:eastAsia="Arial" w:hAnsi="Arial"/>
          <w:sz w:val="12"/>
          <w:szCs w:val="12"/>
          <w:color w:val="auto"/>
        </w:rPr>
        <w:t>HIS</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2"/>
          <w:szCs w:val="12"/>
          <w:color w:val="auto"/>
        </w:rPr>
        <w:t>GREEMENT SHALL IN ALL RESPECTS BE GOVERNED BY THE INTERNAL LAW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w:t>
      </w:r>
      <w:r>
        <w:rPr>
          <w:rFonts w:ascii="Arial" w:cs="Arial" w:eastAsia="Arial" w:hAnsi="Arial"/>
          <w:sz w:val="12"/>
          <w:szCs w:val="12"/>
          <w:color w:val="auto"/>
        </w:rPr>
        <w:t>TATE OF</w:t>
      </w:r>
      <w:r>
        <w:rPr>
          <w:rFonts w:ascii="Arial" w:cs="Arial" w:eastAsia="Arial" w:hAnsi="Arial"/>
          <w:sz w:val="18"/>
          <w:szCs w:val="18"/>
          <w:i w:val="1"/>
          <w:iCs w:val="1"/>
          <w:color w:val="auto"/>
        </w:rPr>
        <w:t xml:space="preserve"> </w:t>
      </w:r>
      <w:r>
        <w:rPr>
          <w:rFonts w:ascii="Arial" w:cs="Arial" w:eastAsia="Arial" w:hAnsi="Arial"/>
          <w:sz w:val="18"/>
          <w:szCs w:val="18"/>
          <w:color w:val="auto"/>
        </w:rPr>
        <w:t>N</w:t>
      </w:r>
      <w:r>
        <w:rPr>
          <w:rFonts w:ascii="Arial" w:cs="Arial" w:eastAsia="Arial" w:hAnsi="Arial"/>
          <w:sz w:val="12"/>
          <w:szCs w:val="12"/>
          <w:color w:val="auto"/>
        </w:rPr>
        <w:t>EW</w:t>
      </w:r>
      <w:r>
        <w:rPr>
          <w:rFonts w:ascii="Arial" w:cs="Arial" w:eastAsia="Arial" w:hAnsi="Arial"/>
          <w:sz w:val="18"/>
          <w:szCs w:val="18"/>
          <w:i w:val="1"/>
          <w:iCs w:val="1"/>
          <w:color w:val="auto"/>
        </w:rPr>
        <w:t xml:space="preserve"> </w:t>
      </w:r>
      <w:r>
        <w:rPr>
          <w:rFonts w:ascii="Arial" w:cs="Arial" w:eastAsia="Arial" w:hAnsi="Arial"/>
          <w:sz w:val="18"/>
          <w:szCs w:val="18"/>
          <w:color w:val="auto"/>
        </w:rPr>
        <w:t>Y</w:t>
      </w:r>
      <w:r>
        <w:rPr>
          <w:rFonts w:ascii="Arial" w:cs="Arial" w:eastAsia="Arial" w:hAnsi="Arial"/>
          <w:sz w:val="12"/>
          <w:szCs w:val="12"/>
          <w:color w:val="auto"/>
        </w:rPr>
        <w:t>ORK</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2"/>
          <w:szCs w:val="12"/>
          <w:color w:val="auto"/>
        </w:rPr>
        <w:t>INCLUDING AS TO ALL MATTERS OF</w:t>
      </w:r>
      <w:r>
        <w:rPr>
          <w:rFonts w:ascii="Arial" w:cs="Arial" w:eastAsia="Arial" w:hAnsi="Arial"/>
          <w:sz w:val="18"/>
          <w:szCs w:val="18"/>
          <w:i w:val="1"/>
          <w:iCs w:val="1"/>
          <w:color w:val="auto"/>
        </w:rPr>
        <w:t xml:space="preserve"> </w:t>
      </w:r>
      <w:r>
        <w:rPr>
          <w:rFonts w:ascii="Arial" w:cs="Arial" w:eastAsia="Arial" w:hAnsi="Arial"/>
          <w:sz w:val="12"/>
          <w:szCs w:val="12"/>
          <w:color w:val="auto"/>
        </w:rPr>
        <w:t>CONSTRUCTION</w:t>
      </w:r>
      <w:r>
        <w:rPr>
          <w:rFonts w:ascii="Arial" w:cs="Arial" w:eastAsia="Arial" w:hAnsi="Arial"/>
          <w:sz w:val="18"/>
          <w:szCs w:val="18"/>
          <w:color w:val="auto"/>
        </w:rPr>
        <w:t>,</w:t>
      </w:r>
      <w:r>
        <w:rPr>
          <w:rFonts w:ascii="Arial" w:cs="Arial" w:eastAsia="Arial" w:hAnsi="Arial"/>
          <w:sz w:val="12"/>
          <w:szCs w:val="12"/>
          <w:color w:val="auto"/>
        </w:rPr>
        <w:t xml:space="preserve"> VALIDITY AND PERFORMANCE</w:t>
      </w:r>
      <w:r>
        <w:rPr>
          <w:rFonts w:ascii="Arial" w:cs="Arial" w:eastAsia="Arial" w:hAnsi="Arial"/>
          <w:sz w:val="18"/>
          <w:szCs w:val="18"/>
          <w:color w:val="auto"/>
        </w:rPr>
        <w:t>,</w:t>
      </w:r>
      <w:r>
        <w:rPr>
          <w:rFonts w:ascii="Arial" w:cs="Arial" w:eastAsia="Arial" w:hAnsi="Arial"/>
          <w:sz w:val="12"/>
          <w:szCs w:val="12"/>
          <w:color w:val="auto"/>
        </w:rPr>
        <w:t xml:space="preserve"> WITHOUT REFERENCE TO ANY CONFLICT OF LAW PRINCIPLES</w:t>
      </w:r>
      <w:r>
        <w:rPr>
          <w:rFonts w:ascii="Arial" w:cs="Arial" w:eastAsia="Arial" w:hAnsi="Arial"/>
          <w:sz w:val="18"/>
          <w:szCs w:val="18"/>
          <w:color w:val="auto"/>
        </w:rPr>
        <w:t>,</w:t>
      </w:r>
      <w:r>
        <w:rPr>
          <w:rFonts w:ascii="Arial" w:cs="Arial" w:eastAsia="Arial" w:hAnsi="Arial"/>
          <w:sz w:val="12"/>
          <w:szCs w:val="12"/>
          <w:color w:val="auto"/>
        </w:rPr>
        <w:t xml:space="preserve"> EXCEPT </w:t>
      </w:r>
      <w:r>
        <w:rPr>
          <w:rFonts w:ascii="Arial" w:cs="Arial" w:eastAsia="Arial" w:hAnsi="Arial"/>
          <w:sz w:val="18"/>
          <w:szCs w:val="18"/>
          <w:color w:val="auto"/>
        </w:rPr>
        <w:t>T</w:t>
      </w:r>
      <w:r>
        <w:rPr>
          <w:rFonts w:ascii="Arial" w:cs="Arial" w:eastAsia="Arial" w:hAnsi="Arial"/>
          <w:sz w:val="12"/>
          <w:szCs w:val="12"/>
          <w:color w:val="auto"/>
        </w:rPr>
        <w:t xml:space="preserve">ITLE </w:t>
      </w:r>
      <w:r>
        <w:rPr>
          <w:rFonts w:ascii="Arial" w:cs="Arial" w:eastAsia="Arial" w:hAnsi="Arial"/>
          <w:sz w:val="18"/>
          <w:szCs w:val="18"/>
          <w:color w:val="auto"/>
        </w:rPr>
        <w:t>14</w:t>
      </w:r>
      <w:r>
        <w:rPr>
          <w:rFonts w:ascii="Arial" w:cs="Arial" w:eastAsia="Arial" w:hAnsi="Arial"/>
          <w:sz w:val="12"/>
          <w:szCs w:val="12"/>
          <w:color w:val="auto"/>
        </w:rPr>
        <w:t xml:space="preserve"> OF </w:t>
      </w:r>
      <w:r>
        <w:rPr>
          <w:rFonts w:ascii="Arial" w:cs="Arial" w:eastAsia="Arial" w:hAnsi="Arial"/>
          <w:sz w:val="18"/>
          <w:szCs w:val="18"/>
          <w:color w:val="auto"/>
        </w:rPr>
        <w:t>A</w:t>
      </w:r>
      <w:r>
        <w:rPr>
          <w:rFonts w:ascii="Arial" w:cs="Arial" w:eastAsia="Arial" w:hAnsi="Arial"/>
          <w:sz w:val="12"/>
          <w:szCs w:val="12"/>
          <w:color w:val="auto"/>
        </w:rPr>
        <w:t xml:space="preserve">RTICLE </w:t>
      </w:r>
      <w:r>
        <w:rPr>
          <w:rFonts w:ascii="Arial" w:cs="Arial" w:eastAsia="Arial" w:hAnsi="Arial"/>
          <w:sz w:val="18"/>
          <w:szCs w:val="18"/>
          <w:color w:val="auto"/>
        </w:rPr>
        <w:t>5</w:t>
      </w:r>
      <w:r>
        <w:rPr>
          <w:rFonts w:ascii="Arial" w:cs="Arial" w:eastAsia="Arial" w:hAnsi="Arial"/>
          <w:sz w:val="12"/>
          <w:szCs w:val="12"/>
          <w:color w:val="auto"/>
        </w:rPr>
        <w:t xml:space="preserve"> OF THE </w:t>
      </w:r>
      <w:r>
        <w:rPr>
          <w:rFonts w:ascii="Arial" w:cs="Arial" w:eastAsia="Arial" w:hAnsi="Arial"/>
          <w:sz w:val="18"/>
          <w:szCs w:val="18"/>
          <w:color w:val="auto"/>
        </w:rPr>
        <w:t>N</w:t>
      </w:r>
      <w:r>
        <w:rPr>
          <w:rFonts w:ascii="Arial" w:cs="Arial" w:eastAsia="Arial" w:hAnsi="Arial"/>
          <w:sz w:val="12"/>
          <w:szCs w:val="12"/>
          <w:color w:val="auto"/>
        </w:rPr>
        <w:t xml:space="preserve">EW </w:t>
      </w:r>
      <w:r>
        <w:rPr>
          <w:rFonts w:ascii="Arial" w:cs="Arial" w:eastAsia="Arial" w:hAnsi="Arial"/>
          <w:sz w:val="18"/>
          <w:szCs w:val="18"/>
          <w:color w:val="auto"/>
        </w:rPr>
        <w:t>Y</w:t>
      </w:r>
      <w:r>
        <w:rPr>
          <w:rFonts w:ascii="Arial" w:cs="Arial" w:eastAsia="Arial" w:hAnsi="Arial"/>
          <w:sz w:val="12"/>
          <w:szCs w:val="12"/>
          <w:color w:val="auto"/>
        </w:rPr>
        <w:t>ORK GENERAL OBLIGATIONS LAW</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executed by the parties hereto in separate counterparts, each of which when so executed and delivered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be an original, but all such counterparts shall together constitute one and the same instrument.</w:t>
      </w:r>
    </w:p>
    <w:p>
      <w:pPr>
        <w:spacing w:after="0" w:line="211" w:lineRule="exact"/>
        <w:rPr>
          <w:sz w:val="20"/>
          <w:szCs w:val="20"/>
          <w:color w:val="auto"/>
        </w:rPr>
      </w:pPr>
    </w:p>
    <w:p>
      <w:pPr>
        <w:ind w:firstLine="656"/>
        <w:spacing w:after="0" w:line="277" w:lineRule="auto"/>
        <w:tabs>
          <w:tab w:leader="none" w:pos="916"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Benefit and Binding Effect. </w:t>
      </w:r>
      <w:r>
        <w:rPr>
          <w:rFonts w:ascii="Arial" w:cs="Arial" w:eastAsia="Arial" w:hAnsi="Arial"/>
          <w:sz w:val="18"/>
          <w:szCs w:val="18"/>
          <w:color w:val="auto"/>
        </w:rPr>
        <w:t>The terms of this Agreement shall be binding upon, and shall inure to the benefit of, Assignor, Assignee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successors and permitted assigns.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906"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Entire Agreement. </w:t>
      </w:r>
      <w:r>
        <w:rPr>
          <w:rFonts w:ascii="Arial" w:cs="Arial" w:eastAsia="Arial" w:hAnsi="Arial"/>
          <w:sz w:val="18"/>
          <w:szCs w:val="18"/>
          <w:color w:val="auto"/>
        </w:rPr>
        <w:t>This Agreement, together with the agreements, instruments and other documents required to be executed and delivered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herewith, represents the entire agreement between Assignor and Assignee and supersedes all prior agreements and understanding of Assignor and Assignee with respect to the subject matter covered hereby.</w:t>
      </w:r>
    </w:p>
    <w:p>
      <w:pPr>
        <w:spacing w:after="0" w:line="181" w:lineRule="exact"/>
        <w:rPr>
          <w:rFonts w:ascii="Arial" w:cs="Arial" w:eastAsia="Arial" w:hAnsi="Arial"/>
          <w:sz w:val="18"/>
          <w:szCs w:val="18"/>
          <w:color w:val="auto"/>
        </w:rPr>
      </w:pPr>
    </w:p>
    <w:p>
      <w:pPr>
        <w:ind w:left="880" w:hanging="224"/>
        <w:spacing w:after="0"/>
        <w:tabs>
          <w:tab w:leader="none" w:pos="880" w:val="left"/>
        </w:tabs>
        <w:numPr>
          <w:ilvl w:val="0"/>
          <w:numId w:val="155"/>
        </w:numPr>
        <w:rPr>
          <w:rFonts w:ascii="Arial" w:cs="Arial" w:eastAsia="Arial" w:hAnsi="Arial"/>
          <w:sz w:val="16"/>
          <w:szCs w:val="16"/>
          <w:color w:val="auto"/>
        </w:rPr>
      </w:pP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This Agreement and the assignment and assumption effected hereby shall be effective from and after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0" w:name="page181"/>
    <w:bookmarkEnd w:id="180"/>
    <w:p>
      <w:pPr>
        <w:jc w:val="both"/>
        <w:ind w:firstLine="656"/>
        <w:spacing w:after="0" w:line="264" w:lineRule="auto"/>
        <w:tabs>
          <w:tab w:leader="none" w:pos="903"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Neither this Agreement nor any of the terms hereof may be terminated, amended, restated, supplemented, waived or modified orally,</w:t>
      </w:r>
      <w:r>
        <w:rPr>
          <w:rFonts w:ascii="Arial" w:cs="Arial" w:eastAsia="Arial" w:hAnsi="Arial"/>
          <w:sz w:val="18"/>
          <w:szCs w:val="18"/>
          <w:i w:val="1"/>
          <w:iCs w:val="1"/>
          <w:color w:val="auto"/>
        </w:rPr>
        <w:t xml:space="preserve"> </w:t>
      </w:r>
      <w:r>
        <w:rPr>
          <w:rFonts w:ascii="Arial" w:cs="Arial" w:eastAsia="Arial" w:hAnsi="Arial"/>
          <w:sz w:val="18"/>
          <w:szCs w:val="18"/>
          <w:color w:val="auto"/>
        </w:rPr>
        <w:t>but only by an instrument in writing signed by the party against which the enforcement of the termination, amendment, supplement, waiver or modification is sought.</w:t>
      </w:r>
    </w:p>
    <w:p>
      <w:pPr>
        <w:spacing w:after="0" w:line="181" w:lineRule="exact"/>
        <w:rPr>
          <w:rFonts w:ascii="Arial" w:cs="Arial" w:eastAsia="Arial" w:hAnsi="Arial"/>
          <w:sz w:val="18"/>
          <w:szCs w:val="18"/>
          <w:color w:val="auto"/>
        </w:rPr>
      </w:pPr>
    </w:p>
    <w:p>
      <w:pPr>
        <w:jc w:val="both"/>
        <w:ind w:firstLine="656"/>
        <w:spacing w:after="0" w:line="286" w:lineRule="auto"/>
        <w:tabs>
          <w:tab w:leader="none" w:pos="944" w:val="left"/>
        </w:tabs>
        <w:numPr>
          <w:ilvl w:val="1"/>
          <w:numId w:val="156"/>
        </w:numPr>
        <w:rPr>
          <w:rFonts w:ascii="Arial" w:cs="Arial" w:eastAsia="Arial" w:hAnsi="Arial"/>
          <w:sz w:val="17"/>
          <w:szCs w:val="17"/>
          <w:color w:val="auto"/>
        </w:rPr>
      </w:pPr>
      <w:r>
        <w:rPr>
          <w:rFonts w:ascii="Arial" w:cs="Arial" w:eastAsia="Arial" w:hAnsi="Arial"/>
          <w:sz w:val="17"/>
          <w:szCs w:val="17"/>
          <w:i w:val="1"/>
          <w:iCs w:val="1"/>
          <w:color w:val="auto"/>
        </w:rPr>
        <w:t xml:space="preserve">Certain Assurances. </w:t>
      </w:r>
      <w:r>
        <w:rPr>
          <w:rFonts w:ascii="Arial" w:cs="Arial" w:eastAsia="Arial" w:hAnsi="Arial"/>
          <w:sz w:val="17"/>
          <w:szCs w:val="17"/>
          <w:color w:val="auto"/>
        </w:rPr>
        <w:t>Each of Assignor and Assignee shall do, execute, acknowledge and deliver, or shall cause to be done, executed,</w:t>
      </w:r>
      <w:r>
        <w:rPr>
          <w:rFonts w:ascii="Arial" w:cs="Arial" w:eastAsia="Arial" w:hAnsi="Arial"/>
          <w:sz w:val="17"/>
          <w:szCs w:val="17"/>
          <w:i w:val="1"/>
          <w:iCs w:val="1"/>
          <w:color w:val="auto"/>
        </w:rPr>
        <w:t xml:space="preserve"> </w:t>
      </w:r>
      <w:r>
        <w:rPr>
          <w:rFonts w:ascii="Arial" w:cs="Arial" w:eastAsia="Arial" w:hAnsi="Arial"/>
          <w:sz w:val="17"/>
          <w:szCs w:val="17"/>
          <w:color w:val="auto"/>
        </w:rPr>
        <w:t>acknowledged and delivered, all such further acts, conveyances and assurances as any party to the Participation Agreement shall reasonably require for accomplishing the purposes of and carrying out obligations of such party under this Agreement and the Operative Documents.</w:t>
      </w:r>
    </w:p>
    <w:p>
      <w:pPr>
        <w:spacing w:after="0" w:line="165" w:lineRule="exact"/>
        <w:rPr>
          <w:rFonts w:ascii="Arial" w:cs="Arial" w:eastAsia="Arial" w:hAnsi="Arial"/>
          <w:sz w:val="17"/>
          <w:szCs w:val="17"/>
          <w:color w:val="auto"/>
        </w:rPr>
      </w:pPr>
    </w:p>
    <w:p>
      <w:pPr>
        <w:jc w:val="both"/>
        <w:ind w:firstLine="656"/>
        <w:spacing w:after="0" w:line="288" w:lineRule="auto"/>
        <w:tabs>
          <w:tab w:leader="none" w:pos="877" w:val="left"/>
        </w:tabs>
        <w:numPr>
          <w:ilvl w:val="1"/>
          <w:numId w:val="156"/>
        </w:numPr>
        <w:rPr>
          <w:rFonts w:ascii="Arial" w:cs="Arial" w:eastAsia="Arial" w:hAnsi="Arial"/>
          <w:sz w:val="16"/>
          <w:szCs w:val="16"/>
          <w:color w:val="auto"/>
        </w:rPr>
      </w:pPr>
      <w:r>
        <w:rPr>
          <w:rFonts w:ascii="Arial" w:cs="Arial" w:eastAsia="Arial" w:hAnsi="Arial"/>
          <w:sz w:val="16"/>
          <w:szCs w:val="16"/>
          <w:i w:val="1"/>
          <w:iCs w:val="1"/>
          <w:color w:val="auto"/>
        </w:rPr>
        <w:t>Non-Reliance</w:t>
      </w:r>
      <w:r>
        <w:rPr>
          <w:rFonts w:ascii="Arial" w:cs="Arial" w:eastAsia="Arial" w:hAnsi="Arial"/>
          <w:sz w:val="16"/>
          <w:szCs w:val="16"/>
          <w:color w:val="auto"/>
        </w:rPr>
        <w:t>. Assignor and the Administrative Agent hereby informs Assignee that each such Person is not undertaking to provide impartial</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advice, or to give advice in a fiduciary capacity, in connection with the transactions contemplated hereby or by the Participation Agreement, and that such Person has a financial interest in the transactions contemplated hereby or by the Participation Agreement in that such Person or an Affiliate thereof</w:t>
      </w:r>
    </w:p>
    <w:p>
      <w:pPr>
        <w:jc w:val="both"/>
        <w:ind w:firstLine="8"/>
        <w:spacing w:after="0" w:line="252" w:lineRule="auto"/>
        <w:tabs>
          <w:tab w:leader="none" w:pos="2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may receive interest or other payments with respect to the Advance and the Participation Agreement, (ii) may recognize a gain if it extended the Advance for an amount less than the amount being paid for an interest in the Advance by Assignee or (iii) may receive fees or other payments in connection with the transactions contemplated hereby, the Operative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[(j) </w:t>
      </w:r>
      <w:r>
        <w:rPr>
          <w:rFonts w:ascii="Arial" w:cs="Arial" w:eastAsia="Arial" w:hAnsi="Arial"/>
          <w:sz w:val="16"/>
          <w:szCs w:val="16"/>
          <w:i w:val="1"/>
          <w:iCs w:val="1"/>
          <w:color w:val="auto"/>
        </w:rPr>
        <w:t>Approval by Lessee.</w:t>
      </w:r>
      <w:r>
        <w:rPr>
          <w:rFonts w:ascii="Arial" w:cs="Arial" w:eastAsia="Arial" w:hAnsi="Arial"/>
          <w:sz w:val="16"/>
          <w:szCs w:val="16"/>
          <w:color w:val="auto"/>
        </w:rPr>
        <w:t xml:space="preserve"> To the extent required pursuant to the terms of the Participation Agreement, Lessee consents to the assignment contemplated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1" w:name="page182"/>
    <w:bookmarkEnd w:id="181"/>
    <w:p>
      <w:pPr>
        <w:ind w:firstLine="648"/>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the undersigned has caused this Assignee Assumption Agreement to be duly executed by its officer thereunto duly authorized on the day and year first above written.</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SSIGNEE</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SSIGNOR</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Approved: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 </w:t>
      </w:r>
      <w:r>
        <w:rPr>
          <w:rFonts w:ascii="Arial" w:cs="Arial" w:eastAsia="Arial" w:hAnsi="Arial"/>
          <w:sz w:val="12"/>
          <w:szCs w:val="12"/>
          <w:color w:val="auto"/>
        </w:rPr>
        <w:t>AS</w:t>
      </w:r>
      <w:r>
        <w:rPr>
          <w:rFonts w:ascii="Arial" w:cs="Arial" w:eastAsia="Arial" w:hAnsi="Arial"/>
          <w:sz w:val="18"/>
          <w:szCs w:val="18"/>
          <w:color w:val="auto"/>
        </w:rPr>
        <w:t xml:space="preserve"> L</w:t>
      </w:r>
      <w:r>
        <w:rPr>
          <w:rFonts w:ascii="Arial" w:cs="Arial" w:eastAsia="Arial" w:hAnsi="Arial"/>
          <w:sz w:val="12"/>
          <w:szCs w:val="12"/>
          <w:color w:val="auto"/>
        </w:rPr>
        <w:t>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675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 </w:t>
      </w:r>
      <w:r>
        <w:rPr>
          <w:rFonts w:ascii="Arial" w:cs="Arial" w:eastAsia="Arial" w:hAnsi="Arial"/>
          <w:sz w:val="12"/>
          <w:szCs w:val="12"/>
          <w:color w:val="auto"/>
        </w:rPr>
        <w:t>AS</w:t>
      </w:r>
      <w:r>
        <w:rPr>
          <w:rFonts w:ascii="Arial" w:cs="Arial" w:eastAsia="Arial" w:hAnsi="Arial"/>
          <w:sz w:val="18"/>
          <w:szCs w:val="18"/>
          <w:color w:val="auto"/>
        </w:rPr>
        <w:t xml:space="preserve"> L</w:t>
      </w:r>
      <w:r>
        <w:rPr>
          <w:rFonts w:ascii="Arial" w:cs="Arial" w:eastAsia="Arial" w:hAnsi="Arial"/>
          <w:sz w:val="12"/>
          <w:szCs w:val="12"/>
          <w:color w:val="auto"/>
        </w:rPr>
        <w:t>ESSEE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675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ESSOR</w:t>
      </w:r>
      <w:r>
        <w:rPr>
          <w:rFonts w:ascii="Arial" w:cs="Arial" w:eastAsia="Arial" w:hAnsi="Arial"/>
          <w:sz w:val="22"/>
          <w:szCs w:val="22"/>
          <w:b w:val="1"/>
          <w:bCs w:val="1"/>
          <w:color w:val="auto"/>
        </w:rPr>
        <w:t>/L</w:t>
      </w:r>
      <w:r>
        <w:rPr>
          <w:rFonts w:ascii="Arial" w:cs="Arial" w:eastAsia="Arial" w:hAnsi="Arial"/>
          <w:sz w:val="14"/>
          <w:szCs w:val="14"/>
          <w:b w:val="1"/>
          <w:bCs w:val="1"/>
          <w:color w:val="auto"/>
        </w:rPr>
        <w:t>ENDER</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ETTERHEAD</w:t>
      </w:r>
      <w:r>
        <w:rPr>
          <w:rFonts w:ascii="Arial" w:cs="Arial" w:eastAsia="Arial" w:hAnsi="Arial"/>
          <w:sz w:val="22"/>
          <w:szCs w:val="22"/>
          <w:b w:val="1"/>
          <w:bCs w:val="1"/>
          <w:color w:val="auto"/>
        </w:rPr>
        <w:t>]</w:t>
      </w:r>
    </w:p>
    <w:p>
      <w:pPr>
        <w:spacing w:after="0" w:line="21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___________ 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Old Saw Mill Holdings LLC, as Lessee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Regeneron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Leonard Brooks, 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No. (914) 847-1555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(914) 847-7320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leonard.brooks@regeneron.com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Joseph J. LaRosa, 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No. (914) 789-5061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(914) 847-7498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joseph.larosa@regeneron.com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 Fourth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Aamir Saleem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(415) 436-2769</w:t>
      </w:r>
    </w:p>
    <w:p>
      <w:pPr>
        <w:spacing w:after="0" w:line="211" w:lineRule="exact"/>
        <w:rPr>
          <w:sz w:val="20"/>
          <w:szCs w:val="20"/>
          <w:color w:val="auto"/>
        </w:rPr>
      </w:pPr>
    </w:p>
    <w:p>
      <w:pPr>
        <w:ind w:left="660"/>
        <w:spacing w:after="0"/>
        <w:tabs>
          <w:tab w:leader="none" w:pos="43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Notice of [Lessor/Lender]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560006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Reference is made to that certain Amended and Restated Participation Agreement, dated as of May 2, 2019 (as amended, restated, supplemented and modified to date, the “</w:t>
      </w:r>
      <w:r>
        <w:rPr>
          <w:rFonts w:ascii="Arial" w:cs="Arial" w:eastAsia="Arial" w:hAnsi="Arial"/>
          <w:sz w:val="18"/>
          <w:szCs w:val="18"/>
          <w:i w:val="1"/>
          <w:iCs w:val="1"/>
          <w:color w:val="auto"/>
        </w:rPr>
        <w:t>Participation Agreement</w:t>
      </w:r>
      <w:r>
        <w:rPr>
          <w:rFonts w:ascii="Arial" w:cs="Arial" w:eastAsia="Arial" w:hAnsi="Arial"/>
          <w:sz w:val="18"/>
          <w:szCs w:val="18"/>
          <w:color w:val="auto"/>
        </w:rPr>
        <w:t>”), by and among Old Saw Mill Holdings LLC, a New York limited liability company, as Lessee (the “</w:t>
      </w:r>
      <w:r>
        <w:rPr>
          <w:rFonts w:ascii="Arial" w:cs="Arial" w:eastAsia="Arial" w:hAnsi="Arial"/>
          <w:sz w:val="18"/>
          <w:szCs w:val="18"/>
          <w:i w:val="1"/>
          <w:iCs w:val="1"/>
          <w:color w:val="auto"/>
        </w:rPr>
        <w:t>Lessee</w:t>
      </w:r>
      <w:r>
        <w:rPr>
          <w:rFonts w:ascii="Arial" w:cs="Arial" w:eastAsia="Arial" w:hAnsi="Arial"/>
          <w:sz w:val="18"/>
          <w:szCs w:val="18"/>
          <w:color w:val="auto"/>
        </w:rPr>
        <w:t>”), BA Leasing BSC, LLC, as Lessor (“</w:t>
      </w:r>
      <w:r>
        <w:rPr>
          <w:rFonts w:ascii="Arial" w:cs="Arial" w:eastAsia="Arial" w:hAnsi="Arial"/>
          <w:sz w:val="18"/>
          <w:szCs w:val="18"/>
          <w:i w:val="1"/>
          <w:iCs w:val="1"/>
          <w:color w:val="auto"/>
        </w:rPr>
        <w:t>Lessor</w:t>
      </w:r>
      <w:r>
        <w:rPr>
          <w:rFonts w:ascii="Arial" w:cs="Arial" w:eastAsia="Arial" w:hAnsi="Arial"/>
          <w:sz w:val="18"/>
          <w:szCs w:val="18"/>
          <w:color w:val="auto"/>
        </w:rPr>
        <w:t>”), Bank of America, N.A., not in its individual capacity, except as expressly stated therein, but solely as Administrative Agent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and the Lenders from time to time party thereto. Capitalized terms used in this letter but not otherwise defined herein shall have the meanings given such terms in the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83" w:name="page184"/>
    <w:bookmarkEnd w:id="183"/>
    <w:p>
      <w:pPr>
        <w:ind w:left="660"/>
        <w:spacing w:after="0"/>
        <w:rPr>
          <w:sz w:val="20"/>
          <w:szCs w:val="20"/>
          <w:color w:val="auto"/>
        </w:rPr>
      </w:pPr>
      <w:r>
        <w:rPr>
          <w:rFonts w:ascii="Arial" w:cs="Arial" w:eastAsia="Arial" w:hAnsi="Arial"/>
          <w:sz w:val="17"/>
          <w:szCs w:val="17"/>
          <w:color w:val="auto"/>
        </w:rPr>
        <w:t>In accordance with Section 12.1 of the Participation Agreement, please be advised that the [Lessor/Lender] intends to assign to [Assignee],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 [corporation/limited liability company/limited partnership] with an address at __________________________________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Assignee</w:t>
      </w:r>
      <w:r>
        <w:rPr>
          <w:rFonts w:ascii="Arial" w:cs="Arial" w:eastAsia="Arial" w:hAnsi="Arial"/>
          <w:sz w:val="17"/>
          <w:szCs w:val="17"/>
          <w:color w:val="auto"/>
        </w:rPr>
        <w:t>”), $[_______] of its [Loan Balance][Lessor Balance] and of its related right, title and interest in, to and under the Participation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Operative Documents, the Leased Property and the other Collateral. The proposed assignment is intended to take place on or after _____________ ___, 20__</w:t>
      </w:r>
    </w:p>
    <w:p>
      <w:pPr>
        <w:spacing w:after="0" w:line="3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(subject to the receipt of any consent required pursuant to Section 12.1 of the Participation Agreement). We shall inform you if the proposed transfer is no longer scheduled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4" w:name="page185"/>
    <w:bookmarkEnd w:id="184"/>
    <w:p>
      <w:pPr>
        <w:ind w:firstLine="648"/>
        <w:spacing w:after="0" w:line="277" w:lineRule="auto"/>
        <w:rPr>
          <w:sz w:val="20"/>
          <w:szCs w:val="20"/>
          <w:color w:val="auto"/>
        </w:rPr>
      </w:pPr>
      <w:r>
        <w:rPr>
          <w:rFonts w:ascii="Arial" w:cs="Arial" w:eastAsia="Arial" w:hAnsi="Arial"/>
          <w:sz w:val="18"/>
          <w:szCs w:val="18"/>
          <w:color w:val="auto"/>
        </w:rPr>
        <w:t>Please acknowledge your receipt of this notice of assignment by executing the signature block below. Please contact us with any questions regarding the proposed transfer.</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Receipt of this notice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as of the date set forth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ANK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N.A., not in its individual capacity,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stated 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but solely 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675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FFICER</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ESSEE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ECRETARY</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LD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AW</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ILL</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22"/>
          <w:szCs w:val="22"/>
          <w:b w:val="1"/>
          <w:bCs w:val="1"/>
          <w:color w:val="auto"/>
        </w:rPr>
        <w:t xml:space="preserve"> LLC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AY</w:t>
      </w:r>
      <w:r>
        <w:rPr>
          <w:rFonts w:ascii="Arial" w:cs="Arial" w:eastAsia="Arial" w:hAnsi="Arial"/>
          <w:sz w:val="18"/>
          <w:szCs w:val="18"/>
          <w:color w:val="auto"/>
        </w:rPr>
        <w:t xml:space="preserve"> 2, 2019</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Joseph J. LaRosa, Secretary of Old Saw Mill Holdings LLC, a New York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do hereby certify, in my capacity as Secretary of the Company and on behalf of the Company and not in any personal capacity, that as of the date hereof:</w:t>
      </w:r>
    </w:p>
    <w:p>
      <w:pPr>
        <w:spacing w:after="0" w:line="170" w:lineRule="exact"/>
        <w:rPr>
          <w:sz w:val="20"/>
          <w:szCs w:val="20"/>
          <w:color w:val="auto"/>
        </w:rPr>
      </w:pPr>
    </w:p>
    <w:p>
      <w:pPr>
        <w:jc w:val="both"/>
        <w:ind w:left="660" w:firstLine="645"/>
        <w:spacing w:after="0" w:line="259" w:lineRule="auto"/>
        <w:tabs>
          <w:tab w:leader="none" w:pos="151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is a true, correct and complete copy of the Articles of Organization of the Company (the “</w:t>
      </w:r>
      <w:r>
        <w:rPr>
          <w:rFonts w:ascii="Arial" w:cs="Arial" w:eastAsia="Arial" w:hAnsi="Arial"/>
          <w:sz w:val="18"/>
          <w:szCs w:val="18"/>
          <w:i w:val="1"/>
          <w:iCs w:val="1"/>
          <w:color w:val="auto"/>
        </w:rPr>
        <w:t>Articles of</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w:t>
      </w:r>
      <w:r>
        <w:rPr>
          <w:rFonts w:ascii="Arial" w:cs="Arial" w:eastAsia="Arial" w:hAnsi="Arial"/>
          <w:sz w:val="18"/>
          <w:szCs w:val="18"/>
          <w:color w:val="auto"/>
        </w:rPr>
        <w:t>”), as certified by the Secretary of State of the State of New York, as in effect on the date hereof. No amendment, restatement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modification to the Articles of Organization has been filed in the office of the Secretary of State of the State of New York since the date of such certification by the Secretary of State of the State of New York as set forth in </w:t>
      </w:r>
      <w:r>
        <w:rPr>
          <w:rFonts w:ascii="Arial" w:cs="Arial" w:eastAsia="Arial" w:hAnsi="Arial"/>
          <w:sz w:val="18"/>
          <w:szCs w:val="18"/>
          <w:i w:val="1"/>
          <w:iCs w:val="1"/>
          <w:color w:val="auto"/>
        </w:rPr>
        <w:t>Exhibit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60" w:firstLine="645"/>
        <w:spacing w:after="0" w:line="279" w:lineRule="auto"/>
        <w:tabs>
          <w:tab w:leader="none" w:pos="1512"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i w:val="1"/>
          <w:iCs w:val="1"/>
          <w:color w:val="auto"/>
        </w:rPr>
        <w:t>Exhibit B</w:t>
      </w:r>
      <w:r>
        <w:rPr>
          <w:rFonts w:ascii="Arial" w:cs="Arial" w:eastAsia="Arial" w:hAnsi="Arial"/>
          <w:sz w:val="17"/>
          <w:szCs w:val="17"/>
          <w:color w:val="auto"/>
        </w:rPr>
        <w:t xml:space="preserve"> is a true and complete copy of the Limited Liability Company Agreement of the Company (the “</w:t>
      </w:r>
      <w:r>
        <w:rPr>
          <w:rFonts w:ascii="Arial" w:cs="Arial" w:eastAsia="Arial" w:hAnsi="Arial"/>
          <w:sz w:val="17"/>
          <w:szCs w:val="17"/>
          <w:i w:val="1"/>
          <w:iCs w:val="1"/>
          <w:color w:val="auto"/>
        </w:rPr>
        <w:t>LLC</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as in full force and effect at all times since [_______, _____], to and including the date hereof. There are no other agreements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referred to as a limited liability company agreement, operating agreement or otherwise), written, oral or implied, of the member or members of the Company as to the affairs of the Company and the conduct of its business other than as attached hereto as </w:t>
      </w:r>
      <w:r>
        <w:rPr>
          <w:rFonts w:ascii="Arial" w:cs="Arial" w:eastAsia="Arial" w:hAnsi="Arial"/>
          <w:sz w:val="17"/>
          <w:szCs w:val="17"/>
          <w:i w:val="1"/>
          <w:iCs w:val="1"/>
          <w:color w:val="auto"/>
        </w:rPr>
        <w:t>Exhibit B</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660" w:firstLine="645"/>
        <w:spacing w:after="0" w:line="302" w:lineRule="auto"/>
        <w:tabs>
          <w:tab w:leader="none" w:pos="149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resolutions of the Company’s Board of Managers attached as Exhibit C to that certain Certificate of the Secretary of the Company, dated March 3, 2017 and delivered in connection with the Original Participation Agreement (a) have not in any way been (i) amended or modified in any matter that would have the effect of reducing, limiting, or conditioning the authorizations described therein or (ii) revoked, rescinded, or superseded, and (b) have been in full force and effect since their adoption to and including the date hereof and are now in full force and effect.</w:t>
      </w:r>
    </w:p>
    <w:p>
      <w:pPr>
        <w:spacing w:after="0" w:line="154" w:lineRule="exact"/>
        <w:rPr>
          <w:rFonts w:ascii="Arial" w:cs="Arial" w:eastAsia="Arial" w:hAnsi="Arial"/>
          <w:sz w:val="16"/>
          <w:szCs w:val="16"/>
          <w:color w:val="auto"/>
        </w:rPr>
      </w:pPr>
    </w:p>
    <w:p>
      <w:pPr>
        <w:jc w:val="both"/>
        <w:ind w:left="660" w:firstLine="645"/>
        <w:spacing w:after="0" w:line="259" w:lineRule="auto"/>
        <w:tabs>
          <w:tab w:leader="none" w:pos="151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i w:val="1"/>
          <w:iCs w:val="1"/>
          <w:color w:val="auto"/>
        </w:rPr>
        <w:t>Exhibit D</w:t>
      </w:r>
      <w:r>
        <w:rPr>
          <w:rFonts w:ascii="Arial" w:cs="Arial" w:eastAsia="Arial" w:hAnsi="Arial"/>
          <w:sz w:val="18"/>
          <w:szCs w:val="18"/>
          <w:color w:val="auto"/>
        </w:rPr>
        <w:t xml:space="preserve"> is a list of the officer(s) of the Company, each of whom has been duly elected or appointed, has duly qualified and on this day is an officer of the Company holding the office indicated opposite the name of such person, authorized to execute and deliver each of the Operative Documents to which the Company is a party and any additional documents contemplated thereby, and the signature set opposite the name of such officer is the genuine signature of such person.</w:t>
      </w:r>
    </w:p>
    <w:p>
      <w:pPr>
        <w:spacing w:after="0" w:line="186" w:lineRule="exact"/>
        <w:rPr>
          <w:rFonts w:ascii="Arial" w:cs="Arial" w:eastAsia="Arial" w:hAnsi="Arial"/>
          <w:sz w:val="18"/>
          <w:szCs w:val="18"/>
          <w:color w:val="auto"/>
        </w:rPr>
      </w:pPr>
    </w:p>
    <w:p>
      <w:pPr>
        <w:ind w:left="1480" w:hanging="175"/>
        <w:spacing w:after="0"/>
        <w:tabs>
          <w:tab w:leader="none" w:pos="14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Company has, and since the time of its formation has had, at least one validly admitted and existing member of the Company.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F-1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86" w:name="page187"/>
    <w:bookmarkEnd w:id="186"/>
    <w:p>
      <w:pPr>
        <w:jc w:val="both"/>
        <w:ind w:left="660" w:firstLine="645"/>
        <w:spacing w:after="0" w:line="257" w:lineRule="auto"/>
        <w:tabs>
          <w:tab w:leader="none" w:pos="151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No procedures have been instituted for, and no other event has occurred, including, without limitation, any action taken by the Company, its Board of Managers or its members, that would result in the liquidation, dissolution or winding-up of the Company, (ii) no event has occurred that has adversely affected the full force and effect status of the Company under the laws of its jurisdiction of formation, and the Company has taken all actions required by the laws of its jurisdiction of formation to maintain such full force and effect status and (iii) no grounds exist for the revocation or forfeiture of the Articles of Organization.</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certificate is delivered in connection with the Amended and Restated Participation Agreement, dated as of the date hereof (the “</w:t>
      </w:r>
      <w:r>
        <w:rPr>
          <w:rFonts w:ascii="Arial" w:cs="Arial" w:eastAsia="Arial" w:hAnsi="Arial"/>
          <w:sz w:val="16"/>
          <w:szCs w:val="16"/>
          <w:i w:val="1"/>
          <w:iCs w:val="1"/>
          <w:color w:val="auto"/>
        </w:rPr>
        <w:t>Participation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among the Company, as Lessee, BA L</w:t>
      </w:r>
      <w:r>
        <w:rPr>
          <w:rFonts w:ascii="Arial" w:cs="Arial" w:eastAsia="Arial" w:hAnsi="Arial"/>
          <w:sz w:val="11"/>
          <w:szCs w:val="11"/>
          <w:color w:val="auto"/>
        </w:rPr>
        <w:t>EASING</w:t>
      </w:r>
      <w:r>
        <w:rPr>
          <w:rFonts w:ascii="Arial" w:cs="Arial" w:eastAsia="Arial" w:hAnsi="Arial"/>
          <w:sz w:val="16"/>
          <w:szCs w:val="16"/>
          <w:i w:val="1"/>
          <w:iCs w:val="1"/>
          <w:color w:val="auto"/>
        </w:rPr>
        <w:t xml:space="preserve"> </w:t>
      </w:r>
      <w:r>
        <w:rPr>
          <w:rFonts w:ascii="Arial" w:cs="Arial" w:eastAsia="Arial" w:hAnsi="Arial"/>
          <w:sz w:val="16"/>
          <w:szCs w:val="16"/>
          <w:color w:val="auto"/>
        </w:rPr>
        <w:t>BSC, LLC, a Delaware limited liability company, as Lessor, B</w:t>
      </w:r>
      <w:r>
        <w:rPr>
          <w:rFonts w:ascii="Arial" w:cs="Arial" w:eastAsia="Arial" w:hAnsi="Arial"/>
          <w:sz w:val="11"/>
          <w:szCs w:val="11"/>
          <w:color w:val="auto"/>
        </w:rPr>
        <w:t>ANK OF</w:t>
      </w:r>
      <w:r>
        <w:rPr>
          <w:rFonts w:ascii="Arial" w:cs="Arial" w:eastAsia="Arial" w:hAnsi="Arial"/>
          <w:sz w:val="16"/>
          <w:szCs w:val="16"/>
          <w:i w:val="1"/>
          <w:iCs w:val="1"/>
          <w:color w:val="auto"/>
        </w:rPr>
        <w:t xml:space="preserve"> </w:t>
      </w:r>
      <w:r>
        <w:rPr>
          <w:rFonts w:ascii="Arial" w:cs="Arial" w:eastAsia="Arial" w:hAnsi="Arial"/>
          <w:sz w:val="16"/>
          <w:szCs w:val="16"/>
          <w:color w:val="auto"/>
        </w:rPr>
        <w:t>A</w:t>
      </w:r>
      <w:r>
        <w:rPr>
          <w:rFonts w:ascii="Arial" w:cs="Arial" w:eastAsia="Arial" w:hAnsi="Arial"/>
          <w:sz w:val="11"/>
          <w:szCs w:val="11"/>
          <w:color w:val="auto"/>
        </w:rPr>
        <w:t>MERICA</w:t>
      </w:r>
      <w:r>
        <w:rPr>
          <w:rFonts w:ascii="Arial" w:cs="Arial" w:eastAsia="Arial" w:hAnsi="Arial"/>
          <w:sz w:val="16"/>
          <w:szCs w:val="16"/>
          <w:color w:val="auto"/>
        </w:rPr>
        <w:t>, N.A., not in its</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capacity, except as expressly stated herein, but solely as Administrative Agent, and the financial institutions from time to time party thereto as Participants. Capitalized terms used herein, but not defined, shall have the meanings ascribed to such terms in Appendix 1 to the Participation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I have signed my name as of the date first set forth above.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1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 Leonard Brooks, Treasurer of the Company, hereby certify as of the date first written above that Joseph J. LaRosa has been duly elected or appointed, has been duly qualified and this day is the Secretary of the Company and that the signature set forth above is his genuine signature.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I have signed my name as of the date first set forth above.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Leonard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RTICLES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RGANIZATION 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161925</wp:posOffset>
            </wp:positionV>
            <wp:extent cx="72466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89" w:name="page190"/>
    <w:bookmarkEnd w:id="189"/>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LLC A</w:t>
      </w:r>
      <w:r>
        <w:rPr>
          <w:rFonts w:ascii="Arial" w:cs="Arial" w:eastAsia="Arial" w:hAnsi="Arial"/>
          <w:sz w:val="14"/>
          <w:szCs w:val="14"/>
          <w:b w:val="1"/>
          <w:bCs w:val="1"/>
          <w:color w:val="auto"/>
        </w:rPr>
        <w:t>GREEMENT 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161925</wp:posOffset>
            </wp:positionV>
            <wp:extent cx="724662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90" w:name="page191"/>
    <w:bookmarkEnd w:id="190"/>
    <w:p>
      <w:pPr>
        <w:ind w:left="406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C</w:t>
      </w:r>
    </w:p>
    <w:p>
      <w:pPr>
        <w:spacing w:after="0" w:line="206"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ESERVED</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91" w:name="page192"/>
    <w:bookmarkEnd w:id="191"/>
    <w:p>
      <w:pPr>
        <w:jc w:val="center"/>
        <w:ind w:right="-120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D</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IST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FFICERS 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p>
    <w:p>
      <w:pPr>
        <w:spacing w:after="0" w:line="219" w:lineRule="exact"/>
        <w:rPr>
          <w:sz w:val="20"/>
          <w:szCs w:val="20"/>
          <w:color w:val="auto"/>
        </w:rPr>
      </w:pPr>
    </w:p>
    <w:p>
      <w:pPr>
        <w:spacing w:after="0"/>
        <w:tabs>
          <w:tab w:leader="none" w:pos="3760" w:val="left"/>
          <w:tab w:leader="none" w:pos="7760" w:val="left"/>
        </w:tabs>
        <w:rPr>
          <w:sz w:val="20"/>
          <w:szCs w:val="20"/>
          <w:color w:val="auto"/>
        </w:rPr>
      </w:pPr>
      <w:r>
        <w:rPr>
          <w:rFonts w:ascii="Arial" w:cs="Arial" w:eastAsia="Arial" w:hAnsi="Arial"/>
          <w:sz w:val="18"/>
          <w:szCs w:val="18"/>
          <w:u w:val="single" w:color="auto"/>
          <w:color w:val="auto"/>
        </w:rPr>
        <w:t>Name</w:t>
      </w:r>
      <w:r>
        <w:rPr>
          <w:sz w:val="20"/>
          <w:szCs w:val="20"/>
          <w:color w:val="auto"/>
        </w:rPr>
        <w:tab/>
      </w:r>
      <w:r>
        <w:rPr>
          <w:rFonts w:ascii="Arial" w:cs="Arial" w:eastAsia="Arial" w:hAnsi="Arial"/>
          <w:sz w:val="18"/>
          <w:szCs w:val="18"/>
          <w:u w:val="single" w:color="auto"/>
          <w:color w:val="auto"/>
        </w:rPr>
        <w:t>Position</w:t>
      </w:r>
      <w:r>
        <w:rPr>
          <w:sz w:val="20"/>
          <w:szCs w:val="20"/>
          <w:color w:val="auto"/>
        </w:rPr>
        <w:tab/>
      </w:r>
      <w:r>
        <w:rPr>
          <w:rFonts w:ascii="Arial" w:cs="Arial" w:eastAsia="Arial" w:hAnsi="Arial"/>
          <w:sz w:val="15"/>
          <w:szCs w:val="15"/>
          <w:u w:val="single" w:color="auto"/>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572135</wp:posOffset>
            </wp:positionV>
            <wp:extent cx="231521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289560</wp:posOffset>
            </wp:positionV>
            <wp:extent cx="23152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192" w:name="page193"/>
    <w:bookmarkEnd w:id="192"/>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FFICER</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ARENT</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ECRETARY</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 OF</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EGENERON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AY</w:t>
      </w:r>
      <w:r>
        <w:rPr>
          <w:rFonts w:ascii="Arial" w:cs="Arial" w:eastAsia="Arial" w:hAnsi="Arial"/>
          <w:sz w:val="18"/>
          <w:szCs w:val="18"/>
          <w:color w:val="auto"/>
        </w:rPr>
        <w:t xml:space="preserve"> 2, 2019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Joseph J. LaRosa, Secretary of Regeneron Pharmaceuticals, Inc., a New York corporation (the “</w:t>
      </w:r>
      <w:r>
        <w:rPr>
          <w:rFonts w:ascii="Arial" w:cs="Arial" w:eastAsia="Arial" w:hAnsi="Arial"/>
          <w:sz w:val="16"/>
          <w:szCs w:val="16"/>
          <w:i w:val="1"/>
          <w:iCs w:val="1"/>
          <w:color w:val="auto"/>
        </w:rPr>
        <w:t>Company</w:t>
      </w:r>
      <w:r>
        <w:rPr>
          <w:rFonts w:ascii="Arial" w:cs="Arial" w:eastAsia="Arial" w:hAnsi="Arial"/>
          <w:sz w:val="16"/>
          <w:szCs w:val="16"/>
          <w:color w:val="auto"/>
        </w:rPr>
        <w:t>”), do hereby certify, in my capacity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Secretary of the Company and on behalf of the Company and not in any personal capacity, that as of the date hereof:</w:t>
      </w:r>
    </w:p>
    <w:p>
      <w:pPr>
        <w:spacing w:after="0" w:line="211" w:lineRule="exact"/>
        <w:rPr>
          <w:sz w:val="20"/>
          <w:szCs w:val="20"/>
          <w:color w:val="auto"/>
        </w:rPr>
      </w:pPr>
    </w:p>
    <w:p>
      <w:pPr>
        <w:jc w:val="both"/>
        <w:ind w:left="660" w:firstLine="645"/>
        <w:spacing w:after="0" w:line="259" w:lineRule="auto"/>
        <w:tabs>
          <w:tab w:leader="none" w:pos="14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is a true, correct and complete copy of the Certificate of Incorporation of the Company (the “</w:t>
      </w:r>
      <w:r>
        <w:rPr>
          <w:rFonts w:ascii="Arial" w:cs="Arial" w:eastAsia="Arial" w:hAnsi="Arial"/>
          <w:sz w:val="18"/>
          <w:szCs w:val="18"/>
          <w:i w:val="1"/>
          <w:iCs w:val="1"/>
          <w:color w:val="auto"/>
        </w:rPr>
        <w:t>Certificate of</w:t>
      </w:r>
      <w:r>
        <w:rPr>
          <w:rFonts w:ascii="Arial" w:cs="Arial" w:eastAsia="Arial" w:hAnsi="Arial"/>
          <w:sz w:val="18"/>
          <w:szCs w:val="18"/>
          <w:color w:val="auto"/>
        </w:rPr>
        <w:t xml:space="preserve"> </w:t>
      </w:r>
      <w:r>
        <w:rPr>
          <w:rFonts w:ascii="Arial" w:cs="Arial" w:eastAsia="Arial" w:hAnsi="Arial"/>
          <w:sz w:val="18"/>
          <w:szCs w:val="18"/>
          <w:i w:val="1"/>
          <w:iCs w:val="1"/>
          <w:color w:val="auto"/>
        </w:rPr>
        <w:t>Incorporation</w:t>
      </w:r>
      <w:r>
        <w:rPr>
          <w:rFonts w:ascii="Arial" w:cs="Arial" w:eastAsia="Arial" w:hAnsi="Arial"/>
          <w:sz w:val="18"/>
          <w:szCs w:val="18"/>
          <w:color w:val="auto"/>
        </w:rPr>
        <w:t>”), as certified by the Secretary of State of the State of New York, as in effect on the date hereof. No amendment, restatement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modification to the Certificate of Incorporation has been filed in the office of the Secretary of State of the State of New York since the date of such certification by the Secretary of State of the State of New York as set forth in </w:t>
      </w:r>
      <w:r>
        <w:rPr>
          <w:rFonts w:ascii="Arial" w:cs="Arial" w:eastAsia="Arial" w:hAnsi="Arial"/>
          <w:sz w:val="18"/>
          <w:szCs w:val="18"/>
          <w:i w:val="1"/>
          <w:iCs w:val="1"/>
          <w:color w:val="auto"/>
        </w:rPr>
        <w:t>Exhibit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60" w:firstLine="645"/>
        <w:spacing w:after="0" w:line="277" w:lineRule="auto"/>
        <w:tabs>
          <w:tab w:leader="none" w:pos="14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i w:val="1"/>
          <w:iCs w:val="1"/>
          <w:color w:val="auto"/>
        </w:rPr>
        <w:t>Exhibit B</w:t>
      </w:r>
      <w:r>
        <w:rPr>
          <w:rFonts w:ascii="Arial" w:cs="Arial" w:eastAsia="Arial" w:hAnsi="Arial"/>
          <w:sz w:val="18"/>
          <w:szCs w:val="18"/>
          <w:color w:val="auto"/>
        </w:rPr>
        <w:t xml:space="preserve"> is a true and complete copy of the By-Laws of the Company (the “</w:t>
      </w:r>
      <w:r>
        <w:rPr>
          <w:rFonts w:ascii="Arial" w:cs="Arial" w:eastAsia="Arial" w:hAnsi="Arial"/>
          <w:sz w:val="18"/>
          <w:szCs w:val="18"/>
          <w:i w:val="1"/>
          <w:iCs w:val="1"/>
          <w:color w:val="auto"/>
        </w:rPr>
        <w:t>By-Laws</w:t>
      </w:r>
      <w:r>
        <w:rPr>
          <w:rFonts w:ascii="Arial" w:cs="Arial" w:eastAsia="Arial" w:hAnsi="Arial"/>
          <w:sz w:val="18"/>
          <w:szCs w:val="18"/>
          <w:color w:val="auto"/>
        </w:rPr>
        <w:t>”), as in full force and effect at all times since [_______, _____], to and including the date hereof.</w:t>
      </w:r>
    </w:p>
    <w:p>
      <w:pPr>
        <w:spacing w:after="0" w:line="170" w:lineRule="exact"/>
        <w:rPr>
          <w:rFonts w:ascii="Arial" w:cs="Arial" w:eastAsia="Arial" w:hAnsi="Arial"/>
          <w:sz w:val="18"/>
          <w:szCs w:val="18"/>
          <w:color w:val="auto"/>
        </w:rPr>
      </w:pPr>
    </w:p>
    <w:p>
      <w:pPr>
        <w:jc w:val="both"/>
        <w:ind w:left="660" w:firstLine="645"/>
        <w:spacing w:after="0" w:line="302" w:lineRule="auto"/>
        <w:tabs>
          <w:tab w:leader="none" w:pos="15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resolutions of the Company’s Board of Directors attached as Exhibit C to that certain Certificate of the Secretary of the Company, dated March 3, 2017 and delivered in connection with the Original Participation Agreement (a) have not in any way been (i) amended or modified in any matter that would have the effect of reducing, limiting, or conditioning the authorizations described therein or (ii) revoked, rescinded, or superseded, and (b) have been in full force and effect since their adoption to and including the date hereof and are now in full force and effect.</w:t>
      </w:r>
    </w:p>
    <w:p>
      <w:pPr>
        <w:spacing w:after="0" w:line="154" w:lineRule="exact"/>
        <w:rPr>
          <w:rFonts w:ascii="Arial" w:cs="Arial" w:eastAsia="Arial" w:hAnsi="Arial"/>
          <w:sz w:val="16"/>
          <w:szCs w:val="16"/>
          <w:color w:val="auto"/>
        </w:rPr>
      </w:pPr>
    </w:p>
    <w:p>
      <w:pPr>
        <w:jc w:val="both"/>
        <w:ind w:left="660" w:firstLine="645"/>
        <w:spacing w:after="0" w:line="259" w:lineRule="auto"/>
        <w:tabs>
          <w:tab w:leader="none" w:pos="151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i w:val="1"/>
          <w:iCs w:val="1"/>
          <w:color w:val="auto"/>
        </w:rPr>
        <w:t>Exhibit D</w:t>
      </w:r>
      <w:r>
        <w:rPr>
          <w:rFonts w:ascii="Arial" w:cs="Arial" w:eastAsia="Arial" w:hAnsi="Arial"/>
          <w:sz w:val="18"/>
          <w:szCs w:val="18"/>
          <w:color w:val="auto"/>
        </w:rPr>
        <w:t xml:space="preserve"> is a list of the officer(s) of the Company, each of whom has been duly elected or appointed, has duly qualified and on this day is an officer of the Company holding the office indicated opposite the name of such person, authorized to execute and deliver each of the Operative Documents to which the Company is a party and any additional documents contemplated thereby, and the signature set opposite the name of such officer is the genuine signature of such person.</w:t>
      </w:r>
    </w:p>
    <w:p>
      <w:pPr>
        <w:spacing w:after="0" w:line="186" w:lineRule="exact"/>
        <w:rPr>
          <w:rFonts w:ascii="Arial" w:cs="Arial" w:eastAsia="Arial" w:hAnsi="Arial"/>
          <w:sz w:val="18"/>
          <w:szCs w:val="18"/>
          <w:color w:val="auto"/>
        </w:rPr>
      </w:pPr>
    </w:p>
    <w:p>
      <w:pPr>
        <w:jc w:val="both"/>
        <w:ind w:left="660" w:firstLine="645"/>
        <w:spacing w:after="0" w:line="257" w:lineRule="auto"/>
        <w:tabs>
          <w:tab w:leader="none" w:pos="151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No procedures have been instituted for, and no other event has occurred, including, without limitation, any action taken by the Company, its Board of Directors or its shareholders, that would result in the liquidation, dissolution or winding-up of the Company, (ii) no event has occurred that has adversely affected the full force and effect status of the Company under the laws of its jurisdiction of incorporation, and the Company has taken all actions required by the laws of its jurisdiction of incorporation to maintain such full force and effect status and (iii) no grounds exist for the revocation or forfeiture of the Certificate of Incorporation.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F-2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93" w:name="page194"/>
    <w:bookmarkEnd w:id="193"/>
    <w:p>
      <w:pPr>
        <w:jc w:val="both"/>
        <w:ind w:firstLine="648"/>
        <w:spacing w:after="0" w:line="257" w:lineRule="auto"/>
        <w:rPr>
          <w:sz w:val="20"/>
          <w:szCs w:val="20"/>
          <w:color w:val="auto"/>
        </w:rPr>
      </w:pPr>
      <w:r>
        <w:rPr>
          <w:rFonts w:ascii="Arial" w:cs="Arial" w:eastAsia="Arial" w:hAnsi="Arial"/>
          <w:sz w:val="18"/>
          <w:szCs w:val="18"/>
          <w:color w:val="auto"/>
        </w:rPr>
        <w:t>This certificate is delivered in connection with the Amended and Restated Participation Agreement, dated as of the date hereof (the “</w:t>
      </w:r>
      <w:r>
        <w:rPr>
          <w:rFonts w:ascii="Arial" w:cs="Arial" w:eastAsia="Arial" w:hAnsi="Arial"/>
          <w:sz w:val="18"/>
          <w:szCs w:val="18"/>
          <w:i w:val="1"/>
          <w:iCs w:val="1"/>
          <w:color w:val="auto"/>
        </w:rPr>
        <w:t>Participation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among O</w:t>
      </w:r>
      <w:r>
        <w:rPr>
          <w:rFonts w:ascii="Arial" w:cs="Arial" w:eastAsia="Arial" w:hAnsi="Arial"/>
          <w:sz w:val="12"/>
          <w:szCs w:val="12"/>
          <w:color w:val="auto"/>
        </w:rPr>
        <w:t>LD</w:t>
      </w:r>
      <w:r>
        <w:rPr>
          <w:rFonts w:ascii="Arial" w:cs="Arial" w:eastAsia="Arial" w:hAnsi="Arial"/>
          <w:sz w:val="18"/>
          <w:szCs w:val="18"/>
          <w:i w:val="1"/>
          <w:iCs w:val="1"/>
          <w:color w:val="auto"/>
        </w:rPr>
        <w:t xml:space="preserve"> </w:t>
      </w:r>
      <w:r>
        <w:rPr>
          <w:rFonts w:ascii="Arial" w:cs="Arial" w:eastAsia="Arial" w:hAnsi="Arial"/>
          <w:sz w:val="18"/>
          <w:szCs w:val="18"/>
          <w:color w:val="auto"/>
        </w:rPr>
        <w:t>S</w:t>
      </w:r>
      <w:r>
        <w:rPr>
          <w:rFonts w:ascii="Arial" w:cs="Arial" w:eastAsia="Arial" w:hAnsi="Arial"/>
          <w:sz w:val="12"/>
          <w:szCs w:val="12"/>
          <w:color w:val="auto"/>
        </w:rPr>
        <w:t>AW</w:t>
      </w:r>
      <w:r>
        <w:rPr>
          <w:rFonts w:ascii="Arial" w:cs="Arial" w:eastAsia="Arial" w:hAnsi="Arial"/>
          <w:sz w:val="18"/>
          <w:szCs w:val="18"/>
          <w:i w:val="1"/>
          <w:iCs w:val="1"/>
          <w:color w:val="auto"/>
        </w:rPr>
        <w:t xml:space="preserve"> </w:t>
      </w:r>
      <w:r>
        <w:rPr>
          <w:rFonts w:ascii="Arial" w:cs="Arial" w:eastAsia="Arial" w:hAnsi="Arial"/>
          <w:sz w:val="18"/>
          <w:szCs w:val="18"/>
          <w:color w:val="auto"/>
        </w:rPr>
        <w:t>M</w:t>
      </w:r>
      <w:r>
        <w:rPr>
          <w:rFonts w:ascii="Arial" w:cs="Arial" w:eastAsia="Arial" w:hAnsi="Arial"/>
          <w:sz w:val="12"/>
          <w:szCs w:val="12"/>
          <w:color w:val="auto"/>
        </w:rPr>
        <w:t>ILL</w:t>
      </w:r>
      <w:r>
        <w:rPr>
          <w:rFonts w:ascii="Arial" w:cs="Arial" w:eastAsia="Arial" w:hAnsi="Arial"/>
          <w:sz w:val="18"/>
          <w:szCs w:val="18"/>
          <w:i w:val="1"/>
          <w:iCs w:val="1"/>
          <w:color w:val="auto"/>
        </w:rPr>
        <w:t xml:space="preserve"> </w:t>
      </w:r>
      <w:r>
        <w:rPr>
          <w:rFonts w:ascii="Arial" w:cs="Arial" w:eastAsia="Arial" w:hAnsi="Arial"/>
          <w:sz w:val="18"/>
          <w:szCs w:val="18"/>
          <w:color w:val="auto"/>
        </w:rPr>
        <w:t>H</w:t>
      </w:r>
      <w:r>
        <w:rPr>
          <w:rFonts w:ascii="Arial" w:cs="Arial" w:eastAsia="Arial" w:hAnsi="Arial"/>
          <w:sz w:val="12"/>
          <w:szCs w:val="12"/>
          <w:color w:val="auto"/>
        </w:rPr>
        <w:t>OLDINGS</w:t>
      </w:r>
      <w:r>
        <w:rPr>
          <w:rFonts w:ascii="Arial" w:cs="Arial" w:eastAsia="Arial" w:hAnsi="Arial"/>
          <w:sz w:val="18"/>
          <w:szCs w:val="18"/>
          <w:i w:val="1"/>
          <w:iCs w:val="1"/>
          <w:color w:val="auto"/>
        </w:rPr>
        <w:t xml:space="preserve"> </w:t>
      </w:r>
      <w:r>
        <w:rPr>
          <w:rFonts w:ascii="Arial" w:cs="Arial" w:eastAsia="Arial" w:hAnsi="Arial"/>
          <w:sz w:val="18"/>
          <w:szCs w:val="18"/>
          <w:color w:val="auto"/>
        </w:rPr>
        <w:t>LLC, as Lessee, BA L</w:t>
      </w:r>
      <w:r>
        <w:rPr>
          <w:rFonts w:ascii="Arial" w:cs="Arial" w:eastAsia="Arial" w:hAnsi="Arial"/>
          <w:sz w:val="12"/>
          <w:szCs w:val="12"/>
          <w:color w:val="auto"/>
        </w:rPr>
        <w:t>EASING</w:t>
      </w:r>
      <w:r>
        <w:rPr>
          <w:rFonts w:ascii="Arial" w:cs="Arial" w:eastAsia="Arial" w:hAnsi="Arial"/>
          <w:sz w:val="18"/>
          <w:szCs w:val="18"/>
          <w:i w:val="1"/>
          <w:iCs w:val="1"/>
          <w:color w:val="auto"/>
        </w:rPr>
        <w:t xml:space="preserve"> </w:t>
      </w:r>
      <w:r>
        <w:rPr>
          <w:rFonts w:ascii="Arial" w:cs="Arial" w:eastAsia="Arial" w:hAnsi="Arial"/>
          <w:sz w:val="18"/>
          <w:szCs w:val="18"/>
          <w:color w:val="auto"/>
        </w:rPr>
        <w:t>BSC, LLC, a Delaware limited liability company, as Lessor, B</w:t>
      </w:r>
      <w:r>
        <w:rPr>
          <w:rFonts w:ascii="Arial" w:cs="Arial" w:eastAsia="Arial" w:hAnsi="Arial"/>
          <w:sz w:val="12"/>
          <w:szCs w:val="12"/>
          <w:color w:val="auto"/>
        </w:rPr>
        <w:t>ANK OF</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2"/>
          <w:szCs w:val="12"/>
          <w:color w:val="auto"/>
        </w:rPr>
        <w:t>MERICA</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N.A., not in its individual capacity, except as expressly stated herein, but solely as Administrative Agent, and the financial institutions from time to time party thereto as Participants. Capitalized terms used herein, but not defined, shall have the meanings ascribed to such terms in Appendix 1 to the Participation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I have signed my name as of the date first set forth above.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______________, the _______________________ of the Company, hereby certify that _____________________ has been duly elected,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duly qualified and this day is the Secretary of the Company and that the signature set forth above is his genuine signature.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I have signed my name as of the date first set forth above.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ERTIFICATE OF</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NCORPORATION 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161925</wp:posOffset>
            </wp:positionV>
            <wp:extent cx="72466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96" w:name="page197"/>
    <w:bookmarkEnd w:id="196"/>
    <w:p>
      <w:pPr>
        <w:jc w:val="center"/>
        <w:ind w:right="-2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B</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Y</w:t>
      </w:r>
      <w:r>
        <w:rPr>
          <w:rFonts w:ascii="Arial" w:cs="Arial" w:eastAsia="Arial" w:hAnsi="Arial"/>
          <w:sz w:val="22"/>
          <w:szCs w:val="22"/>
          <w:b w:val="1"/>
          <w:bCs w:val="1"/>
          <w:color w:val="auto"/>
        </w:rPr>
        <w:t>-L</w:t>
      </w:r>
      <w:r>
        <w:rPr>
          <w:rFonts w:ascii="Arial" w:cs="Arial" w:eastAsia="Arial" w:hAnsi="Arial"/>
          <w:sz w:val="14"/>
          <w:szCs w:val="14"/>
          <w:b w:val="1"/>
          <w:bCs w:val="1"/>
          <w:color w:val="auto"/>
        </w:rPr>
        <w:t>AWS 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161925</wp:posOffset>
            </wp:positionV>
            <wp:extent cx="724662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97" w:name="page198"/>
    <w:bookmarkEnd w:id="197"/>
    <w:p>
      <w:pPr>
        <w:ind w:left="406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C</w:t>
      </w:r>
    </w:p>
    <w:p>
      <w:pPr>
        <w:spacing w:after="0" w:line="206"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ESERVED</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98" w:name="page199"/>
    <w:bookmarkEnd w:id="198"/>
    <w:p>
      <w:pPr>
        <w:jc w:val="center"/>
        <w:ind w:right="-120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D</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IST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FFICERS 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p>
    <w:p>
      <w:pPr>
        <w:spacing w:after="0" w:line="219" w:lineRule="exact"/>
        <w:rPr>
          <w:sz w:val="20"/>
          <w:szCs w:val="20"/>
          <w:color w:val="auto"/>
        </w:rPr>
      </w:pPr>
    </w:p>
    <w:p>
      <w:pPr>
        <w:spacing w:after="0"/>
        <w:tabs>
          <w:tab w:leader="none" w:pos="3760" w:val="left"/>
          <w:tab w:leader="none" w:pos="7760" w:val="left"/>
        </w:tabs>
        <w:rPr>
          <w:sz w:val="20"/>
          <w:szCs w:val="20"/>
          <w:color w:val="auto"/>
        </w:rPr>
      </w:pPr>
      <w:r>
        <w:rPr>
          <w:rFonts w:ascii="Arial" w:cs="Arial" w:eastAsia="Arial" w:hAnsi="Arial"/>
          <w:sz w:val="18"/>
          <w:szCs w:val="18"/>
          <w:u w:val="single" w:color="auto"/>
          <w:color w:val="auto"/>
        </w:rPr>
        <w:t>Name</w:t>
      </w:r>
      <w:r>
        <w:rPr>
          <w:sz w:val="20"/>
          <w:szCs w:val="20"/>
          <w:color w:val="auto"/>
        </w:rPr>
        <w:tab/>
      </w:r>
      <w:r>
        <w:rPr>
          <w:rFonts w:ascii="Arial" w:cs="Arial" w:eastAsia="Arial" w:hAnsi="Arial"/>
          <w:sz w:val="18"/>
          <w:szCs w:val="18"/>
          <w:u w:val="single" w:color="auto"/>
          <w:color w:val="auto"/>
        </w:rPr>
        <w:t>Position</w:t>
      </w:r>
      <w:r>
        <w:rPr>
          <w:sz w:val="20"/>
          <w:szCs w:val="20"/>
          <w:color w:val="auto"/>
        </w:rPr>
        <w:tab/>
      </w:r>
      <w:r>
        <w:rPr>
          <w:rFonts w:ascii="Arial" w:cs="Arial" w:eastAsia="Arial" w:hAnsi="Arial"/>
          <w:sz w:val="15"/>
          <w:szCs w:val="15"/>
          <w:u w:val="single" w:color="auto"/>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726440</wp:posOffset>
            </wp:positionV>
            <wp:extent cx="231521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581025</wp:posOffset>
            </wp:positionV>
            <wp:extent cx="23152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434975</wp:posOffset>
            </wp:positionV>
            <wp:extent cx="231521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289560</wp:posOffset>
            </wp:positionV>
            <wp:extent cx="231521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889635</wp:posOffset>
            </wp:positionV>
            <wp:extent cx="724662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199" w:name="page200"/>
    <w:bookmarkEnd w:id="199"/>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FFICER</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UBSIDIARY</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UARANTORS</w:t>
      </w:r>
    </w:p>
    <w:p>
      <w:pPr>
        <w:spacing w:after="0" w:line="206"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ECRETARY</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 OF</w:t>
      </w:r>
      <w:r>
        <w:rPr>
          <w:rFonts w:ascii="Arial" w:cs="Arial" w:eastAsia="Arial" w:hAnsi="Arial"/>
          <w:sz w:val="22"/>
          <w:szCs w:val="22"/>
          <w:b w:val="1"/>
          <w:bCs w:val="1"/>
          <w:color w:val="auto"/>
        </w:rPr>
        <w:t xml:space="preserve"> [___________]</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AY</w:t>
      </w:r>
      <w:r>
        <w:rPr>
          <w:rFonts w:ascii="Arial" w:cs="Arial" w:eastAsia="Arial" w:hAnsi="Arial"/>
          <w:sz w:val="18"/>
          <w:szCs w:val="18"/>
          <w:color w:val="auto"/>
        </w:rPr>
        <w:t xml:space="preserve"> 2, 2019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__________________, Secretary of [__________], a [__________], (the “</w:t>
      </w:r>
      <w:r>
        <w:rPr>
          <w:rFonts w:ascii="Arial" w:cs="Arial" w:eastAsia="Arial" w:hAnsi="Arial"/>
          <w:sz w:val="17"/>
          <w:szCs w:val="17"/>
          <w:i w:val="1"/>
          <w:iCs w:val="1"/>
          <w:color w:val="auto"/>
        </w:rPr>
        <w:t>Company</w:t>
      </w:r>
      <w:r>
        <w:rPr>
          <w:rFonts w:ascii="Arial" w:cs="Arial" w:eastAsia="Arial" w:hAnsi="Arial"/>
          <w:sz w:val="17"/>
          <w:szCs w:val="17"/>
          <w:color w:val="auto"/>
        </w:rPr>
        <w:t>”), do hereby certify, in my capacity as Secretary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and on behalf of the Company and not in any personal capacity, that as of the date hereof:</w:t>
      </w:r>
    </w:p>
    <w:p>
      <w:pPr>
        <w:spacing w:after="0" w:line="211" w:lineRule="exact"/>
        <w:rPr>
          <w:sz w:val="20"/>
          <w:szCs w:val="20"/>
          <w:color w:val="auto"/>
        </w:rPr>
      </w:pPr>
    </w:p>
    <w:p>
      <w:pPr>
        <w:jc w:val="both"/>
        <w:ind w:left="660" w:firstLine="645"/>
        <w:spacing w:after="0" w:line="279" w:lineRule="auto"/>
        <w:tabs>
          <w:tab w:leader="none" w:pos="148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i w:val="1"/>
          <w:iCs w:val="1"/>
          <w:color w:val="auto"/>
        </w:rPr>
        <w:t>Exhibit A</w:t>
      </w:r>
      <w:r>
        <w:rPr>
          <w:rFonts w:ascii="Arial" w:cs="Arial" w:eastAsia="Arial" w:hAnsi="Arial"/>
          <w:sz w:val="17"/>
          <w:szCs w:val="17"/>
          <w:color w:val="auto"/>
        </w:rPr>
        <w:t xml:space="preserve"> is a true, correct and complete copy of the [Certificate/Articles of Formation/Incorporation] of the Company (the “</w:t>
      </w:r>
      <w:r>
        <w:rPr>
          <w:rFonts w:ascii="Arial" w:cs="Arial" w:eastAsia="Arial" w:hAnsi="Arial"/>
          <w:sz w:val="17"/>
          <w:szCs w:val="17"/>
          <w:i w:val="1"/>
          <w:iCs w:val="1"/>
          <w:color w:val="auto"/>
        </w:rPr>
        <w:t>[Certificate of Incorporation]</w:t>
      </w:r>
      <w:r>
        <w:rPr>
          <w:rFonts w:ascii="Arial" w:cs="Arial" w:eastAsia="Arial" w:hAnsi="Arial"/>
          <w:sz w:val="17"/>
          <w:szCs w:val="17"/>
          <w:color w:val="auto"/>
        </w:rPr>
        <w:t xml:space="preserve">”), as certified by the Secretary of State of the State of [______], as in effect on the date hereof. No amendment, restatement or other modification to the [Certificate of Incorporation] has been filed in the office of the Secretary of State of the State of [______] since the date of such certification by the Secretary of State of the State of [______] as set forth in </w:t>
      </w:r>
      <w:r>
        <w:rPr>
          <w:rFonts w:ascii="Arial" w:cs="Arial" w:eastAsia="Arial" w:hAnsi="Arial"/>
          <w:sz w:val="17"/>
          <w:szCs w:val="17"/>
          <w:i w:val="1"/>
          <w:iCs w:val="1"/>
          <w:color w:val="auto"/>
        </w:rPr>
        <w:t>Exhibit 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660" w:right="20" w:firstLine="645"/>
        <w:spacing w:after="0" w:line="277" w:lineRule="auto"/>
        <w:tabs>
          <w:tab w:leader="none" w:pos="148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i w:val="1"/>
          <w:iCs w:val="1"/>
          <w:color w:val="auto"/>
        </w:rPr>
        <w:t>Exhibit B</w:t>
      </w:r>
      <w:r>
        <w:rPr>
          <w:rFonts w:ascii="Arial" w:cs="Arial" w:eastAsia="Arial" w:hAnsi="Arial"/>
          <w:sz w:val="18"/>
          <w:szCs w:val="18"/>
          <w:color w:val="auto"/>
        </w:rPr>
        <w:t xml:space="preserve"> is a true and complete copy of the [By-Laws/LLC Agreement] of the Company, as in full force and effect at all times since [_______, _____], to and including the date hereof.</w:t>
      </w:r>
    </w:p>
    <w:p>
      <w:pPr>
        <w:spacing w:after="0" w:line="170" w:lineRule="exact"/>
        <w:rPr>
          <w:rFonts w:ascii="Arial" w:cs="Arial" w:eastAsia="Arial" w:hAnsi="Arial"/>
          <w:sz w:val="18"/>
          <w:szCs w:val="18"/>
          <w:color w:val="auto"/>
        </w:rPr>
      </w:pPr>
    </w:p>
    <w:p>
      <w:pPr>
        <w:jc w:val="both"/>
        <w:ind w:left="660" w:firstLine="645"/>
        <w:spacing w:after="0" w:line="257" w:lineRule="auto"/>
        <w:tabs>
          <w:tab w:leader="none" w:pos="14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resolutions of the Company’s [Board of Directors/Managers] attached as Exhibit C to that certain Certificate of the Secretary of the Company, dated March 3, 2017 and delivered in connection with the Original Participation Agreement (a) have not in any way been (i) amended or modified in any matter that would have the effect of reducing, limiting, or conditioning the authorizations described therein or (ii) revoked, rescinded, or superseded, and (b) have been in full force and effect since their adoption to and including the date hereof and are now in full force and effect.</w:t>
      </w:r>
    </w:p>
    <w:p>
      <w:pPr>
        <w:spacing w:after="0" w:line="188" w:lineRule="exact"/>
        <w:rPr>
          <w:rFonts w:ascii="Arial" w:cs="Arial" w:eastAsia="Arial" w:hAnsi="Arial"/>
          <w:sz w:val="18"/>
          <w:szCs w:val="18"/>
          <w:color w:val="auto"/>
        </w:rPr>
      </w:pPr>
    </w:p>
    <w:p>
      <w:pPr>
        <w:jc w:val="both"/>
        <w:ind w:left="660" w:firstLine="645"/>
        <w:spacing w:after="0" w:line="259" w:lineRule="auto"/>
        <w:tabs>
          <w:tab w:leader="none" w:pos="151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i w:val="1"/>
          <w:iCs w:val="1"/>
          <w:color w:val="auto"/>
        </w:rPr>
        <w:t>Exhibit D</w:t>
      </w:r>
      <w:r>
        <w:rPr>
          <w:rFonts w:ascii="Arial" w:cs="Arial" w:eastAsia="Arial" w:hAnsi="Arial"/>
          <w:sz w:val="18"/>
          <w:szCs w:val="18"/>
          <w:color w:val="auto"/>
        </w:rPr>
        <w:t xml:space="preserve"> is a list of the officer(s) of the Company, each of whom has been duly elected or appointed, has duly qualified and on this day is an officer of the Company holding the office indicated opposite the name of such person, authorized to execute and deliver each of the Operative Documents to which the Company is a party and any additional documents contemplated thereby, and the signature set opposite the name of such officer is the genuine signature of such person.</w:t>
      </w:r>
    </w:p>
    <w:p>
      <w:pPr>
        <w:spacing w:after="0" w:line="186" w:lineRule="exact"/>
        <w:rPr>
          <w:rFonts w:ascii="Arial" w:cs="Arial" w:eastAsia="Arial" w:hAnsi="Arial"/>
          <w:sz w:val="18"/>
          <w:szCs w:val="18"/>
          <w:color w:val="auto"/>
        </w:rPr>
      </w:pPr>
    </w:p>
    <w:p>
      <w:pPr>
        <w:jc w:val="both"/>
        <w:ind w:left="660" w:firstLine="645"/>
        <w:spacing w:after="0" w:line="255" w:lineRule="auto"/>
        <w:tabs>
          <w:tab w:leader="none" w:pos="151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No procedures have been instituted for, and no other event has occurred, including, without limitation, any action taken by the Company, its [Board of Directors/Managers] or its [shareholders/members], that would result in the liquidation, dissolution or winding-up of the Company, (ii) no event has occurred that has adversely affected the [full force and effect status][good standing] of the Company under the laws of its jurisdiction of [incorporation/formation], and the Company has taken all actions required by the laws of its jurisdiction of [incorporation/formation] to maintain such [full force and effect status][good standing] and (iii) no grounds exist for the revocation or forfeiture of the [Certificate of Incorporation].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F-3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00" w:name="page201"/>
    <w:bookmarkEnd w:id="200"/>
    <w:p>
      <w:pPr>
        <w:ind w:left="1300"/>
        <w:spacing w:after="0"/>
        <w:rPr>
          <w:sz w:val="20"/>
          <w:szCs w:val="20"/>
          <w:color w:val="auto"/>
        </w:rPr>
      </w:pPr>
      <w:r>
        <w:rPr>
          <w:rFonts w:ascii="Arial" w:cs="Arial" w:eastAsia="Arial" w:hAnsi="Arial"/>
          <w:sz w:val="18"/>
          <w:szCs w:val="18"/>
          <w:color w:val="auto"/>
        </w:rPr>
        <w:t>6. [Add other applicable information as necessary.]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certificate is delivered in connection with the Amended and Restated Participation Agreement dated as of the date hereof (the “</w:t>
      </w:r>
      <w:r>
        <w:rPr>
          <w:rFonts w:ascii="Arial" w:cs="Arial" w:eastAsia="Arial" w:hAnsi="Arial"/>
          <w:sz w:val="18"/>
          <w:szCs w:val="18"/>
          <w:i w:val="1"/>
          <w:iCs w:val="1"/>
          <w:color w:val="auto"/>
        </w:rPr>
        <w:t>Participation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among O</w:t>
      </w:r>
      <w:r>
        <w:rPr>
          <w:rFonts w:ascii="Arial" w:cs="Arial" w:eastAsia="Arial" w:hAnsi="Arial"/>
          <w:sz w:val="12"/>
          <w:szCs w:val="12"/>
          <w:color w:val="auto"/>
        </w:rPr>
        <w:t>LD</w:t>
      </w:r>
      <w:r>
        <w:rPr>
          <w:rFonts w:ascii="Arial" w:cs="Arial" w:eastAsia="Arial" w:hAnsi="Arial"/>
          <w:sz w:val="18"/>
          <w:szCs w:val="18"/>
          <w:i w:val="1"/>
          <w:iCs w:val="1"/>
          <w:color w:val="auto"/>
        </w:rPr>
        <w:t xml:space="preserve"> </w:t>
      </w:r>
      <w:r>
        <w:rPr>
          <w:rFonts w:ascii="Arial" w:cs="Arial" w:eastAsia="Arial" w:hAnsi="Arial"/>
          <w:sz w:val="18"/>
          <w:szCs w:val="18"/>
          <w:color w:val="auto"/>
        </w:rPr>
        <w:t>S</w:t>
      </w:r>
      <w:r>
        <w:rPr>
          <w:rFonts w:ascii="Arial" w:cs="Arial" w:eastAsia="Arial" w:hAnsi="Arial"/>
          <w:sz w:val="12"/>
          <w:szCs w:val="12"/>
          <w:color w:val="auto"/>
        </w:rPr>
        <w:t>AW</w:t>
      </w:r>
      <w:r>
        <w:rPr>
          <w:rFonts w:ascii="Arial" w:cs="Arial" w:eastAsia="Arial" w:hAnsi="Arial"/>
          <w:sz w:val="18"/>
          <w:szCs w:val="18"/>
          <w:i w:val="1"/>
          <w:iCs w:val="1"/>
          <w:color w:val="auto"/>
        </w:rPr>
        <w:t xml:space="preserve"> </w:t>
      </w:r>
      <w:r>
        <w:rPr>
          <w:rFonts w:ascii="Arial" w:cs="Arial" w:eastAsia="Arial" w:hAnsi="Arial"/>
          <w:sz w:val="18"/>
          <w:szCs w:val="18"/>
          <w:color w:val="auto"/>
        </w:rPr>
        <w:t>M</w:t>
      </w:r>
      <w:r>
        <w:rPr>
          <w:rFonts w:ascii="Arial" w:cs="Arial" w:eastAsia="Arial" w:hAnsi="Arial"/>
          <w:sz w:val="12"/>
          <w:szCs w:val="12"/>
          <w:color w:val="auto"/>
        </w:rPr>
        <w:t>ILL</w:t>
      </w:r>
      <w:r>
        <w:rPr>
          <w:rFonts w:ascii="Arial" w:cs="Arial" w:eastAsia="Arial" w:hAnsi="Arial"/>
          <w:sz w:val="18"/>
          <w:szCs w:val="18"/>
          <w:i w:val="1"/>
          <w:iCs w:val="1"/>
          <w:color w:val="auto"/>
        </w:rPr>
        <w:t xml:space="preserve"> </w:t>
      </w:r>
      <w:r>
        <w:rPr>
          <w:rFonts w:ascii="Arial" w:cs="Arial" w:eastAsia="Arial" w:hAnsi="Arial"/>
          <w:sz w:val="18"/>
          <w:szCs w:val="18"/>
          <w:color w:val="auto"/>
        </w:rPr>
        <w:t>H</w:t>
      </w:r>
      <w:r>
        <w:rPr>
          <w:rFonts w:ascii="Arial" w:cs="Arial" w:eastAsia="Arial" w:hAnsi="Arial"/>
          <w:sz w:val="12"/>
          <w:szCs w:val="12"/>
          <w:color w:val="auto"/>
        </w:rPr>
        <w:t>OLDINGS</w:t>
      </w:r>
      <w:r>
        <w:rPr>
          <w:rFonts w:ascii="Arial" w:cs="Arial" w:eastAsia="Arial" w:hAnsi="Arial"/>
          <w:sz w:val="18"/>
          <w:szCs w:val="18"/>
          <w:i w:val="1"/>
          <w:iCs w:val="1"/>
          <w:color w:val="auto"/>
        </w:rPr>
        <w:t xml:space="preserve"> </w:t>
      </w:r>
      <w:r>
        <w:rPr>
          <w:rFonts w:ascii="Arial" w:cs="Arial" w:eastAsia="Arial" w:hAnsi="Arial"/>
          <w:sz w:val="18"/>
          <w:szCs w:val="18"/>
          <w:color w:val="auto"/>
        </w:rPr>
        <w:t>LLC, as Lessee, BA L</w:t>
      </w:r>
      <w:r>
        <w:rPr>
          <w:rFonts w:ascii="Arial" w:cs="Arial" w:eastAsia="Arial" w:hAnsi="Arial"/>
          <w:sz w:val="12"/>
          <w:szCs w:val="12"/>
          <w:color w:val="auto"/>
        </w:rPr>
        <w:t>EASING</w:t>
      </w:r>
      <w:r>
        <w:rPr>
          <w:rFonts w:ascii="Arial" w:cs="Arial" w:eastAsia="Arial" w:hAnsi="Arial"/>
          <w:sz w:val="18"/>
          <w:szCs w:val="18"/>
          <w:i w:val="1"/>
          <w:iCs w:val="1"/>
          <w:color w:val="auto"/>
        </w:rPr>
        <w:t xml:space="preserve"> </w:t>
      </w:r>
      <w:r>
        <w:rPr>
          <w:rFonts w:ascii="Arial" w:cs="Arial" w:eastAsia="Arial" w:hAnsi="Arial"/>
          <w:sz w:val="18"/>
          <w:szCs w:val="18"/>
          <w:color w:val="auto"/>
        </w:rPr>
        <w:t>BSC, LLC, a Delaware limited liability company, as Lessor, B</w:t>
      </w:r>
      <w:r>
        <w:rPr>
          <w:rFonts w:ascii="Arial" w:cs="Arial" w:eastAsia="Arial" w:hAnsi="Arial"/>
          <w:sz w:val="12"/>
          <w:szCs w:val="12"/>
          <w:color w:val="auto"/>
        </w:rPr>
        <w:t>ANK OF</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2"/>
          <w:szCs w:val="12"/>
          <w:color w:val="auto"/>
        </w:rPr>
        <w:t>MERICA</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N.A., not in its individual capacity, except as expressly stated herein, but solely as Administrative Agent, and the financial institutions from time to time party thereto as Participants. Capitalized terms used herein, but not defined, shall have the meanings ascribed to them in Appendix 1 to the Participation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I have signed my name as of the date first set forth above.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______________, the _______________________ of the Company, hereby certify that _____________________ has been duly elected,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duly qualified and this day is the Secretary of the Company and that the signature set forth above is his genuine signature.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I have signed my name as of the date first set forth above.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ERTIFICATE</w:t>
      </w:r>
      <w:r>
        <w:rPr>
          <w:rFonts w:ascii="Arial" w:cs="Arial" w:eastAsia="Arial" w:hAnsi="Arial"/>
          <w:sz w:val="22"/>
          <w:szCs w:val="22"/>
          <w:b w:val="1"/>
          <w:bCs w:val="1"/>
          <w:color w:val="auto"/>
        </w:rPr>
        <w:t>/A</w:t>
      </w:r>
      <w:r>
        <w:rPr>
          <w:rFonts w:ascii="Arial" w:cs="Arial" w:eastAsia="Arial" w:hAnsi="Arial"/>
          <w:sz w:val="14"/>
          <w:szCs w:val="14"/>
          <w:b w:val="1"/>
          <w:bCs w:val="1"/>
          <w:color w:val="auto"/>
        </w:rPr>
        <w:t>RTICLES OF</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ORMATION</w:t>
      </w:r>
      <w:r>
        <w:rPr>
          <w:rFonts w:ascii="Arial" w:cs="Arial" w:eastAsia="Arial" w:hAnsi="Arial"/>
          <w:sz w:val="22"/>
          <w:szCs w:val="22"/>
          <w:b w:val="1"/>
          <w:bCs w:val="1"/>
          <w:color w:val="auto"/>
        </w:rPr>
        <w:t>/I</w:t>
      </w:r>
      <w:r>
        <w:rPr>
          <w:rFonts w:ascii="Arial" w:cs="Arial" w:eastAsia="Arial" w:hAnsi="Arial"/>
          <w:sz w:val="14"/>
          <w:szCs w:val="14"/>
          <w:b w:val="1"/>
          <w:bCs w:val="1"/>
          <w:color w:val="auto"/>
        </w:rPr>
        <w:t>NCORPORATION</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161925</wp:posOffset>
            </wp:positionV>
            <wp:extent cx="724662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03" w:name="page204"/>
    <w:bookmarkEnd w:id="203"/>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Y</w:t>
      </w:r>
      <w:r>
        <w:rPr>
          <w:rFonts w:ascii="Arial" w:cs="Arial" w:eastAsia="Arial" w:hAnsi="Arial"/>
          <w:sz w:val="22"/>
          <w:szCs w:val="22"/>
          <w:b w:val="1"/>
          <w:bCs w:val="1"/>
          <w:color w:val="auto"/>
        </w:rPr>
        <w:t>-L</w:t>
      </w:r>
      <w:r>
        <w:rPr>
          <w:rFonts w:ascii="Arial" w:cs="Arial" w:eastAsia="Arial" w:hAnsi="Arial"/>
          <w:sz w:val="14"/>
          <w:szCs w:val="14"/>
          <w:b w:val="1"/>
          <w:bCs w:val="1"/>
          <w:color w:val="auto"/>
        </w:rPr>
        <w:t>AWS</w:t>
      </w:r>
      <w:r>
        <w:rPr>
          <w:rFonts w:ascii="Arial" w:cs="Arial" w:eastAsia="Arial" w:hAnsi="Arial"/>
          <w:sz w:val="22"/>
          <w:szCs w:val="22"/>
          <w:b w:val="1"/>
          <w:bCs w:val="1"/>
          <w:color w:val="auto"/>
        </w:rPr>
        <w:t>/LLC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161925</wp:posOffset>
            </wp:positionV>
            <wp:extent cx="724662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04" w:name="page205"/>
    <w:bookmarkEnd w:id="204"/>
    <w:p>
      <w:pPr>
        <w:ind w:left="406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C</w:t>
      </w:r>
    </w:p>
    <w:p>
      <w:pPr>
        <w:spacing w:after="0" w:line="206"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ESERVED</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05" w:name="page206"/>
    <w:bookmarkEnd w:id="205"/>
    <w:p>
      <w:pPr>
        <w:jc w:val="center"/>
        <w:ind w:right="-120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D</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IST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FFICERS 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p>
    <w:p>
      <w:pPr>
        <w:spacing w:after="0" w:line="219" w:lineRule="exact"/>
        <w:rPr>
          <w:sz w:val="20"/>
          <w:szCs w:val="20"/>
          <w:color w:val="auto"/>
        </w:rPr>
      </w:pPr>
    </w:p>
    <w:p>
      <w:pPr>
        <w:spacing w:after="0"/>
        <w:tabs>
          <w:tab w:leader="none" w:pos="3760" w:val="left"/>
          <w:tab w:leader="none" w:pos="7760" w:val="left"/>
        </w:tabs>
        <w:rPr>
          <w:sz w:val="20"/>
          <w:szCs w:val="20"/>
          <w:color w:val="auto"/>
        </w:rPr>
      </w:pPr>
      <w:r>
        <w:rPr>
          <w:rFonts w:ascii="Arial" w:cs="Arial" w:eastAsia="Arial" w:hAnsi="Arial"/>
          <w:sz w:val="18"/>
          <w:szCs w:val="18"/>
          <w:u w:val="single" w:color="auto"/>
          <w:color w:val="auto"/>
        </w:rPr>
        <w:t>Name</w:t>
      </w:r>
      <w:r>
        <w:rPr>
          <w:sz w:val="20"/>
          <w:szCs w:val="20"/>
          <w:color w:val="auto"/>
        </w:rPr>
        <w:tab/>
      </w:r>
      <w:r>
        <w:rPr>
          <w:rFonts w:ascii="Arial" w:cs="Arial" w:eastAsia="Arial" w:hAnsi="Arial"/>
          <w:sz w:val="18"/>
          <w:szCs w:val="18"/>
          <w:u w:val="single" w:color="auto"/>
          <w:color w:val="auto"/>
        </w:rPr>
        <w:t>Position</w:t>
      </w:r>
      <w:r>
        <w:rPr>
          <w:sz w:val="20"/>
          <w:szCs w:val="20"/>
          <w:color w:val="auto"/>
        </w:rPr>
        <w:tab/>
      </w:r>
      <w:r>
        <w:rPr>
          <w:rFonts w:ascii="Arial" w:cs="Arial" w:eastAsia="Arial" w:hAnsi="Arial"/>
          <w:sz w:val="15"/>
          <w:szCs w:val="15"/>
          <w:u w:val="single" w:color="auto"/>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726440</wp:posOffset>
            </wp:positionV>
            <wp:extent cx="231521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581025</wp:posOffset>
            </wp:positionV>
            <wp:extent cx="231521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434975</wp:posOffset>
            </wp:positionV>
            <wp:extent cx="231521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289560</wp:posOffset>
            </wp:positionV>
            <wp:extent cx="231521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889635</wp:posOffset>
            </wp:positionV>
            <wp:extent cx="724662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Prepared by and Upon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Recording Return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Chapman and Cutler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 W. Monroe,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Phillip Edison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AMENDED AND RESTATED </w:t>
      </w:r>
      <w:r>
        <w:rPr>
          <w:rFonts w:ascii="Arial" w:cs="Arial" w:eastAsia="Arial" w:hAnsi="Arial"/>
          <w:sz w:val="18"/>
          <w:szCs w:val="18"/>
          <w:color w:val="auto"/>
        </w:rPr>
        <w:t>L</w:t>
      </w:r>
      <w:r>
        <w:rPr>
          <w:rFonts w:ascii="Arial" w:cs="Arial" w:eastAsia="Arial" w:hAnsi="Arial"/>
          <w:sz w:val="12"/>
          <w:szCs w:val="12"/>
          <w:color w:val="auto"/>
        </w:rPr>
        <w:t xml:space="preserve">EASE AND </w:t>
      </w:r>
      <w:r>
        <w:rPr>
          <w:rFonts w:ascii="Arial" w:cs="Arial" w:eastAsia="Arial" w:hAnsi="Arial"/>
          <w:sz w:val="18"/>
          <w:szCs w:val="18"/>
          <w:color w:val="auto"/>
        </w:rPr>
        <w:t>R</w:t>
      </w:r>
      <w:r>
        <w:rPr>
          <w:rFonts w:ascii="Arial" w:cs="Arial" w:eastAsia="Arial" w:hAnsi="Arial"/>
          <w:sz w:val="12"/>
          <w:szCs w:val="12"/>
          <w:color w:val="auto"/>
        </w:rPr>
        <w:t xml:space="preserve">EMEDIES </w:t>
      </w:r>
      <w:r>
        <w:rPr>
          <w:rFonts w:ascii="Arial" w:cs="Arial" w:eastAsia="Arial" w:hAnsi="Arial"/>
          <w:sz w:val="18"/>
          <w:szCs w:val="18"/>
          <w:color w:val="auto"/>
        </w:rPr>
        <w:t>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May 2,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Lessee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2017 Lease Financing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Amended and Restated Lease and Remedies Agreement is encumbered by a lien in favor of Bank of America, N.A., as Administrative Agent for the Participants. This Amended and Restated Lease and Remedies Agreement has been executed in several counterparts. To the extent, if any, that this Amended and Restated Lease and Remedies Agreement constitutes chattel paper (as such term is defined in the Uniform Commercial Code as in effect in any applicable jurisdiction), no lien on this Amended and Restated Lease and Remedies Agreement may be created through the transfer or possession of any counterpart other than the original counterpart containing the receipt therefor executed by the Administrative Agent on or following the signature page hereof or as otherwise provided in the Original Lease (as defined herein).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 NAMES OF</w:t>
      </w:r>
      <w:r>
        <w:rPr>
          <w:rFonts w:ascii="Arial" w:cs="Arial" w:eastAsia="Arial" w:hAnsi="Arial"/>
          <w:sz w:val="18"/>
          <w:szCs w:val="18"/>
          <w:color w:val="auto"/>
        </w:rPr>
        <w:t xml:space="preserve"> L</w:t>
      </w:r>
      <w:r>
        <w:rPr>
          <w:rFonts w:ascii="Arial" w:cs="Arial" w:eastAsia="Arial" w:hAnsi="Arial"/>
          <w:sz w:val="12"/>
          <w:szCs w:val="12"/>
          <w:color w:val="auto"/>
        </w:rPr>
        <w:t>ESSEE</w:t>
      </w:r>
      <w:r>
        <w:rPr>
          <w:rFonts w:ascii="Arial" w:cs="Arial" w:eastAsia="Arial" w:hAnsi="Arial"/>
          <w:sz w:val="18"/>
          <w:szCs w:val="18"/>
          <w:color w:val="auto"/>
        </w:rPr>
        <w:t xml:space="preserve">, </w:t>
      </w:r>
      <w:r>
        <w:rPr>
          <w:rFonts w:ascii="Arial" w:cs="Arial" w:eastAsia="Arial" w:hAnsi="Arial"/>
          <w:sz w:val="12"/>
          <w:szCs w:val="12"/>
          <w:color w:val="auto"/>
        </w:rPr>
        <w:t>AS THE</w:t>
      </w:r>
      <w:r>
        <w:rPr>
          <w:rFonts w:ascii="Arial" w:cs="Arial" w:eastAsia="Arial" w:hAnsi="Arial"/>
          <w:sz w:val="18"/>
          <w:szCs w:val="18"/>
          <w:color w:val="auto"/>
        </w:rPr>
        <w:t xml:space="preserve"> D</w:t>
      </w:r>
      <w:r>
        <w:rPr>
          <w:rFonts w:ascii="Arial" w:cs="Arial" w:eastAsia="Arial" w:hAnsi="Arial"/>
          <w:sz w:val="12"/>
          <w:szCs w:val="12"/>
          <w:color w:val="auto"/>
        </w:rPr>
        <w:t>EBTOR</w:t>
      </w:r>
      <w:r>
        <w:rPr>
          <w:rFonts w:ascii="Arial" w:cs="Arial" w:eastAsia="Arial" w:hAnsi="Arial"/>
          <w:sz w:val="18"/>
          <w:szCs w:val="18"/>
          <w:color w:val="auto"/>
        </w:rPr>
        <w:t xml:space="preserve">, </w:t>
      </w:r>
      <w:r>
        <w:rPr>
          <w:rFonts w:ascii="Arial" w:cs="Arial" w:eastAsia="Arial" w:hAnsi="Arial"/>
          <w:sz w:val="12"/>
          <w:szCs w:val="12"/>
          <w:color w:val="auto"/>
        </w:rPr>
        <w:t>AND</w:t>
      </w:r>
      <w:r>
        <w:rPr>
          <w:rFonts w:ascii="Arial" w:cs="Arial" w:eastAsia="Arial" w:hAnsi="Arial"/>
          <w:sz w:val="18"/>
          <w:szCs w:val="18"/>
          <w:color w:val="auto"/>
        </w:rPr>
        <w:t xml:space="preserve"> L</w:t>
      </w:r>
      <w:r>
        <w:rPr>
          <w:rFonts w:ascii="Arial" w:cs="Arial" w:eastAsia="Arial" w:hAnsi="Arial"/>
          <w:sz w:val="12"/>
          <w:szCs w:val="12"/>
          <w:color w:val="auto"/>
        </w:rPr>
        <w:t>ESSOR</w:t>
      </w:r>
      <w:r>
        <w:rPr>
          <w:rFonts w:ascii="Arial" w:cs="Arial" w:eastAsia="Arial" w:hAnsi="Arial"/>
          <w:sz w:val="18"/>
          <w:szCs w:val="18"/>
          <w:color w:val="auto"/>
        </w:rPr>
        <w:t xml:space="preserve">, </w:t>
      </w:r>
      <w:r>
        <w:rPr>
          <w:rFonts w:ascii="Arial" w:cs="Arial" w:eastAsia="Arial" w:hAnsi="Arial"/>
          <w:sz w:val="12"/>
          <w:szCs w:val="12"/>
          <w:color w:val="auto"/>
        </w:rPr>
        <w:t>AS THE SECURED PARTY</w:t>
      </w:r>
      <w:r>
        <w:rPr>
          <w:rFonts w:ascii="Arial" w:cs="Arial" w:eastAsia="Arial" w:hAnsi="Arial"/>
          <w:sz w:val="18"/>
          <w:szCs w:val="18"/>
          <w:color w:val="auto"/>
        </w:rPr>
        <w:t xml:space="preserve">, </w:t>
      </w:r>
      <w:r>
        <w:rPr>
          <w:rFonts w:ascii="Arial" w:cs="Arial" w:eastAsia="Arial" w:hAnsi="Arial"/>
          <w:sz w:val="12"/>
          <w:szCs w:val="12"/>
          <w:color w:val="auto"/>
        </w:rPr>
        <w:t>THE MAILING ADDRESS OF THE SECURED PARTY FROM WHICH INFORMATION CONCERNING THE</w:t>
      </w:r>
      <w:r>
        <w:rPr>
          <w:rFonts w:ascii="Arial" w:cs="Arial" w:eastAsia="Arial" w:hAnsi="Arial"/>
          <w:sz w:val="18"/>
          <w:szCs w:val="18"/>
          <w:color w:val="auto"/>
        </w:rPr>
        <w:t xml:space="preserve"> </w:t>
      </w:r>
      <w:r>
        <w:rPr>
          <w:rFonts w:ascii="Arial" w:cs="Arial" w:eastAsia="Arial" w:hAnsi="Arial"/>
          <w:sz w:val="12"/>
          <w:szCs w:val="12"/>
          <w:color w:val="auto"/>
        </w:rPr>
        <w:t>SECURITY INTEREST MAY BE OBTAINED</w:t>
      </w:r>
      <w:r>
        <w:rPr>
          <w:rFonts w:ascii="Arial" w:cs="Arial" w:eastAsia="Arial" w:hAnsi="Arial"/>
          <w:sz w:val="18"/>
          <w:szCs w:val="18"/>
          <w:color w:val="auto"/>
        </w:rPr>
        <w:t>,</w:t>
      </w:r>
      <w:r>
        <w:rPr>
          <w:rFonts w:ascii="Arial" w:cs="Arial" w:eastAsia="Arial" w:hAnsi="Arial"/>
          <w:sz w:val="12"/>
          <w:szCs w:val="12"/>
          <w:color w:val="auto"/>
        </w:rPr>
        <w:t xml:space="preserve"> THE MAILING ADDRESS OF THE DEBTOR AND A STATEMENT INDICATING THE TYPES</w:t>
      </w:r>
      <w:r>
        <w:rPr>
          <w:rFonts w:ascii="Arial" w:cs="Arial" w:eastAsia="Arial" w:hAnsi="Arial"/>
          <w:sz w:val="18"/>
          <w:szCs w:val="18"/>
          <w:color w:val="auto"/>
        </w:rPr>
        <w:t>,</w:t>
      </w:r>
      <w:r>
        <w:rPr>
          <w:rFonts w:ascii="Arial" w:cs="Arial" w:eastAsia="Arial" w:hAnsi="Arial"/>
          <w:sz w:val="12"/>
          <w:szCs w:val="12"/>
          <w:color w:val="auto"/>
        </w:rPr>
        <w:t xml:space="preserve"> OR DESCRIBING THE ITEMS OF COLLATERAL ARE AS DESCRIBED HEREIN</w:t>
      </w:r>
      <w:r>
        <w:rPr>
          <w:rFonts w:ascii="Arial" w:cs="Arial" w:eastAsia="Arial" w:hAnsi="Arial"/>
          <w:sz w:val="18"/>
          <w:szCs w:val="18"/>
          <w:color w:val="auto"/>
        </w:rPr>
        <w:t>,</w:t>
      </w:r>
      <w:r>
        <w:rPr>
          <w:rFonts w:ascii="Arial" w:cs="Arial" w:eastAsia="Arial" w:hAnsi="Arial"/>
          <w:sz w:val="12"/>
          <w:szCs w:val="12"/>
          <w:color w:val="auto"/>
        </w:rPr>
        <w:t xml:space="preserve"> IN COMPLIANCE WITH THE REQUIREMENTS OF </w:t>
      </w:r>
      <w:r>
        <w:rPr>
          <w:rFonts w:ascii="Arial" w:cs="Arial" w:eastAsia="Arial" w:hAnsi="Arial"/>
          <w:sz w:val="18"/>
          <w:szCs w:val="18"/>
          <w:color w:val="auto"/>
        </w:rPr>
        <w:t>A</w:t>
      </w:r>
      <w:r>
        <w:rPr>
          <w:rFonts w:ascii="Arial" w:cs="Arial" w:eastAsia="Arial" w:hAnsi="Arial"/>
          <w:sz w:val="12"/>
          <w:szCs w:val="12"/>
          <w:color w:val="auto"/>
        </w:rPr>
        <w:t xml:space="preserve">RTICLE </w:t>
      </w:r>
      <w:r>
        <w:rPr>
          <w:rFonts w:ascii="Arial" w:cs="Arial" w:eastAsia="Arial" w:hAnsi="Arial"/>
          <w:sz w:val="18"/>
          <w:szCs w:val="18"/>
          <w:color w:val="auto"/>
        </w:rPr>
        <w:t>9, S</w:t>
      </w:r>
      <w:r>
        <w:rPr>
          <w:rFonts w:ascii="Arial" w:cs="Arial" w:eastAsia="Arial" w:hAnsi="Arial"/>
          <w:sz w:val="12"/>
          <w:szCs w:val="12"/>
          <w:color w:val="auto"/>
        </w:rPr>
        <w:t xml:space="preserve">ECTION </w:t>
      </w:r>
      <w:r>
        <w:rPr>
          <w:rFonts w:ascii="Arial" w:cs="Arial" w:eastAsia="Arial" w:hAnsi="Arial"/>
          <w:sz w:val="18"/>
          <w:szCs w:val="18"/>
          <w:color w:val="auto"/>
        </w:rPr>
        <w:t>9-502</w:t>
      </w:r>
      <w:r>
        <w:rPr>
          <w:rFonts w:ascii="Arial" w:cs="Arial" w:eastAsia="Arial" w:hAnsi="Arial"/>
          <w:sz w:val="12"/>
          <w:szCs w:val="12"/>
          <w:color w:val="auto"/>
        </w:rPr>
        <w:t xml:space="preserve"> OF THE </w:t>
      </w:r>
      <w:r>
        <w:rPr>
          <w:rFonts w:ascii="Arial" w:cs="Arial" w:eastAsia="Arial" w:hAnsi="Arial"/>
          <w:sz w:val="18"/>
          <w:szCs w:val="18"/>
          <w:color w:val="auto"/>
        </w:rPr>
        <w:t>U</w:t>
      </w:r>
      <w:r>
        <w:rPr>
          <w:rFonts w:ascii="Arial" w:cs="Arial" w:eastAsia="Arial" w:hAnsi="Arial"/>
          <w:sz w:val="12"/>
          <w:szCs w:val="12"/>
          <w:color w:val="auto"/>
        </w:rPr>
        <w:t xml:space="preserve">NIFORM </w:t>
      </w:r>
      <w:r>
        <w:rPr>
          <w:rFonts w:ascii="Arial" w:cs="Arial" w:eastAsia="Arial" w:hAnsi="Arial"/>
          <w:sz w:val="18"/>
          <w:szCs w:val="18"/>
          <w:color w:val="auto"/>
        </w:rPr>
        <w:t>C</w:t>
      </w:r>
      <w:r>
        <w:rPr>
          <w:rFonts w:ascii="Arial" w:cs="Arial" w:eastAsia="Arial" w:hAnsi="Arial"/>
          <w:sz w:val="12"/>
          <w:szCs w:val="12"/>
          <w:color w:val="auto"/>
        </w:rPr>
        <w:t xml:space="preserve">OMMERCIAL </w:t>
      </w:r>
      <w:r>
        <w:rPr>
          <w:rFonts w:ascii="Arial" w:cs="Arial" w:eastAsia="Arial" w:hAnsi="Arial"/>
          <w:sz w:val="18"/>
          <w:szCs w:val="18"/>
          <w:color w:val="auto"/>
        </w:rPr>
        <w:t>C</w:t>
      </w:r>
      <w:r>
        <w:rPr>
          <w:rFonts w:ascii="Arial" w:cs="Arial" w:eastAsia="Arial" w:hAnsi="Arial"/>
          <w:sz w:val="12"/>
          <w:szCs w:val="12"/>
          <w:color w:val="auto"/>
        </w:rPr>
        <w:t xml:space="preserve">ODE OF THE </w:t>
      </w:r>
      <w:r>
        <w:rPr>
          <w:rFonts w:ascii="Arial" w:cs="Arial" w:eastAsia="Arial" w:hAnsi="Arial"/>
          <w:sz w:val="18"/>
          <w:szCs w:val="18"/>
          <w:color w:val="auto"/>
        </w:rPr>
        <w:t>S</w:t>
      </w:r>
      <w:r>
        <w:rPr>
          <w:rFonts w:ascii="Arial" w:cs="Arial" w:eastAsia="Arial" w:hAnsi="Arial"/>
          <w:sz w:val="12"/>
          <w:szCs w:val="12"/>
          <w:color w:val="auto"/>
        </w:rPr>
        <w:t xml:space="preserve">TATE OF </w:t>
      </w:r>
      <w:r>
        <w:rPr>
          <w:rFonts w:ascii="Arial" w:cs="Arial" w:eastAsia="Arial" w:hAnsi="Arial"/>
          <w:sz w:val="18"/>
          <w:szCs w:val="18"/>
          <w:color w:val="auto"/>
        </w:rPr>
        <w:t>N</w:t>
      </w:r>
      <w:r>
        <w:rPr>
          <w:rFonts w:ascii="Arial" w:cs="Arial" w:eastAsia="Arial" w:hAnsi="Arial"/>
          <w:sz w:val="12"/>
          <w:szCs w:val="12"/>
          <w:color w:val="auto"/>
        </w:rPr>
        <w:t xml:space="preserve">EW </w:t>
      </w:r>
      <w:r>
        <w:rPr>
          <w:rFonts w:ascii="Arial" w:cs="Arial" w:eastAsia="Arial" w:hAnsi="Arial"/>
          <w:sz w:val="18"/>
          <w:szCs w:val="18"/>
          <w:color w:val="auto"/>
        </w:rPr>
        <w:t>Y</w:t>
      </w:r>
      <w:r>
        <w:rPr>
          <w:rFonts w:ascii="Arial" w:cs="Arial" w:eastAsia="Arial" w:hAnsi="Arial"/>
          <w:sz w:val="12"/>
          <w:szCs w:val="12"/>
          <w:color w:val="auto"/>
        </w:rPr>
        <w:t>ORK</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counterpart is not the original counterpart.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7560" w:type="dxa"/>
            <w:vAlign w:val="bottom"/>
          </w:tcPr>
          <w:p>
            <w:pPr>
              <w:ind w:left="36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2260" w:type="dxa"/>
            <w:vAlign w:val="bottom"/>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w:t>
            </w:r>
          </w:p>
        </w:tc>
        <w:tc>
          <w:tcPr>
            <w:tcW w:w="7560" w:type="dxa"/>
            <w:vAlign w:val="bottom"/>
          </w:tcPr>
          <w:p>
            <w:pPr>
              <w:ind w:left="3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r>
              <w:rPr>
                <w:rFonts w:ascii="Arial" w:cs="Arial" w:eastAsia="Arial" w:hAnsi="Arial"/>
                <w:sz w:val="18"/>
                <w:szCs w:val="18"/>
                <w:color w:val="auto"/>
              </w:rPr>
              <w:t>; E</w:t>
            </w:r>
            <w:r>
              <w:rPr>
                <w:rFonts w:ascii="Arial" w:cs="Arial" w:eastAsia="Arial" w:hAnsi="Arial"/>
                <w:sz w:val="12"/>
                <w:szCs w:val="12"/>
                <w:color w:val="auto"/>
              </w:rPr>
              <w:t>FFECTIVENESS</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6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560" w:type="dxa"/>
            <w:vAlign w:val="bottom"/>
          </w:tcPr>
          <w:p>
            <w:pPr>
              <w:ind w:left="720"/>
              <w:spacing w:after="0"/>
              <w:rPr>
                <w:sz w:val="20"/>
                <w:szCs w:val="20"/>
                <w:color w:val="auto"/>
              </w:rPr>
            </w:pPr>
            <w:r>
              <w:rPr>
                <w:rFonts w:ascii="Arial" w:cs="Arial" w:eastAsia="Arial" w:hAnsi="Arial"/>
                <w:sz w:val="18"/>
                <w:szCs w:val="18"/>
                <w:color w:val="auto"/>
              </w:rPr>
              <w:t>Definitions; Interpretation</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II</w:t>
            </w:r>
          </w:p>
        </w:tc>
        <w:tc>
          <w:tcPr>
            <w:tcW w:w="7560" w:type="dxa"/>
            <w:vAlign w:val="bottom"/>
          </w:tcPr>
          <w:p>
            <w:pPr>
              <w:ind w:left="3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EASE OF</w:t>
            </w:r>
            <w:r>
              <w:rPr>
                <w:rFonts w:ascii="Arial" w:cs="Arial" w:eastAsia="Arial" w:hAnsi="Arial"/>
                <w:sz w:val="18"/>
                <w:szCs w:val="18"/>
                <w:color w:val="auto"/>
              </w:rPr>
              <w:t xml:space="preserve"> L</w:t>
            </w:r>
            <w:r>
              <w:rPr>
                <w:rFonts w:ascii="Arial" w:cs="Arial" w:eastAsia="Arial" w:hAnsi="Arial"/>
                <w:sz w:val="12"/>
                <w:szCs w:val="12"/>
                <w:color w:val="auto"/>
              </w:rPr>
              <w:t>EASED</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T</w:t>
            </w:r>
            <w:r>
              <w:rPr>
                <w:rFonts w:ascii="Arial" w:cs="Arial" w:eastAsia="Arial" w:hAnsi="Arial"/>
                <w:sz w:val="12"/>
                <w:szCs w:val="12"/>
                <w:color w:val="auto"/>
              </w:rPr>
              <w:t>ERM</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6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560" w:type="dxa"/>
            <w:vAlign w:val="bottom"/>
          </w:tcPr>
          <w:p>
            <w:pPr>
              <w:ind w:left="720"/>
              <w:spacing w:after="0"/>
              <w:rPr>
                <w:sz w:val="20"/>
                <w:szCs w:val="20"/>
                <w:color w:val="auto"/>
              </w:rPr>
            </w:pPr>
            <w:r>
              <w:rPr>
                <w:rFonts w:ascii="Arial" w:cs="Arial" w:eastAsia="Arial" w:hAnsi="Arial"/>
                <w:sz w:val="18"/>
                <w:szCs w:val="18"/>
                <w:color w:val="auto"/>
              </w:rPr>
              <w:t>Acceptance and Lease of the Leased Property</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560" w:type="dxa"/>
            <w:vAlign w:val="bottom"/>
          </w:tcPr>
          <w:p>
            <w:pPr>
              <w:ind w:left="720"/>
              <w:spacing w:after="0"/>
              <w:rPr>
                <w:sz w:val="20"/>
                <w:szCs w:val="20"/>
                <w:color w:val="auto"/>
              </w:rPr>
            </w:pPr>
            <w:r>
              <w:rPr>
                <w:rFonts w:ascii="Arial" w:cs="Arial" w:eastAsia="Arial" w:hAnsi="Arial"/>
                <w:sz w:val="18"/>
                <w:szCs w:val="18"/>
                <w:color w:val="auto"/>
              </w:rPr>
              <w:t>Acceptance Procedure</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560" w:type="dxa"/>
            <w:vAlign w:val="bottom"/>
          </w:tcPr>
          <w:p>
            <w:pPr>
              <w:ind w:left="720"/>
              <w:spacing w:after="0"/>
              <w:rPr>
                <w:sz w:val="20"/>
                <w:szCs w:val="20"/>
                <w:color w:val="auto"/>
              </w:rPr>
            </w:pPr>
            <w:r>
              <w:rPr>
                <w:rFonts w:ascii="Arial" w:cs="Arial" w:eastAsia="Arial" w:hAnsi="Arial"/>
                <w:sz w:val="18"/>
                <w:szCs w:val="18"/>
                <w:color w:val="auto"/>
              </w:rPr>
              <w:t>Term</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7560" w:type="dxa"/>
            <w:vAlign w:val="bottom"/>
          </w:tcPr>
          <w:p>
            <w:pPr>
              <w:ind w:left="720"/>
              <w:spacing w:after="0"/>
              <w:rPr>
                <w:sz w:val="20"/>
                <w:szCs w:val="20"/>
                <w:color w:val="auto"/>
              </w:rPr>
            </w:pPr>
            <w:r>
              <w:rPr>
                <w:rFonts w:ascii="Arial" w:cs="Arial" w:eastAsia="Arial" w:hAnsi="Arial"/>
                <w:sz w:val="18"/>
                <w:szCs w:val="18"/>
                <w:color w:val="auto"/>
              </w:rPr>
              <w:t>Title</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III</w:t>
            </w:r>
          </w:p>
        </w:tc>
        <w:tc>
          <w:tcPr>
            <w:tcW w:w="7560" w:type="dxa"/>
            <w:vAlign w:val="bottom"/>
          </w:tcPr>
          <w:p>
            <w:pPr>
              <w:ind w:left="3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 OF</w:t>
            </w:r>
            <w:r>
              <w:rPr>
                <w:rFonts w:ascii="Arial" w:cs="Arial" w:eastAsia="Arial" w:hAnsi="Arial"/>
                <w:sz w:val="18"/>
                <w:szCs w:val="18"/>
                <w:color w:val="auto"/>
              </w:rPr>
              <w:t xml:space="preserve"> R</w:t>
            </w:r>
            <w:r>
              <w:rPr>
                <w:rFonts w:ascii="Arial" w:cs="Arial" w:eastAsia="Arial" w:hAnsi="Arial"/>
                <w:sz w:val="12"/>
                <w:szCs w:val="12"/>
                <w:color w:val="auto"/>
              </w:rPr>
              <w:t>ENT</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6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560" w:type="dxa"/>
            <w:vAlign w:val="bottom"/>
          </w:tcPr>
          <w:p>
            <w:pPr>
              <w:ind w:left="720"/>
              <w:spacing w:after="0"/>
              <w:rPr>
                <w:sz w:val="20"/>
                <w:szCs w:val="20"/>
                <w:color w:val="auto"/>
              </w:rPr>
            </w:pPr>
            <w:r>
              <w:rPr>
                <w:rFonts w:ascii="Arial" w:cs="Arial" w:eastAsia="Arial" w:hAnsi="Arial"/>
                <w:sz w:val="18"/>
                <w:szCs w:val="18"/>
                <w:color w:val="auto"/>
              </w:rPr>
              <w:t>Rent</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560" w:type="dxa"/>
            <w:vAlign w:val="bottom"/>
          </w:tcPr>
          <w:p>
            <w:pPr>
              <w:ind w:left="720"/>
              <w:spacing w:after="0"/>
              <w:rPr>
                <w:sz w:val="20"/>
                <w:szCs w:val="20"/>
                <w:color w:val="auto"/>
              </w:rPr>
            </w:pPr>
            <w:r>
              <w:rPr>
                <w:rFonts w:ascii="Arial" w:cs="Arial" w:eastAsia="Arial" w:hAnsi="Arial"/>
                <w:sz w:val="18"/>
                <w:szCs w:val="18"/>
                <w:color w:val="auto"/>
              </w:rPr>
              <w:t>Payment of Basic Rent</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7560" w:type="dxa"/>
            <w:vAlign w:val="bottom"/>
          </w:tcPr>
          <w:p>
            <w:pPr>
              <w:ind w:left="720"/>
              <w:spacing w:after="0"/>
              <w:rPr>
                <w:sz w:val="20"/>
                <w:szCs w:val="20"/>
                <w:color w:val="auto"/>
              </w:rPr>
            </w:pPr>
            <w:r>
              <w:rPr>
                <w:rFonts w:ascii="Arial" w:cs="Arial" w:eastAsia="Arial" w:hAnsi="Arial"/>
                <w:sz w:val="18"/>
                <w:szCs w:val="18"/>
                <w:color w:val="auto"/>
              </w:rPr>
              <w:t>Supplemental Rent</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7560" w:type="dxa"/>
            <w:vAlign w:val="bottom"/>
          </w:tcPr>
          <w:p>
            <w:pPr>
              <w:ind w:left="720"/>
              <w:spacing w:after="0"/>
              <w:rPr>
                <w:sz w:val="20"/>
                <w:szCs w:val="20"/>
                <w:color w:val="auto"/>
              </w:rPr>
            </w:pPr>
            <w:r>
              <w:rPr>
                <w:rFonts w:ascii="Arial" w:cs="Arial" w:eastAsia="Arial" w:hAnsi="Arial"/>
                <w:sz w:val="18"/>
                <w:szCs w:val="18"/>
                <w:color w:val="auto"/>
              </w:rPr>
              <w:t>Method of Payment</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IV</w:t>
            </w:r>
          </w:p>
        </w:tc>
        <w:tc>
          <w:tcPr>
            <w:tcW w:w="7560" w:type="dxa"/>
            <w:vAlign w:val="bottom"/>
          </w:tcPr>
          <w:p>
            <w:pPr>
              <w:ind w:left="3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ON</w:t>
            </w:r>
            <w:r>
              <w:rPr>
                <w:rFonts w:ascii="Arial" w:cs="Arial" w:eastAsia="Arial" w:hAnsi="Arial"/>
                <w:sz w:val="18"/>
                <w:szCs w:val="18"/>
                <w:color w:val="auto"/>
              </w:rPr>
              <w:t>-I</w:t>
            </w:r>
            <w:r>
              <w:rPr>
                <w:rFonts w:ascii="Arial" w:cs="Arial" w:eastAsia="Arial" w:hAnsi="Arial"/>
                <w:sz w:val="12"/>
                <w:szCs w:val="12"/>
                <w:color w:val="auto"/>
              </w:rPr>
              <w:t>NTERFERENCE</w:t>
            </w:r>
            <w:r>
              <w:rPr>
                <w:rFonts w:ascii="Arial" w:cs="Arial" w:eastAsia="Arial" w:hAnsi="Arial"/>
                <w:sz w:val="18"/>
                <w:szCs w:val="18"/>
                <w:color w:val="auto"/>
              </w:rPr>
              <w:t>; R</w:t>
            </w:r>
            <w:r>
              <w:rPr>
                <w:rFonts w:ascii="Arial" w:cs="Arial" w:eastAsia="Arial" w:hAnsi="Arial"/>
                <w:sz w:val="12"/>
                <w:szCs w:val="12"/>
                <w:color w:val="auto"/>
              </w:rPr>
              <w:t>IGHT</w:t>
            </w:r>
            <w:r>
              <w:rPr>
                <w:rFonts w:ascii="Arial" w:cs="Arial" w:eastAsia="Arial" w:hAnsi="Arial"/>
                <w:sz w:val="18"/>
                <w:szCs w:val="18"/>
                <w:color w:val="auto"/>
              </w:rPr>
              <w:t xml:space="preserve"> T</w:t>
            </w:r>
            <w:r>
              <w:rPr>
                <w:rFonts w:ascii="Arial" w:cs="Arial" w:eastAsia="Arial" w:hAnsi="Arial"/>
                <w:sz w:val="12"/>
                <w:szCs w:val="12"/>
                <w:color w:val="auto"/>
              </w:rPr>
              <w:t>O</w:t>
            </w:r>
            <w:r>
              <w:rPr>
                <w:rFonts w:ascii="Arial" w:cs="Arial" w:eastAsia="Arial" w:hAnsi="Arial"/>
                <w:sz w:val="18"/>
                <w:szCs w:val="18"/>
                <w:color w:val="auto"/>
              </w:rPr>
              <w:t xml:space="preserve"> I</w:t>
            </w:r>
            <w:r>
              <w:rPr>
                <w:rFonts w:ascii="Arial" w:cs="Arial" w:eastAsia="Arial" w:hAnsi="Arial"/>
                <w:sz w:val="12"/>
                <w:szCs w:val="12"/>
                <w:color w:val="auto"/>
              </w:rPr>
              <w:t>NSPECT</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16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560" w:type="dxa"/>
            <w:vAlign w:val="bottom"/>
          </w:tcPr>
          <w:p>
            <w:pPr>
              <w:ind w:left="720"/>
              <w:spacing w:after="0"/>
              <w:rPr>
                <w:sz w:val="20"/>
                <w:szCs w:val="20"/>
                <w:color w:val="auto"/>
              </w:rPr>
            </w:pPr>
            <w:r>
              <w:rPr>
                <w:rFonts w:ascii="Arial" w:cs="Arial" w:eastAsia="Arial" w:hAnsi="Arial"/>
                <w:sz w:val="18"/>
                <w:szCs w:val="18"/>
                <w:color w:val="auto"/>
              </w:rPr>
              <w:t>Non-Interference</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560" w:type="dxa"/>
            <w:vAlign w:val="bottom"/>
          </w:tcPr>
          <w:p>
            <w:pPr>
              <w:ind w:left="720"/>
              <w:spacing w:after="0"/>
              <w:rPr>
                <w:sz w:val="20"/>
                <w:szCs w:val="20"/>
                <w:color w:val="auto"/>
              </w:rPr>
            </w:pPr>
            <w:r>
              <w:rPr>
                <w:rFonts w:ascii="Arial" w:cs="Arial" w:eastAsia="Arial" w:hAnsi="Arial"/>
                <w:sz w:val="18"/>
                <w:szCs w:val="18"/>
                <w:color w:val="auto"/>
              </w:rPr>
              <w:t>Inspection and Reports</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w:t>
            </w:r>
          </w:p>
        </w:tc>
        <w:tc>
          <w:tcPr>
            <w:tcW w:w="7560" w:type="dxa"/>
            <w:vAlign w:val="bottom"/>
          </w:tcPr>
          <w:p>
            <w:pPr>
              <w:ind w:left="3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ET</w:t>
            </w:r>
            <w:r>
              <w:rPr>
                <w:rFonts w:ascii="Arial" w:cs="Arial" w:eastAsia="Arial" w:hAnsi="Arial"/>
                <w:sz w:val="18"/>
                <w:szCs w:val="18"/>
                <w:color w:val="auto"/>
              </w:rPr>
              <w:t xml:space="preserve"> L</w:t>
            </w:r>
            <w:r>
              <w:rPr>
                <w:rFonts w:ascii="Arial" w:cs="Arial" w:eastAsia="Arial" w:hAnsi="Arial"/>
                <w:sz w:val="12"/>
                <w:szCs w:val="12"/>
                <w:color w:val="auto"/>
              </w:rPr>
              <w:t>EASE</w:t>
            </w:r>
            <w:r>
              <w:rPr>
                <w:rFonts w:ascii="Arial" w:cs="Arial" w:eastAsia="Arial" w:hAnsi="Arial"/>
                <w:sz w:val="18"/>
                <w:szCs w:val="18"/>
                <w:color w:val="auto"/>
              </w:rPr>
              <w:t>, E</w:t>
            </w:r>
            <w:r>
              <w:rPr>
                <w:rFonts w:ascii="Arial" w:cs="Arial" w:eastAsia="Arial" w:hAnsi="Arial"/>
                <w:sz w:val="12"/>
                <w:szCs w:val="12"/>
                <w:color w:val="auto"/>
              </w:rPr>
              <w:t>TC</w:t>
            </w: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16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7560" w:type="dxa"/>
            <w:vAlign w:val="bottom"/>
          </w:tcPr>
          <w:p>
            <w:pPr>
              <w:ind w:left="720"/>
              <w:spacing w:after="0"/>
              <w:rPr>
                <w:sz w:val="20"/>
                <w:szCs w:val="20"/>
                <w:color w:val="auto"/>
              </w:rPr>
            </w:pPr>
            <w:r>
              <w:rPr>
                <w:rFonts w:ascii="Arial" w:cs="Arial" w:eastAsia="Arial" w:hAnsi="Arial"/>
                <w:sz w:val="18"/>
                <w:szCs w:val="18"/>
                <w:color w:val="auto"/>
              </w:rPr>
              <w:t>Net Lease</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7560" w:type="dxa"/>
            <w:vAlign w:val="bottom"/>
          </w:tcPr>
          <w:p>
            <w:pPr>
              <w:ind w:left="720"/>
              <w:spacing w:after="0"/>
              <w:rPr>
                <w:sz w:val="20"/>
                <w:szCs w:val="20"/>
                <w:color w:val="auto"/>
              </w:rPr>
            </w:pPr>
            <w:r>
              <w:rPr>
                <w:rFonts w:ascii="Arial" w:cs="Arial" w:eastAsia="Arial" w:hAnsi="Arial"/>
                <w:sz w:val="18"/>
                <w:szCs w:val="18"/>
                <w:color w:val="auto"/>
              </w:rPr>
              <w:t>No Termination or Abatement</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w:t>
            </w:r>
          </w:p>
        </w:tc>
        <w:tc>
          <w:tcPr>
            <w:tcW w:w="7560" w:type="dxa"/>
            <w:vAlign w:val="bottom"/>
          </w:tcPr>
          <w:p>
            <w:pPr>
              <w:ind w:left="3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SSIGNMENTS</w:t>
            </w:r>
            <w:r>
              <w:rPr>
                <w:rFonts w:ascii="Arial" w:cs="Arial" w:eastAsia="Arial" w:hAnsi="Arial"/>
                <w:sz w:val="18"/>
                <w:szCs w:val="18"/>
                <w:color w:val="auto"/>
              </w:rPr>
              <w:t>; S</w:t>
            </w:r>
            <w:r>
              <w:rPr>
                <w:rFonts w:ascii="Arial" w:cs="Arial" w:eastAsia="Arial" w:hAnsi="Arial"/>
                <w:sz w:val="12"/>
                <w:szCs w:val="12"/>
                <w:color w:val="auto"/>
              </w:rPr>
              <w:t>UBLEASES AND</w:t>
            </w:r>
            <w:r>
              <w:rPr>
                <w:rFonts w:ascii="Arial" w:cs="Arial" w:eastAsia="Arial" w:hAnsi="Arial"/>
                <w:sz w:val="18"/>
                <w:szCs w:val="18"/>
                <w:color w:val="auto"/>
              </w:rPr>
              <w:t xml:space="preserve"> D</w:t>
            </w:r>
            <w:r>
              <w:rPr>
                <w:rFonts w:ascii="Arial" w:cs="Arial" w:eastAsia="Arial" w:hAnsi="Arial"/>
                <w:sz w:val="12"/>
                <w:szCs w:val="12"/>
                <w:color w:val="auto"/>
              </w:rPr>
              <w:t>ELEGATIONS</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VII</w:t>
            </w:r>
          </w:p>
        </w:tc>
        <w:tc>
          <w:tcPr>
            <w:tcW w:w="7560" w:type="dxa"/>
            <w:vAlign w:val="bottom"/>
          </w:tcPr>
          <w:p>
            <w:pPr>
              <w:ind w:left="3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ESSEE</w:t>
            </w:r>
            <w:r>
              <w:rPr>
                <w:rFonts w:ascii="Arial" w:cs="Arial" w:eastAsia="Arial" w:hAnsi="Arial"/>
                <w:sz w:val="18"/>
                <w:szCs w:val="18"/>
                <w:color w:val="auto"/>
              </w:rPr>
              <w:t xml:space="preserve"> A</w:t>
            </w:r>
            <w:r>
              <w:rPr>
                <w:rFonts w:ascii="Arial" w:cs="Arial" w:eastAsia="Arial" w:hAnsi="Arial"/>
                <w:sz w:val="12"/>
                <w:szCs w:val="12"/>
                <w:color w:val="auto"/>
              </w:rPr>
              <w:t>CKNOWLEDGMENTS</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6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7560" w:type="dxa"/>
            <w:vAlign w:val="bottom"/>
          </w:tcPr>
          <w:p>
            <w:pPr>
              <w:ind w:left="720"/>
              <w:spacing w:after="0"/>
              <w:rPr>
                <w:sz w:val="20"/>
                <w:szCs w:val="20"/>
                <w:color w:val="auto"/>
              </w:rPr>
            </w:pPr>
            <w:r>
              <w:rPr>
                <w:rFonts w:ascii="Arial" w:cs="Arial" w:eastAsia="Arial" w:hAnsi="Arial"/>
                <w:sz w:val="18"/>
                <w:szCs w:val="18"/>
                <w:color w:val="auto"/>
              </w:rPr>
              <w:t>Condition of the Leased Property</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7560" w:type="dxa"/>
            <w:vAlign w:val="bottom"/>
          </w:tcPr>
          <w:p>
            <w:pPr>
              <w:ind w:left="720"/>
              <w:spacing w:after="0"/>
              <w:rPr>
                <w:sz w:val="20"/>
                <w:szCs w:val="20"/>
                <w:color w:val="auto"/>
              </w:rPr>
            </w:pPr>
            <w:r>
              <w:rPr>
                <w:rFonts w:ascii="Arial" w:cs="Arial" w:eastAsia="Arial" w:hAnsi="Arial"/>
                <w:sz w:val="18"/>
                <w:szCs w:val="18"/>
                <w:color w:val="auto"/>
              </w:rPr>
              <w:t>Risk of Loss</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7560" w:type="dxa"/>
            <w:vAlign w:val="bottom"/>
          </w:tcPr>
          <w:p>
            <w:pPr>
              <w:ind w:left="720"/>
              <w:spacing w:after="0"/>
              <w:rPr>
                <w:sz w:val="20"/>
                <w:szCs w:val="20"/>
                <w:color w:val="auto"/>
              </w:rPr>
            </w:pPr>
            <w:r>
              <w:rPr>
                <w:rFonts w:ascii="Arial" w:cs="Arial" w:eastAsia="Arial" w:hAnsi="Arial"/>
                <w:sz w:val="18"/>
                <w:szCs w:val="18"/>
                <w:color w:val="auto"/>
              </w:rPr>
              <w:t>Certain Duties and Responsibilities of Lessor</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VIII</w:t>
            </w:r>
          </w:p>
        </w:tc>
        <w:tc>
          <w:tcPr>
            <w:tcW w:w="7560" w:type="dxa"/>
            <w:vAlign w:val="bottom"/>
          </w:tcPr>
          <w:p>
            <w:pPr>
              <w:ind w:left="3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OSSESSION AND</w:t>
            </w:r>
            <w:r>
              <w:rPr>
                <w:rFonts w:ascii="Arial" w:cs="Arial" w:eastAsia="Arial" w:hAnsi="Arial"/>
                <w:sz w:val="18"/>
                <w:szCs w:val="18"/>
                <w:color w:val="auto"/>
              </w:rPr>
              <w:t xml:space="preserve"> U</w:t>
            </w:r>
            <w:r>
              <w:rPr>
                <w:rFonts w:ascii="Arial" w:cs="Arial" w:eastAsia="Arial" w:hAnsi="Arial"/>
                <w:sz w:val="12"/>
                <w:szCs w:val="12"/>
                <w:color w:val="auto"/>
              </w:rPr>
              <w:t>SE OF</w:t>
            </w:r>
            <w:r>
              <w:rPr>
                <w:rFonts w:ascii="Arial" w:cs="Arial" w:eastAsia="Arial" w:hAnsi="Arial"/>
                <w:sz w:val="18"/>
                <w:szCs w:val="18"/>
                <w:color w:val="auto"/>
              </w:rPr>
              <w:t xml:space="preserve"> T</w:t>
            </w:r>
            <w:r>
              <w:rPr>
                <w:rFonts w:ascii="Arial" w:cs="Arial" w:eastAsia="Arial" w:hAnsi="Arial"/>
                <w:sz w:val="12"/>
                <w:szCs w:val="12"/>
                <w:color w:val="auto"/>
              </w:rPr>
              <w:t>HE</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E</w:t>
            </w:r>
            <w:r>
              <w:rPr>
                <w:rFonts w:ascii="Arial" w:cs="Arial" w:eastAsia="Arial" w:hAnsi="Arial"/>
                <w:sz w:val="12"/>
                <w:szCs w:val="12"/>
                <w:color w:val="auto"/>
              </w:rPr>
              <w:t>TC</w:t>
            </w: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160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7560" w:type="dxa"/>
            <w:vAlign w:val="bottom"/>
          </w:tcPr>
          <w:p>
            <w:pPr>
              <w:ind w:left="720"/>
              <w:spacing w:after="0"/>
              <w:rPr>
                <w:sz w:val="20"/>
                <w:szCs w:val="20"/>
                <w:color w:val="auto"/>
              </w:rPr>
            </w:pPr>
            <w:r>
              <w:rPr>
                <w:rFonts w:ascii="Arial" w:cs="Arial" w:eastAsia="Arial" w:hAnsi="Arial"/>
                <w:sz w:val="18"/>
                <w:szCs w:val="18"/>
                <w:color w:val="auto"/>
              </w:rPr>
              <w:t>Possession and Use of the Leased Property</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7560" w:type="dxa"/>
            <w:vAlign w:val="bottom"/>
          </w:tcPr>
          <w:p>
            <w:pPr>
              <w:ind w:left="720"/>
              <w:spacing w:after="0"/>
              <w:rPr>
                <w:sz w:val="20"/>
                <w:szCs w:val="20"/>
                <w:color w:val="auto"/>
              </w:rPr>
            </w:pPr>
            <w:r>
              <w:rPr>
                <w:rFonts w:ascii="Arial" w:cs="Arial" w:eastAsia="Arial" w:hAnsi="Arial"/>
                <w:sz w:val="18"/>
                <w:szCs w:val="18"/>
                <w:color w:val="auto"/>
              </w:rPr>
              <w:t>Compliance with Requirements of Law and Insurance Requirements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7560" w:type="dxa"/>
            <w:vAlign w:val="bottom"/>
          </w:tcPr>
          <w:p>
            <w:pPr>
              <w:ind w:left="720"/>
              <w:spacing w:after="0"/>
              <w:rPr>
                <w:sz w:val="20"/>
                <w:szCs w:val="20"/>
                <w:color w:val="auto"/>
              </w:rPr>
            </w:pPr>
            <w:r>
              <w:rPr>
                <w:rFonts w:ascii="Arial" w:cs="Arial" w:eastAsia="Arial" w:hAnsi="Arial"/>
                <w:sz w:val="18"/>
                <w:szCs w:val="18"/>
                <w:color w:val="auto"/>
              </w:rPr>
              <w:t>Tax Abatement Documents</w:t>
            </w:r>
          </w:p>
        </w:tc>
        <w:tc>
          <w:tcPr>
            <w:tcW w:w="2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7560" w:type="dxa"/>
            <w:vAlign w:val="bottom"/>
          </w:tcPr>
          <w:p>
            <w:pPr>
              <w:ind w:left="720"/>
              <w:spacing w:after="0"/>
              <w:rPr>
                <w:sz w:val="20"/>
                <w:szCs w:val="20"/>
                <w:color w:val="auto"/>
              </w:rPr>
            </w:pPr>
            <w:r>
              <w:rPr>
                <w:rFonts w:ascii="Arial" w:cs="Arial" w:eastAsia="Arial" w:hAnsi="Arial"/>
                <w:sz w:val="18"/>
                <w:szCs w:val="18"/>
                <w:color w:val="auto"/>
              </w:rPr>
              <w:t>Power of Attorney</w:t>
            </w:r>
          </w:p>
        </w:tc>
        <w:tc>
          <w:tcPr>
            <w:tcW w:w="2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IX</w:t>
            </w:r>
          </w:p>
        </w:tc>
        <w:tc>
          <w:tcPr>
            <w:tcW w:w="7560" w:type="dxa"/>
            <w:vAlign w:val="bottom"/>
          </w:tcPr>
          <w:p>
            <w:pPr>
              <w:ind w:left="3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AINTENANCE AND</w:t>
            </w:r>
            <w:r>
              <w:rPr>
                <w:rFonts w:ascii="Arial" w:cs="Arial" w:eastAsia="Arial" w:hAnsi="Arial"/>
                <w:sz w:val="18"/>
                <w:szCs w:val="18"/>
                <w:color w:val="auto"/>
              </w:rPr>
              <w:t xml:space="preserve"> R</w:t>
            </w:r>
            <w:r>
              <w:rPr>
                <w:rFonts w:ascii="Arial" w:cs="Arial" w:eastAsia="Arial" w:hAnsi="Arial"/>
                <w:sz w:val="12"/>
                <w:szCs w:val="12"/>
                <w:color w:val="auto"/>
              </w:rPr>
              <w:t>EPAIR</w:t>
            </w:r>
            <w:r>
              <w:rPr>
                <w:rFonts w:ascii="Arial" w:cs="Arial" w:eastAsia="Arial" w:hAnsi="Arial"/>
                <w:sz w:val="18"/>
                <w:szCs w:val="18"/>
                <w:color w:val="auto"/>
              </w:rPr>
              <w:t>; R</w:t>
            </w:r>
            <w:r>
              <w:rPr>
                <w:rFonts w:ascii="Arial" w:cs="Arial" w:eastAsia="Arial" w:hAnsi="Arial"/>
                <w:sz w:val="12"/>
                <w:szCs w:val="12"/>
                <w:color w:val="auto"/>
              </w:rPr>
              <w:t>EPORTS</w:t>
            </w:r>
          </w:p>
        </w:tc>
        <w:tc>
          <w:tcPr>
            <w:tcW w:w="2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1600" w:type="dxa"/>
            <w:vAlign w:val="bottom"/>
          </w:tcPr>
          <w:p>
            <w:pPr>
              <w:spacing w:after="0"/>
              <w:rPr>
                <w:sz w:val="24"/>
                <w:szCs w:val="24"/>
                <w:color w:val="auto"/>
              </w:rPr>
            </w:pPr>
          </w:p>
        </w:tc>
        <w:tc>
          <w:tcPr>
            <w:tcW w:w="7560" w:type="dxa"/>
            <w:vAlign w:val="bottom"/>
          </w:tcPr>
          <w:p>
            <w:pPr>
              <w:ind w:left="4080"/>
              <w:spacing w:after="0"/>
              <w:rPr>
                <w:sz w:val="20"/>
                <w:szCs w:val="20"/>
                <w:color w:val="auto"/>
              </w:rPr>
            </w:pPr>
            <w:r>
              <w:rPr>
                <w:rFonts w:ascii="Arial" w:cs="Arial" w:eastAsia="Arial" w:hAnsi="Arial"/>
                <w:sz w:val="18"/>
                <w:szCs w:val="18"/>
                <w:color w:val="auto"/>
              </w:rPr>
              <w:t>i</w:t>
            </w:r>
          </w:p>
        </w:tc>
        <w:tc>
          <w:tcPr>
            <w:tcW w:w="2260" w:type="dxa"/>
            <w:vAlign w:val="bottom"/>
          </w:tcPr>
          <w:p>
            <w:pPr>
              <w:spacing w:after="0"/>
              <w:rPr>
                <w:sz w:val="24"/>
                <w:szCs w:val="24"/>
                <w:color w:val="auto"/>
              </w:rPr>
            </w:pPr>
          </w:p>
        </w:tc>
      </w:tr>
      <w:tr>
        <w:trPr>
          <w:trHeight w:val="250"/>
        </w:trPr>
        <w:tc>
          <w:tcPr>
            <w:tcW w:w="1600" w:type="dxa"/>
            <w:vAlign w:val="bottom"/>
            <w:tcBorders>
              <w:bottom w:val="single" w:sz="8" w:color="C0C0C0"/>
            </w:tcBorders>
          </w:tcPr>
          <w:p>
            <w:pPr>
              <w:spacing w:after="0"/>
              <w:rPr>
                <w:sz w:val="21"/>
                <w:szCs w:val="21"/>
                <w:color w:val="auto"/>
              </w:rPr>
            </w:pPr>
          </w:p>
        </w:tc>
        <w:tc>
          <w:tcPr>
            <w:tcW w:w="7560" w:type="dxa"/>
            <w:vAlign w:val="bottom"/>
            <w:tcBorders>
              <w:bottom w:val="single" w:sz="8" w:color="C0C0C0"/>
            </w:tcBorders>
          </w:tcPr>
          <w:p>
            <w:pPr>
              <w:spacing w:after="0"/>
              <w:rPr>
                <w:sz w:val="21"/>
                <w:szCs w:val="21"/>
                <w:color w:val="auto"/>
              </w:rPr>
            </w:pPr>
          </w:p>
        </w:tc>
        <w:tc>
          <w:tcPr>
            <w:tcW w:w="226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396" w:right="23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w w:val="86"/>
              </w:rPr>
              <w:t>9.1.</w:t>
            </w:r>
          </w:p>
        </w:tc>
        <w:tc>
          <w:tcPr>
            <w:tcW w:w="7380" w:type="dxa"/>
            <w:vAlign w:val="bottom"/>
          </w:tcPr>
          <w:p>
            <w:pPr>
              <w:ind w:left="680"/>
              <w:spacing w:after="0"/>
              <w:rPr>
                <w:sz w:val="20"/>
                <w:szCs w:val="20"/>
                <w:color w:val="auto"/>
              </w:rPr>
            </w:pPr>
            <w:r>
              <w:rPr>
                <w:rFonts w:ascii="Arial" w:cs="Arial" w:eastAsia="Arial" w:hAnsi="Arial"/>
                <w:sz w:val="18"/>
                <w:szCs w:val="18"/>
                <w:color w:val="auto"/>
              </w:rPr>
              <w:t>Maintenance and Repair</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9.2.</w:t>
            </w:r>
          </w:p>
        </w:tc>
        <w:tc>
          <w:tcPr>
            <w:tcW w:w="7380" w:type="dxa"/>
            <w:vAlign w:val="bottom"/>
          </w:tcPr>
          <w:p>
            <w:pPr>
              <w:ind w:left="680"/>
              <w:spacing w:after="0"/>
              <w:rPr>
                <w:sz w:val="20"/>
                <w:szCs w:val="20"/>
                <w:color w:val="auto"/>
              </w:rPr>
            </w:pPr>
            <w:r>
              <w:rPr>
                <w:rFonts w:ascii="Arial" w:cs="Arial" w:eastAsia="Arial" w:hAnsi="Arial"/>
                <w:sz w:val="18"/>
                <w:szCs w:val="18"/>
                <w:color w:val="auto"/>
              </w:rPr>
              <w:t>Maintenance and Repair Records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w:t>
            </w:r>
          </w:p>
        </w:tc>
        <w:tc>
          <w:tcPr>
            <w:tcW w:w="700" w:type="dxa"/>
            <w:vAlign w:val="bottom"/>
          </w:tcPr>
          <w:p>
            <w:pPr>
              <w:spacing w:after="0"/>
              <w:rPr>
                <w:sz w:val="24"/>
                <w:szCs w:val="24"/>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ODIFICATIONS</w:t>
            </w:r>
            <w:r>
              <w:rPr>
                <w:rFonts w:ascii="Arial" w:cs="Arial" w:eastAsia="Arial" w:hAnsi="Arial"/>
                <w:sz w:val="18"/>
                <w:szCs w:val="18"/>
                <w:color w:val="auto"/>
              </w:rPr>
              <w:t>, E</w:t>
            </w:r>
            <w:r>
              <w:rPr>
                <w:rFonts w:ascii="Arial" w:cs="Arial" w:eastAsia="Arial" w:hAnsi="Arial"/>
                <w:sz w:val="12"/>
                <w:szCs w:val="12"/>
                <w:color w:val="auto"/>
              </w:rPr>
              <w:t>TC</w:t>
            </w:r>
            <w:r>
              <w:rPr>
                <w:rFonts w:ascii="Arial" w:cs="Arial" w:eastAsia="Arial" w:hAnsi="Arial"/>
                <w:sz w:val="18"/>
                <w:szCs w:val="18"/>
                <w:color w:val="auto"/>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10.1.</w:t>
            </w:r>
          </w:p>
        </w:tc>
        <w:tc>
          <w:tcPr>
            <w:tcW w:w="7380" w:type="dxa"/>
            <w:vAlign w:val="bottom"/>
          </w:tcPr>
          <w:p>
            <w:pPr>
              <w:ind w:left="680"/>
              <w:spacing w:after="0"/>
              <w:rPr>
                <w:sz w:val="20"/>
                <w:szCs w:val="20"/>
                <w:color w:val="auto"/>
              </w:rPr>
            </w:pPr>
            <w:r>
              <w:rPr>
                <w:rFonts w:ascii="Arial" w:cs="Arial" w:eastAsia="Arial" w:hAnsi="Arial"/>
                <w:sz w:val="18"/>
                <w:szCs w:val="18"/>
                <w:color w:val="auto"/>
              </w:rPr>
              <w:t>Improvements and Modifications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10.2.</w:t>
            </w:r>
          </w:p>
        </w:tc>
        <w:tc>
          <w:tcPr>
            <w:tcW w:w="7380" w:type="dxa"/>
            <w:vAlign w:val="bottom"/>
          </w:tcPr>
          <w:p>
            <w:pPr>
              <w:ind w:left="680"/>
              <w:spacing w:after="0"/>
              <w:rPr>
                <w:sz w:val="20"/>
                <w:szCs w:val="20"/>
                <w:color w:val="auto"/>
              </w:rPr>
            </w:pPr>
            <w:r>
              <w:rPr>
                <w:rFonts w:ascii="Arial" w:cs="Arial" w:eastAsia="Arial" w:hAnsi="Arial"/>
                <w:sz w:val="18"/>
                <w:szCs w:val="18"/>
                <w:color w:val="auto"/>
              </w:rPr>
              <w:t>Title to Modifications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10.3.</w:t>
            </w:r>
          </w:p>
        </w:tc>
        <w:tc>
          <w:tcPr>
            <w:tcW w:w="7380" w:type="dxa"/>
            <w:vAlign w:val="bottom"/>
          </w:tcPr>
          <w:p>
            <w:pPr>
              <w:ind w:left="680"/>
              <w:spacing w:after="0"/>
              <w:rPr>
                <w:sz w:val="20"/>
                <w:szCs w:val="20"/>
                <w:color w:val="auto"/>
              </w:rPr>
            </w:pPr>
            <w:r>
              <w:rPr>
                <w:rFonts w:ascii="Arial" w:cs="Arial" w:eastAsia="Arial" w:hAnsi="Arial"/>
                <w:sz w:val="18"/>
                <w:szCs w:val="18"/>
                <w:color w:val="auto"/>
              </w:rPr>
              <w:t>Permitted Developments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w:t>
            </w:r>
          </w:p>
        </w:tc>
        <w:tc>
          <w:tcPr>
            <w:tcW w:w="700" w:type="dxa"/>
            <w:vAlign w:val="bottom"/>
          </w:tcPr>
          <w:p>
            <w:pPr>
              <w:spacing w:after="0"/>
              <w:rPr>
                <w:sz w:val="24"/>
                <w:szCs w:val="24"/>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 WITH</w:t>
            </w:r>
            <w:r>
              <w:rPr>
                <w:rFonts w:ascii="Arial" w:cs="Arial" w:eastAsia="Arial" w:hAnsi="Arial"/>
                <w:sz w:val="18"/>
                <w:szCs w:val="18"/>
                <w:color w:val="auto"/>
              </w:rPr>
              <w:t xml:space="preserve"> R</w:t>
            </w:r>
            <w:r>
              <w:rPr>
                <w:rFonts w:ascii="Arial" w:cs="Arial" w:eastAsia="Arial" w:hAnsi="Arial"/>
                <w:sz w:val="12"/>
                <w:szCs w:val="12"/>
                <w:color w:val="auto"/>
              </w:rPr>
              <w:t>ESPECT TO</w:t>
            </w:r>
            <w:r>
              <w:rPr>
                <w:rFonts w:ascii="Arial" w:cs="Arial" w:eastAsia="Arial" w:hAnsi="Arial"/>
                <w:sz w:val="18"/>
                <w:szCs w:val="18"/>
                <w:color w:val="auto"/>
              </w:rPr>
              <w:t xml:space="preserve"> L</w:t>
            </w:r>
            <w:r>
              <w:rPr>
                <w:rFonts w:ascii="Arial" w:cs="Arial" w:eastAsia="Arial" w:hAnsi="Arial"/>
                <w:sz w:val="12"/>
                <w:szCs w:val="12"/>
                <w:color w:val="auto"/>
              </w:rPr>
              <w:t>IENS AND</w:t>
            </w:r>
            <w:r>
              <w:rPr>
                <w:rFonts w:ascii="Arial" w:cs="Arial" w:eastAsia="Arial" w:hAnsi="Arial"/>
                <w:sz w:val="18"/>
                <w:szCs w:val="18"/>
                <w:color w:val="auto"/>
              </w:rPr>
              <w:t xml:space="preserve"> E</w:t>
            </w:r>
            <w:r>
              <w:rPr>
                <w:rFonts w:ascii="Arial" w:cs="Arial" w:eastAsia="Arial" w:hAnsi="Arial"/>
                <w:sz w:val="12"/>
                <w:szCs w:val="12"/>
                <w:color w:val="auto"/>
              </w:rPr>
              <w:t>ASEMENTS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11.1.</w:t>
            </w:r>
          </w:p>
        </w:tc>
        <w:tc>
          <w:tcPr>
            <w:tcW w:w="7380" w:type="dxa"/>
            <w:vAlign w:val="bottom"/>
          </w:tcPr>
          <w:p>
            <w:pPr>
              <w:ind w:left="680"/>
              <w:spacing w:after="0"/>
              <w:rPr>
                <w:sz w:val="20"/>
                <w:szCs w:val="20"/>
                <w:color w:val="auto"/>
              </w:rPr>
            </w:pPr>
            <w:r>
              <w:rPr>
                <w:rFonts w:ascii="Arial" w:cs="Arial" w:eastAsia="Arial" w:hAnsi="Arial"/>
                <w:sz w:val="18"/>
                <w:szCs w:val="18"/>
                <w:color w:val="auto"/>
              </w:rPr>
              <w:t>Covenants with Respect to Liens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11.2.</w:t>
            </w:r>
          </w:p>
        </w:tc>
        <w:tc>
          <w:tcPr>
            <w:tcW w:w="7380" w:type="dxa"/>
            <w:vAlign w:val="bottom"/>
          </w:tcPr>
          <w:p>
            <w:pPr>
              <w:ind w:left="680"/>
              <w:spacing w:after="0"/>
              <w:rPr>
                <w:sz w:val="20"/>
                <w:szCs w:val="20"/>
                <w:color w:val="auto"/>
              </w:rPr>
            </w:pPr>
            <w:r>
              <w:rPr>
                <w:rFonts w:ascii="Arial" w:cs="Arial" w:eastAsia="Arial" w:hAnsi="Arial"/>
                <w:sz w:val="18"/>
                <w:szCs w:val="18"/>
                <w:color w:val="auto"/>
              </w:rPr>
              <w:t>Lessee’s Grants and Releases of Easements; Lessor’s Waivers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XII</w:t>
            </w:r>
          </w:p>
        </w:tc>
        <w:tc>
          <w:tcPr>
            <w:tcW w:w="700" w:type="dxa"/>
            <w:vAlign w:val="bottom"/>
          </w:tcPr>
          <w:p>
            <w:pPr>
              <w:spacing w:after="0"/>
              <w:rPr>
                <w:sz w:val="24"/>
                <w:szCs w:val="24"/>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ERMITTED</w:t>
            </w:r>
            <w:r>
              <w:rPr>
                <w:rFonts w:ascii="Arial" w:cs="Arial" w:eastAsia="Arial" w:hAnsi="Arial"/>
                <w:sz w:val="18"/>
                <w:szCs w:val="18"/>
                <w:color w:val="auto"/>
              </w:rPr>
              <w:t xml:space="preserve"> C</w:t>
            </w:r>
            <w:r>
              <w:rPr>
                <w:rFonts w:ascii="Arial" w:cs="Arial" w:eastAsia="Arial" w:hAnsi="Arial"/>
                <w:sz w:val="12"/>
                <w:szCs w:val="12"/>
                <w:color w:val="auto"/>
              </w:rPr>
              <w:t>ONTESTS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12.1.</w:t>
            </w:r>
          </w:p>
        </w:tc>
        <w:tc>
          <w:tcPr>
            <w:tcW w:w="7380" w:type="dxa"/>
            <w:vAlign w:val="bottom"/>
          </w:tcPr>
          <w:p>
            <w:pPr>
              <w:ind w:left="680"/>
              <w:spacing w:after="0"/>
              <w:rPr>
                <w:sz w:val="20"/>
                <w:szCs w:val="20"/>
                <w:color w:val="auto"/>
              </w:rPr>
            </w:pPr>
            <w:r>
              <w:rPr>
                <w:rFonts w:ascii="Arial" w:cs="Arial" w:eastAsia="Arial" w:hAnsi="Arial"/>
                <w:sz w:val="18"/>
                <w:szCs w:val="18"/>
                <w:color w:val="auto"/>
              </w:rPr>
              <w:t>Permitted Contests in Respect of Applicable Laws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XIII</w:t>
            </w:r>
          </w:p>
        </w:tc>
        <w:tc>
          <w:tcPr>
            <w:tcW w:w="700" w:type="dxa"/>
            <w:vAlign w:val="bottom"/>
          </w:tcPr>
          <w:p>
            <w:pPr>
              <w:spacing w:after="0"/>
              <w:rPr>
                <w:sz w:val="24"/>
                <w:szCs w:val="24"/>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13.1.</w:t>
            </w:r>
          </w:p>
        </w:tc>
        <w:tc>
          <w:tcPr>
            <w:tcW w:w="7380" w:type="dxa"/>
            <w:vAlign w:val="bottom"/>
          </w:tcPr>
          <w:p>
            <w:pPr>
              <w:ind w:left="680"/>
              <w:spacing w:after="0"/>
              <w:rPr>
                <w:sz w:val="20"/>
                <w:szCs w:val="20"/>
                <w:color w:val="auto"/>
              </w:rPr>
            </w:pPr>
            <w:r>
              <w:rPr>
                <w:rFonts w:ascii="Arial" w:cs="Arial" w:eastAsia="Arial" w:hAnsi="Arial"/>
                <w:sz w:val="18"/>
                <w:szCs w:val="18"/>
                <w:color w:val="auto"/>
              </w:rPr>
              <w:t>Required Coverages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13.2.</w:t>
            </w:r>
          </w:p>
        </w:tc>
        <w:tc>
          <w:tcPr>
            <w:tcW w:w="7380" w:type="dxa"/>
            <w:vAlign w:val="bottom"/>
          </w:tcPr>
          <w:p>
            <w:pPr>
              <w:ind w:left="680"/>
              <w:spacing w:after="0"/>
              <w:rPr>
                <w:sz w:val="20"/>
                <w:szCs w:val="20"/>
                <w:color w:val="auto"/>
              </w:rPr>
            </w:pPr>
            <w:r>
              <w:rPr>
                <w:rFonts w:ascii="Arial" w:cs="Arial" w:eastAsia="Arial" w:hAnsi="Arial"/>
                <w:sz w:val="18"/>
                <w:szCs w:val="18"/>
                <w:color w:val="auto"/>
              </w:rPr>
              <w:t>Insurance Coverage</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13.3.</w:t>
            </w:r>
          </w:p>
        </w:tc>
        <w:tc>
          <w:tcPr>
            <w:tcW w:w="7380" w:type="dxa"/>
            <w:vAlign w:val="bottom"/>
          </w:tcPr>
          <w:p>
            <w:pPr>
              <w:ind w:left="680"/>
              <w:spacing w:after="0"/>
              <w:rPr>
                <w:sz w:val="20"/>
                <w:szCs w:val="20"/>
                <w:color w:val="auto"/>
              </w:rPr>
            </w:pPr>
            <w:r>
              <w:rPr>
                <w:rFonts w:ascii="Arial" w:cs="Arial" w:eastAsia="Arial" w:hAnsi="Arial"/>
                <w:sz w:val="18"/>
                <w:szCs w:val="18"/>
                <w:color w:val="auto"/>
              </w:rPr>
              <w:t>Delivery of Insurance Certificates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13.4.</w:t>
            </w:r>
          </w:p>
        </w:tc>
        <w:tc>
          <w:tcPr>
            <w:tcW w:w="7380" w:type="dxa"/>
            <w:vAlign w:val="bottom"/>
          </w:tcPr>
          <w:p>
            <w:pPr>
              <w:ind w:left="680"/>
              <w:spacing w:after="0"/>
              <w:rPr>
                <w:sz w:val="20"/>
                <w:szCs w:val="20"/>
                <w:color w:val="auto"/>
              </w:rPr>
            </w:pPr>
            <w:r>
              <w:rPr>
                <w:rFonts w:ascii="Arial" w:cs="Arial" w:eastAsia="Arial" w:hAnsi="Arial"/>
                <w:sz w:val="18"/>
                <w:szCs w:val="18"/>
                <w:color w:val="auto"/>
              </w:rPr>
              <w:t>Insurance by Lessor, Administrative Agent or any Participant</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XIV</w:t>
            </w:r>
          </w:p>
        </w:tc>
        <w:tc>
          <w:tcPr>
            <w:tcW w:w="700" w:type="dxa"/>
            <w:vAlign w:val="bottom"/>
          </w:tcPr>
          <w:p>
            <w:pPr>
              <w:spacing w:after="0"/>
              <w:rPr>
                <w:sz w:val="24"/>
                <w:szCs w:val="24"/>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ASUALTY AND</w:t>
            </w:r>
            <w:r>
              <w:rPr>
                <w:rFonts w:ascii="Arial" w:cs="Arial" w:eastAsia="Arial" w:hAnsi="Arial"/>
                <w:sz w:val="18"/>
                <w:szCs w:val="18"/>
                <w:color w:val="auto"/>
              </w:rPr>
              <w:t xml:space="preserve"> C</w:t>
            </w:r>
            <w:r>
              <w:rPr>
                <w:rFonts w:ascii="Arial" w:cs="Arial" w:eastAsia="Arial" w:hAnsi="Arial"/>
                <w:sz w:val="12"/>
                <w:szCs w:val="12"/>
                <w:color w:val="auto"/>
              </w:rPr>
              <w:t>ONDEMNATION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14.1.</w:t>
            </w:r>
          </w:p>
        </w:tc>
        <w:tc>
          <w:tcPr>
            <w:tcW w:w="7380" w:type="dxa"/>
            <w:vAlign w:val="bottom"/>
          </w:tcPr>
          <w:p>
            <w:pPr>
              <w:ind w:left="680"/>
              <w:spacing w:after="0"/>
              <w:rPr>
                <w:sz w:val="20"/>
                <w:szCs w:val="20"/>
                <w:color w:val="auto"/>
              </w:rPr>
            </w:pPr>
            <w:r>
              <w:rPr>
                <w:rFonts w:ascii="Arial" w:cs="Arial" w:eastAsia="Arial" w:hAnsi="Arial"/>
                <w:sz w:val="18"/>
                <w:szCs w:val="18"/>
                <w:color w:val="auto"/>
              </w:rPr>
              <w:t>Casualty and Condemnation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14.2.</w:t>
            </w:r>
          </w:p>
        </w:tc>
        <w:tc>
          <w:tcPr>
            <w:tcW w:w="7380" w:type="dxa"/>
            <w:vAlign w:val="bottom"/>
          </w:tcPr>
          <w:p>
            <w:pPr>
              <w:ind w:left="680"/>
              <w:spacing w:after="0"/>
              <w:rPr>
                <w:sz w:val="20"/>
                <w:szCs w:val="20"/>
                <w:color w:val="auto"/>
              </w:rPr>
            </w:pPr>
            <w:r>
              <w:rPr>
                <w:rFonts w:ascii="Arial" w:cs="Arial" w:eastAsia="Arial" w:hAnsi="Arial"/>
                <w:sz w:val="18"/>
                <w:szCs w:val="18"/>
                <w:color w:val="auto"/>
              </w:rPr>
              <w:t>Environmental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14.3.</w:t>
            </w:r>
          </w:p>
        </w:tc>
        <w:tc>
          <w:tcPr>
            <w:tcW w:w="7380" w:type="dxa"/>
            <w:vAlign w:val="bottom"/>
          </w:tcPr>
          <w:p>
            <w:pPr>
              <w:ind w:left="680"/>
              <w:spacing w:after="0"/>
              <w:rPr>
                <w:sz w:val="20"/>
                <w:szCs w:val="20"/>
                <w:color w:val="auto"/>
              </w:rPr>
            </w:pPr>
            <w:r>
              <w:rPr>
                <w:rFonts w:ascii="Arial" w:cs="Arial" w:eastAsia="Arial" w:hAnsi="Arial"/>
                <w:sz w:val="18"/>
                <w:szCs w:val="18"/>
                <w:color w:val="auto"/>
              </w:rPr>
              <w:t>Notice of Environmental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w:t>
            </w:r>
          </w:p>
        </w:tc>
        <w:tc>
          <w:tcPr>
            <w:tcW w:w="700" w:type="dxa"/>
            <w:vAlign w:val="bottom"/>
          </w:tcPr>
          <w:p>
            <w:pPr>
              <w:spacing w:after="0"/>
              <w:rPr>
                <w:sz w:val="24"/>
                <w:szCs w:val="24"/>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ERMINATION OF</w:t>
            </w:r>
            <w:r>
              <w:rPr>
                <w:rFonts w:ascii="Arial" w:cs="Arial" w:eastAsia="Arial" w:hAnsi="Arial"/>
                <w:sz w:val="18"/>
                <w:szCs w:val="18"/>
                <w:color w:val="auto"/>
              </w:rPr>
              <w:t xml:space="preserve"> L</w:t>
            </w:r>
            <w:r>
              <w:rPr>
                <w:rFonts w:ascii="Arial" w:cs="Arial" w:eastAsia="Arial" w:hAnsi="Arial"/>
                <w:sz w:val="12"/>
                <w:szCs w:val="12"/>
                <w:color w:val="auto"/>
              </w:rPr>
              <w:t>EASE</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15.1.</w:t>
            </w:r>
          </w:p>
        </w:tc>
        <w:tc>
          <w:tcPr>
            <w:tcW w:w="7380" w:type="dxa"/>
            <w:vAlign w:val="bottom"/>
          </w:tcPr>
          <w:p>
            <w:pPr>
              <w:ind w:left="680"/>
              <w:spacing w:after="0"/>
              <w:rPr>
                <w:sz w:val="20"/>
                <w:szCs w:val="20"/>
                <w:color w:val="auto"/>
              </w:rPr>
            </w:pPr>
            <w:r>
              <w:rPr>
                <w:rFonts w:ascii="Arial" w:cs="Arial" w:eastAsia="Arial" w:hAnsi="Arial"/>
                <w:sz w:val="18"/>
                <w:szCs w:val="18"/>
                <w:color w:val="auto"/>
              </w:rPr>
              <w:t>Termination upon Certain Events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15.2.</w:t>
            </w:r>
          </w:p>
        </w:tc>
        <w:tc>
          <w:tcPr>
            <w:tcW w:w="7380" w:type="dxa"/>
            <w:vAlign w:val="bottom"/>
          </w:tcPr>
          <w:p>
            <w:pPr>
              <w:ind w:left="680"/>
              <w:spacing w:after="0"/>
              <w:rPr>
                <w:sz w:val="20"/>
                <w:szCs w:val="20"/>
                <w:color w:val="auto"/>
              </w:rPr>
            </w:pPr>
            <w:r>
              <w:rPr>
                <w:rFonts w:ascii="Arial" w:cs="Arial" w:eastAsia="Arial" w:hAnsi="Arial"/>
                <w:sz w:val="18"/>
                <w:szCs w:val="18"/>
                <w:color w:val="auto"/>
              </w:rPr>
              <w:t>Termination Procedures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XVI</w:t>
            </w:r>
          </w:p>
        </w:tc>
        <w:tc>
          <w:tcPr>
            <w:tcW w:w="700" w:type="dxa"/>
            <w:vAlign w:val="bottom"/>
          </w:tcPr>
          <w:p>
            <w:pPr>
              <w:spacing w:after="0"/>
              <w:rPr>
                <w:sz w:val="24"/>
                <w:szCs w:val="24"/>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VENTS OF</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16.1.</w:t>
            </w:r>
          </w:p>
        </w:tc>
        <w:tc>
          <w:tcPr>
            <w:tcW w:w="7380" w:type="dxa"/>
            <w:vAlign w:val="bottom"/>
          </w:tcPr>
          <w:p>
            <w:pPr>
              <w:ind w:left="680"/>
              <w:spacing w:after="0"/>
              <w:rPr>
                <w:sz w:val="20"/>
                <w:szCs w:val="20"/>
                <w:color w:val="auto"/>
              </w:rPr>
            </w:pPr>
            <w:r>
              <w:rPr>
                <w:rFonts w:ascii="Arial" w:cs="Arial" w:eastAsia="Arial" w:hAnsi="Arial"/>
                <w:sz w:val="18"/>
                <w:szCs w:val="18"/>
                <w:color w:val="auto"/>
              </w:rPr>
              <w:t>Events of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16.2.</w:t>
            </w:r>
          </w:p>
        </w:tc>
        <w:tc>
          <w:tcPr>
            <w:tcW w:w="7380" w:type="dxa"/>
            <w:vAlign w:val="bottom"/>
          </w:tcPr>
          <w:p>
            <w:pPr>
              <w:ind w:left="680"/>
              <w:spacing w:after="0"/>
              <w:rPr>
                <w:sz w:val="20"/>
                <w:szCs w:val="20"/>
                <w:color w:val="auto"/>
              </w:rPr>
            </w:pPr>
            <w:r>
              <w:rPr>
                <w:rFonts w:ascii="Arial" w:cs="Arial" w:eastAsia="Arial" w:hAnsi="Arial"/>
                <w:sz w:val="18"/>
                <w:szCs w:val="18"/>
                <w:color w:val="auto"/>
              </w:rPr>
              <w:t>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16.3.</w:t>
            </w:r>
          </w:p>
        </w:tc>
        <w:tc>
          <w:tcPr>
            <w:tcW w:w="7380" w:type="dxa"/>
            <w:vAlign w:val="bottom"/>
          </w:tcPr>
          <w:p>
            <w:pPr>
              <w:ind w:left="680"/>
              <w:spacing w:after="0"/>
              <w:rPr>
                <w:sz w:val="20"/>
                <w:szCs w:val="20"/>
                <w:color w:val="auto"/>
              </w:rPr>
            </w:pPr>
            <w:r>
              <w:rPr>
                <w:rFonts w:ascii="Arial" w:cs="Arial" w:eastAsia="Arial" w:hAnsi="Arial"/>
                <w:sz w:val="18"/>
                <w:szCs w:val="18"/>
                <w:color w:val="auto"/>
              </w:rPr>
              <w:t>Waiver of Certain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6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XVII</w:t>
            </w:r>
          </w:p>
        </w:tc>
        <w:tc>
          <w:tcPr>
            <w:tcW w:w="7380" w:type="dxa"/>
            <w:vAlign w:val="bottom"/>
          </w:tcPr>
          <w:p>
            <w:pPr>
              <w:ind w:left="32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ESSOR</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R</w:t>
            </w:r>
            <w:r>
              <w:rPr>
                <w:rFonts w:ascii="Arial" w:cs="Arial" w:eastAsia="Arial" w:hAnsi="Arial"/>
                <w:sz w:val="12"/>
                <w:szCs w:val="12"/>
                <w:color w:val="auto"/>
              </w:rPr>
              <w:t>IGHT TO</w:t>
            </w:r>
            <w:r>
              <w:rPr>
                <w:rFonts w:ascii="Arial" w:cs="Arial" w:eastAsia="Arial" w:hAnsi="Arial"/>
                <w:sz w:val="18"/>
                <w:szCs w:val="18"/>
                <w:color w:val="auto"/>
              </w:rPr>
              <w:t xml:space="preserve"> C</w:t>
            </w:r>
            <w:r>
              <w:rPr>
                <w:rFonts w:ascii="Arial" w:cs="Arial" w:eastAsia="Arial" w:hAnsi="Arial"/>
                <w:sz w:val="12"/>
                <w:szCs w:val="12"/>
                <w:color w:val="auto"/>
              </w:rPr>
              <w:t>URE</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17.1.</w:t>
            </w:r>
          </w:p>
        </w:tc>
        <w:tc>
          <w:tcPr>
            <w:tcW w:w="7380" w:type="dxa"/>
            <w:vAlign w:val="bottom"/>
          </w:tcPr>
          <w:p>
            <w:pPr>
              <w:ind w:left="680"/>
              <w:spacing w:after="0"/>
              <w:rPr>
                <w:sz w:val="20"/>
                <w:szCs w:val="20"/>
                <w:color w:val="auto"/>
              </w:rPr>
            </w:pPr>
            <w:r>
              <w:rPr>
                <w:rFonts w:ascii="Arial" w:cs="Arial" w:eastAsia="Arial" w:hAnsi="Arial"/>
                <w:sz w:val="18"/>
                <w:szCs w:val="18"/>
                <w:color w:val="auto"/>
              </w:rPr>
              <w:t>The Lessor’s Right to Cure the Lessee’s Defaults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6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XVIII</w:t>
            </w:r>
          </w:p>
        </w:tc>
        <w:tc>
          <w:tcPr>
            <w:tcW w:w="7380" w:type="dxa"/>
            <w:vAlign w:val="bottom"/>
          </w:tcPr>
          <w:p>
            <w:pPr>
              <w:ind w:left="32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18.1.</w:t>
            </w:r>
          </w:p>
        </w:tc>
        <w:tc>
          <w:tcPr>
            <w:tcW w:w="7380" w:type="dxa"/>
            <w:vAlign w:val="bottom"/>
          </w:tcPr>
          <w:p>
            <w:pPr>
              <w:ind w:left="680"/>
              <w:spacing w:after="0"/>
              <w:rPr>
                <w:sz w:val="20"/>
                <w:szCs w:val="20"/>
                <w:color w:val="auto"/>
              </w:rPr>
            </w:pPr>
            <w:r>
              <w:rPr>
                <w:rFonts w:ascii="Arial" w:cs="Arial" w:eastAsia="Arial" w:hAnsi="Arial"/>
                <w:sz w:val="18"/>
                <w:szCs w:val="18"/>
                <w:color w:val="auto"/>
              </w:rPr>
              <w:t>Early and End of Term Purchase Options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05"/>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380" w:type="dxa"/>
            <w:vAlign w:val="bottom"/>
          </w:tcPr>
          <w:p>
            <w:pPr>
              <w:ind w:left="4020"/>
              <w:spacing w:after="0"/>
              <w:rPr>
                <w:sz w:val="20"/>
                <w:szCs w:val="20"/>
                <w:color w:val="auto"/>
              </w:rPr>
            </w:pPr>
            <w:r>
              <w:rPr>
                <w:rFonts w:ascii="Arial" w:cs="Arial" w:eastAsia="Arial" w:hAnsi="Arial"/>
                <w:sz w:val="18"/>
                <w:szCs w:val="18"/>
                <w:color w:val="auto"/>
              </w:rPr>
              <w:t>ii</w:t>
            </w:r>
          </w:p>
        </w:tc>
        <w:tc>
          <w:tcPr>
            <w:tcW w:w="2400" w:type="dxa"/>
            <w:vAlign w:val="bottom"/>
          </w:tcPr>
          <w:p>
            <w:pPr>
              <w:spacing w:after="0"/>
              <w:rPr>
                <w:sz w:val="24"/>
                <w:szCs w:val="24"/>
                <w:color w:val="auto"/>
              </w:rPr>
            </w:pPr>
          </w:p>
        </w:tc>
      </w:tr>
      <w:tr>
        <w:trPr>
          <w:trHeight w:val="250"/>
        </w:trPr>
        <w:tc>
          <w:tcPr>
            <w:tcW w:w="94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7380" w:type="dxa"/>
            <w:vAlign w:val="bottom"/>
            <w:tcBorders>
              <w:bottom w:val="single" w:sz="8" w:color="C0C0C0"/>
            </w:tcBorders>
          </w:tcPr>
          <w:p>
            <w:pPr>
              <w:spacing w:after="0"/>
              <w:rPr>
                <w:sz w:val="21"/>
                <w:szCs w:val="21"/>
                <w:color w:val="auto"/>
              </w:rPr>
            </w:pPr>
          </w:p>
        </w:tc>
        <w:tc>
          <w:tcPr>
            <w:tcW w:w="24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9" w:right="239" w:bottom="1440" w:gutter="0" w:footer="0" w:header="0"/>
        </w:sectPr>
      </w:pPr>
    </w:p>
    <w:bookmarkStart w:id="209" w:name="page210"/>
    <w:bookmarkEnd w:id="2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XIX</w:t>
            </w:r>
          </w:p>
        </w:tc>
        <w:tc>
          <w:tcPr>
            <w:tcW w:w="9040" w:type="dxa"/>
            <w:vAlign w:val="bottom"/>
          </w:tcPr>
          <w:p>
            <w:pPr>
              <w:ind w:left="18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ND OF</w:t>
            </w:r>
            <w:r>
              <w:rPr>
                <w:rFonts w:ascii="Arial" w:cs="Arial" w:eastAsia="Arial" w:hAnsi="Arial"/>
                <w:sz w:val="18"/>
                <w:szCs w:val="18"/>
                <w:color w:val="auto"/>
              </w:rPr>
              <w:t xml:space="preserve"> T</w:t>
            </w:r>
            <w:r>
              <w:rPr>
                <w:rFonts w:ascii="Arial" w:cs="Arial" w:eastAsia="Arial" w:hAnsi="Arial"/>
                <w:sz w:val="12"/>
                <w:szCs w:val="12"/>
                <w:color w:val="auto"/>
              </w:rPr>
              <w:t>ERM</w:t>
            </w:r>
            <w:r>
              <w:rPr>
                <w:rFonts w:ascii="Arial" w:cs="Arial" w:eastAsia="Arial" w:hAnsi="Arial"/>
                <w:sz w:val="18"/>
                <w:szCs w:val="18"/>
                <w:color w:val="auto"/>
              </w:rPr>
              <w:t xml:space="preserve"> O</w:t>
            </w:r>
            <w:r>
              <w:rPr>
                <w:rFonts w:ascii="Arial" w:cs="Arial" w:eastAsia="Arial" w:hAnsi="Arial"/>
                <w:sz w:val="12"/>
                <w:szCs w:val="12"/>
                <w:color w:val="auto"/>
              </w:rPr>
              <w:t>PTIONS</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1780" w:type="dxa"/>
            <w:vAlign w:val="bottom"/>
          </w:tcPr>
          <w:p>
            <w:pPr>
              <w:ind w:left="360"/>
              <w:spacing w:after="0"/>
              <w:rPr>
                <w:sz w:val="20"/>
                <w:szCs w:val="20"/>
                <w:color w:val="auto"/>
              </w:rPr>
            </w:pPr>
            <w:r>
              <w:rPr>
                <w:rFonts w:ascii="Arial" w:cs="Arial" w:eastAsia="Arial" w:hAnsi="Arial"/>
                <w:sz w:val="18"/>
                <w:szCs w:val="18"/>
                <w:color w:val="auto"/>
              </w:rPr>
              <w:t>Section 19.1.</w:t>
            </w:r>
          </w:p>
        </w:tc>
        <w:tc>
          <w:tcPr>
            <w:tcW w:w="9040" w:type="dxa"/>
            <w:vAlign w:val="bottom"/>
          </w:tcPr>
          <w:p>
            <w:pPr>
              <w:ind w:left="540"/>
              <w:spacing w:after="0"/>
              <w:rPr>
                <w:sz w:val="20"/>
                <w:szCs w:val="20"/>
                <w:color w:val="auto"/>
              </w:rPr>
            </w:pPr>
            <w:r>
              <w:rPr>
                <w:rFonts w:ascii="Arial" w:cs="Arial" w:eastAsia="Arial" w:hAnsi="Arial"/>
                <w:sz w:val="18"/>
                <w:szCs w:val="18"/>
                <w:color w:val="auto"/>
              </w:rPr>
              <w:t>End of Term Options</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19.2.</w:t>
            </w:r>
          </w:p>
        </w:tc>
        <w:tc>
          <w:tcPr>
            <w:tcW w:w="9040" w:type="dxa"/>
            <w:vAlign w:val="bottom"/>
          </w:tcPr>
          <w:p>
            <w:pPr>
              <w:ind w:left="540"/>
              <w:spacing w:after="0"/>
              <w:rPr>
                <w:sz w:val="20"/>
                <w:szCs w:val="20"/>
                <w:color w:val="auto"/>
              </w:rPr>
            </w:pPr>
            <w:r>
              <w:rPr>
                <w:rFonts w:ascii="Arial" w:cs="Arial" w:eastAsia="Arial" w:hAnsi="Arial"/>
                <w:sz w:val="18"/>
                <w:szCs w:val="18"/>
                <w:color w:val="auto"/>
              </w:rPr>
              <w:t>Election of Options</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19.3.</w:t>
            </w:r>
          </w:p>
        </w:tc>
        <w:tc>
          <w:tcPr>
            <w:tcW w:w="9040" w:type="dxa"/>
            <w:vAlign w:val="bottom"/>
          </w:tcPr>
          <w:p>
            <w:pPr>
              <w:ind w:left="540"/>
              <w:spacing w:after="0"/>
              <w:rPr>
                <w:sz w:val="20"/>
                <w:szCs w:val="20"/>
                <w:color w:val="auto"/>
              </w:rPr>
            </w:pPr>
            <w:r>
              <w:rPr>
                <w:rFonts w:ascii="Arial" w:cs="Arial" w:eastAsia="Arial" w:hAnsi="Arial"/>
                <w:sz w:val="18"/>
                <w:szCs w:val="18"/>
                <w:color w:val="auto"/>
              </w:rPr>
              <w:t>Renewal Options</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w:t>
            </w:r>
          </w:p>
        </w:tc>
        <w:tc>
          <w:tcPr>
            <w:tcW w:w="9040" w:type="dxa"/>
            <w:vAlign w:val="bottom"/>
          </w:tcPr>
          <w:p>
            <w:pPr>
              <w:ind w:left="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ALE</w:t>
            </w:r>
            <w:r>
              <w:rPr>
                <w:rFonts w:ascii="Arial" w:cs="Arial" w:eastAsia="Arial" w:hAnsi="Arial"/>
                <w:sz w:val="18"/>
                <w:szCs w:val="18"/>
                <w:color w:val="auto"/>
              </w:rPr>
              <w:t xml:space="preserve"> O</w:t>
            </w:r>
            <w:r>
              <w:rPr>
                <w:rFonts w:ascii="Arial" w:cs="Arial" w:eastAsia="Arial" w:hAnsi="Arial"/>
                <w:sz w:val="12"/>
                <w:szCs w:val="12"/>
                <w:color w:val="auto"/>
              </w:rPr>
              <w:t>PTION</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178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9040" w:type="dxa"/>
            <w:vAlign w:val="bottom"/>
          </w:tcPr>
          <w:p>
            <w:pPr>
              <w:ind w:left="540"/>
              <w:spacing w:after="0"/>
              <w:rPr>
                <w:sz w:val="20"/>
                <w:szCs w:val="20"/>
                <w:color w:val="auto"/>
              </w:rPr>
            </w:pPr>
            <w:r>
              <w:rPr>
                <w:rFonts w:ascii="Arial" w:cs="Arial" w:eastAsia="Arial" w:hAnsi="Arial"/>
                <w:sz w:val="18"/>
                <w:szCs w:val="18"/>
                <w:color w:val="auto"/>
              </w:rPr>
              <w:t>Sale Option Procedures</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9040" w:type="dxa"/>
            <w:vAlign w:val="bottom"/>
          </w:tcPr>
          <w:p>
            <w:pPr>
              <w:ind w:left="540"/>
              <w:spacing w:after="0"/>
              <w:rPr>
                <w:sz w:val="20"/>
                <w:szCs w:val="20"/>
                <w:color w:val="auto"/>
              </w:rPr>
            </w:pPr>
            <w:r>
              <w:rPr>
                <w:rFonts w:ascii="Arial" w:cs="Arial" w:eastAsia="Arial" w:hAnsi="Arial"/>
                <w:sz w:val="18"/>
                <w:szCs w:val="18"/>
                <w:color w:val="auto"/>
              </w:rPr>
              <w:t>Certain Obligations Continue</w:t>
            </w: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XXI</w:t>
            </w:r>
          </w:p>
        </w:tc>
        <w:tc>
          <w:tcPr>
            <w:tcW w:w="9040" w:type="dxa"/>
            <w:vAlign w:val="bottom"/>
          </w:tcPr>
          <w:p>
            <w:pPr>
              <w:ind w:left="18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ROCEDURES</w:t>
            </w:r>
            <w:r>
              <w:rPr>
                <w:rFonts w:ascii="Arial" w:cs="Arial" w:eastAsia="Arial" w:hAnsi="Arial"/>
                <w:sz w:val="18"/>
                <w:szCs w:val="18"/>
                <w:color w:val="auto"/>
              </w:rPr>
              <w:t xml:space="preserve"> R</w:t>
            </w:r>
            <w:r>
              <w:rPr>
                <w:rFonts w:ascii="Arial" w:cs="Arial" w:eastAsia="Arial" w:hAnsi="Arial"/>
                <w:sz w:val="12"/>
                <w:szCs w:val="12"/>
                <w:color w:val="auto"/>
              </w:rPr>
              <w:t>ELATING TO</w:t>
            </w:r>
            <w:r>
              <w:rPr>
                <w:rFonts w:ascii="Arial" w:cs="Arial" w:eastAsia="Arial" w:hAnsi="Arial"/>
                <w:sz w:val="18"/>
                <w:szCs w:val="18"/>
                <w:color w:val="auto"/>
              </w:rPr>
              <w:t xml:space="preserve"> P</w:t>
            </w:r>
            <w:r>
              <w:rPr>
                <w:rFonts w:ascii="Arial" w:cs="Arial" w:eastAsia="Arial" w:hAnsi="Arial"/>
                <w:sz w:val="12"/>
                <w:szCs w:val="12"/>
                <w:color w:val="auto"/>
              </w:rPr>
              <w:t>URCHASE OR</w:t>
            </w:r>
            <w:r>
              <w:rPr>
                <w:rFonts w:ascii="Arial" w:cs="Arial" w:eastAsia="Arial" w:hAnsi="Arial"/>
                <w:sz w:val="18"/>
                <w:szCs w:val="18"/>
                <w:color w:val="auto"/>
              </w:rPr>
              <w:t xml:space="preserve"> S</w:t>
            </w:r>
            <w:r>
              <w:rPr>
                <w:rFonts w:ascii="Arial" w:cs="Arial" w:eastAsia="Arial" w:hAnsi="Arial"/>
                <w:sz w:val="12"/>
                <w:szCs w:val="12"/>
                <w:color w:val="auto"/>
              </w:rPr>
              <w:t>ALE</w:t>
            </w:r>
            <w:r>
              <w:rPr>
                <w:rFonts w:ascii="Arial" w:cs="Arial" w:eastAsia="Arial" w:hAnsi="Arial"/>
                <w:sz w:val="18"/>
                <w:szCs w:val="18"/>
                <w:color w:val="auto"/>
              </w:rPr>
              <w:t xml:space="preserve"> O</w:t>
            </w:r>
            <w:r>
              <w:rPr>
                <w:rFonts w:ascii="Arial" w:cs="Arial" w:eastAsia="Arial" w:hAnsi="Arial"/>
                <w:sz w:val="12"/>
                <w:szCs w:val="12"/>
                <w:color w:val="auto"/>
              </w:rPr>
              <w:t>PTION</w:t>
            </w: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178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9040" w:type="dxa"/>
            <w:vAlign w:val="bottom"/>
          </w:tcPr>
          <w:p>
            <w:pPr>
              <w:ind w:left="540"/>
              <w:spacing w:after="0"/>
              <w:rPr>
                <w:sz w:val="20"/>
                <w:szCs w:val="20"/>
                <w:color w:val="auto"/>
              </w:rPr>
            </w:pPr>
            <w:r>
              <w:rPr>
                <w:rFonts w:ascii="Arial" w:cs="Arial" w:eastAsia="Arial" w:hAnsi="Arial"/>
                <w:sz w:val="18"/>
                <w:szCs w:val="18"/>
                <w:color w:val="auto"/>
                <w:w w:val="94"/>
              </w:rPr>
              <w:t>Provisions Relating to Conveyance of the Leased Property Upon Purchase by the Lessee, Sales or Certain Other</w:t>
            </w:r>
          </w:p>
        </w:tc>
        <w:tc>
          <w:tcPr>
            <w:tcW w:w="600" w:type="dxa"/>
            <w:vAlign w:val="bottom"/>
          </w:tcPr>
          <w:p>
            <w:pPr>
              <w:spacing w:after="0"/>
              <w:rPr>
                <w:sz w:val="24"/>
                <w:szCs w:val="24"/>
                <w:color w:val="auto"/>
              </w:rPr>
            </w:pPr>
          </w:p>
        </w:tc>
      </w:tr>
      <w:tr>
        <w:trPr>
          <w:trHeight w:val="230"/>
        </w:trPr>
        <w:tc>
          <w:tcPr>
            <w:tcW w:w="1780" w:type="dxa"/>
            <w:vAlign w:val="bottom"/>
          </w:tcPr>
          <w:p>
            <w:pPr>
              <w:spacing w:after="0"/>
              <w:rPr>
                <w:sz w:val="20"/>
                <w:szCs w:val="20"/>
                <w:color w:val="auto"/>
              </w:rPr>
            </w:pPr>
          </w:p>
        </w:tc>
        <w:tc>
          <w:tcPr>
            <w:tcW w:w="9040" w:type="dxa"/>
            <w:vAlign w:val="bottom"/>
          </w:tcPr>
          <w:p>
            <w:pPr>
              <w:ind w:left="540"/>
              <w:spacing w:after="0"/>
              <w:rPr>
                <w:sz w:val="20"/>
                <w:szCs w:val="20"/>
                <w:color w:val="auto"/>
              </w:rPr>
            </w:pPr>
            <w:r>
              <w:rPr>
                <w:rFonts w:ascii="Arial" w:cs="Arial" w:eastAsia="Arial" w:hAnsi="Arial"/>
                <w:sz w:val="18"/>
                <w:szCs w:val="18"/>
                <w:color w:val="auto"/>
              </w:rPr>
              <w:t>Events</w:t>
            </w: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XXII</w:t>
            </w:r>
          </w:p>
        </w:tc>
        <w:tc>
          <w:tcPr>
            <w:tcW w:w="9040" w:type="dxa"/>
            <w:vAlign w:val="bottom"/>
          </w:tcPr>
          <w:p>
            <w:pPr>
              <w:ind w:left="18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CCEPTANCE OF</w:t>
            </w:r>
            <w:r>
              <w:rPr>
                <w:rFonts w:ascii="Arial" w:cs="Arial" w:eastAsia="Arial" w:hAnsi="Arial"/>
                <w:sz w:val="18"/>
                <w:szCs w:val="18"/>
                <w:color w:val="auto"/>
              </w:rPr>
              <w:t xml:space="preserve"> S</w:t>
            </w:r>
            <w:r>
              <w:rPr>
                <w:rFonts w:ascii="Arial" w:cs="Arial" w:eastAsia="Arial" w:hAnsi="Arial"/>
                <w:sz w:val="12"/>
                <w:szCs w:val="12"/>
                <w:color w:val="auto"/>
              </w:rPr>
              <w:t>URRENDER</w:t>
            </w: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780" w:type="dxa"/>
            <w:vAlign w:val="bottom"/>
          </w:tcPr>
          <w:p>
            <w:pPr>
              <w:ind w:left="360"/>
              <w:spacing w:after="0"/>
              <w:rPr>
                <w:sz w:val="20"/>
                <w:szCs w:val="20"/>
                <w:color w:val="auto"/>
              </w:rPr>
            </w:pPr>
            <w:r>
              <w:rPr>
                <w:rFonts w:ascii="Arial" w:cs="Arial" w:eastAsia="Arial" w:hAnsi="Arial"/>
                <w:sz w:val="18"/>
                <w:szCs w:val="18"/>
                <w:color w:val="auto"/>
              </w:rPr>
              <w:t>Section 22.1.</w:t>
            </w:r>
          </w:p>
        </w:tc>
        <w:tc>
          <w:tcPr>
            <w:tcW w:w="9040" w:type="dxa"/>
            <w:vAlign w:val="bottom"/>
          </w:tcPr>
          <w:p>
            <w:pPr>
              <w:ind w:left="540"/>
              <w:spacing w:after="0"/>
              <w:rPr>
                <w:sz w:val="20"/>
                <w:szCs w:val="20"/>
                <w:color w:val="auto"/>
              </w:rPr>
            </w:pPr>
            <w:r>
              <w:rPr>
                <w:rFonts w:ascii="Arial" w:cs="Arial" w:eastAsia="Arial" w:hAnsi="Arial"/>
                <w:sz w:val="18"/>
                <w:szCs w:val="18"/>
                <w:color w:val="auto"/>
              </w:rPr>
              <w:t>Acceptance of Surrender</w:t>
            </w: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XXIII</w:t>
            </w:r>
          </w:p>
        </w:tc>
        <w:tc>
          <w:tcPr>
            <w:tcW w:w="9040" w:type="dxa"/>
            <w:vAlign w:val="bottom"/>
          </w:tcPr>
          <w:p>
            <w:pPr>
              <w:ind w:left="18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M</w:t>
            </w:r>
            <w:r>
              <w:rPr>
                <w:rFonts w:ascii="Arial" w:cs="Arial" w:eastAsia="Arial" w:hAnsi="Arial"/>
                <w:sz w:val="12"/>
                <w:szCs w:val="12"/>
                <w:color w:val="auto"/>
              </w:rPr>
              <w:t>ERGER OF</w:t>
            </w:r>
            <w:r>
              <w:rPr>
                <w:rFonts w:ascii="Arial" w:cs="Arial" w:eastAsia="Arial" w:hAnsi="Arial"/>
                <w:sz w:val="18"/>
                <w:szCs w:val="18"/>
                <w:color w:val="auto"/>
              </w:rPr>
              <w:t xml:space="preserve"> T</w:t>
            </w:r>
            <w:r>
              <w:rPr>
                <w:rFonts w:ascii="Arial" w:cs="Arial" w:eastAsia="Arial" w:hAnsi="Arial"/>
                <w:sz w:val="12"/>
                <w:szCs w:val="12"/>
                <w:color w:val="auto"/>
              </w:rPr>
              <w:t>ITLE</w:t>
            </w: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780" w:type="dxa"/>
            <w:vAlign w:val="bottom"/>
          </w:tcPr>
          <w:p>
            <w:pPr>
              <w:ind w:left="360"/>
              <w:spacing w:after="0"/>
              <w:rPr>
                <w:sz w:val="20"/>
                <w:szCs w:val="20"/>
                <w:color w:val="auto"/>
              </w:rPr>
            </w:pPr>
            <w:r>
              <w:rPr>
                <w:rFonts w:ascii="Arial" w:cs="Arial" w:eastAsia="Arial" w:hAnsi="Arial"/>
                <w:sz w:val="18"/>
                <w:szCs w:val="18"/>
                <w:color w:val="auto"/>
              </w:rPr>
              <w:t>Section 23.1.</w:t>
            </w:r>
          </w:p>
        </w:tc>
        <w:tc>
          <w:tcPr>
            <w:tcW w:w="9040" w:type="dxa"/>
            <w:vAlign w:val="bottom"/>
          </w:tcPr>
          <w:p>
            <w:pPr>
              <w:ind w:left="540"/>
              <w:spacing w:after="0"/>
              <w:rPr>
                <w:sz w:val="20"/>
                <w:szCs w:val="20"/>
                <w:color w:val="auto"/>
              </w:rPr>
            </w:pPr>
            <w:r>
              <w:rPr>
                <w:rFonts w:ascii="Arial" w:cs="Arial" w:eastAsia="Arial" w:hAnsi="Arial"/>
                <w:sz w:val="18"/>
                <w:szCs w:val="18"/>
                <w:color w:val="auto"/>
              </w:rPr>
              <w:t>No Merger of Title</w:t>
            </w: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XXIV</w:t>
            </w:r>
          </w:p>
        </w:tc>
        <w:tc>
          <w:tcPr>
            <w:tcW w:w="9040" w:type="dxa"/>
            <w:vAlign w:val="bottom"/>
          </w:tcPr>
          <w:p>
            <w:pPr>
              <w:ind w:left="18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NTENT OF</w:t>
            </w:r>
            <w:r>
              <w:rPr>
                <w:rFonts w:ascii="Arial" w:cs="Arial" w:eastAsia="Arial" w:hAnsi="Arial"/>
                <w:sz w:val="18"/>
                <w:szCs w:val="18"/>
                <w:color w:val="auto"/>
              </w:rPr>
              <w:t xml:space="preserve"> T</w:t>
            </w:r>
            <w:r>
              <w:rPr>
                <w:rFonts w:ascii="Arial" w:cs="Arial" w:eastAsia="Arial" w:hAnsi="Arial"/>
                <w:sz w:val="12"/>
                <w:szCs w:val="12"/>
                <w:color w:val="auto"/>
              </w:rPr>
              <w:t>HE</w:t>
            </w:r>
            <w:r>
              <w:rPr>
                <w:rFonts w:ascii="Arial" w:cs="Arial" w:eastAsia="Arial" w:hAnsi="Arial"/>
                <w:sz w:val="18"/>
                <w:szCs w:val="18"/>
                <w:color w:val="auto"/>
              </w:rPr>
              <w:t xml:space="preserve"> P</w:t>
            </w:r>
            <w:r>
              <w:rPr>
                <w:rFonts w:ascii="Arial" w:cs="Arial" w:eastAsia="Arial" w:hAnsi="Arial"/>
                <w:sz w:val="12"/>
                <w:szCs w:val="12"/>
                <w:color w:val="auto"/>
              </w:rPr>
              <w:t>ARTIES</w:t>
            </w: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1780" w:type="dxa"/>
            <w:vAlign w:val="bottom"/>
          </w:tcPr>
          <w:p>
            <w:pPr>
              <w:ind w:left="360"/>
              <w:spacing w:after="0"/>
              <w:rPr>
                <w:sz w:val="20"/>
                <w:szCs w:val="20"/>
                <w:color w:val="auto"/>
              </w:rPr>
            </w:pPr>
            <w:r>
              <w:rPr>
                <w:rFonts w:ascii="Arial" w:cs="Arial" w:eastAsia="Arial" w:hAnsi="Arial"/>
                <w:sz w:val="18"/>
                <w:szCs w:val="18"/>
                <w:color w:val="auto"/>
              </w:rPr>
              <w:t>Section 24.1.</w:t>
            </w:r>
          </w:p>
        </w:tc>
        <w:tc>
          <w:tcPr>
            <w:tcW w:w="9040" w:type="dxa"/>
            <w:vAlign w:val="bottom"/>
          </w:tcPr>
          <w:p>
            <w:pPr>
              <w:ind w:left="540"/>
              <w:spacing w:after="0"/>
              <w:rPr>
                <w:sz w:val="20"/>
                <w:szCs w:val="20"/>
                <w:color w:val="auto"/>
              </w:rPr>
            </w:pPr>
            <w:r>
              <w:rPr>
                <w:rFonts w:ascii="Arial" w:cs="Arial" w:eastAsia="Arial" w:hAnsi="Arial"/>
                <w:sz w:val="18"/>
                <w:szCs w:val="18"/>
                <w:color w:val="auto"/>
              </w:rPr>
              <w:t>Nature of Transaction</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24.4.</w:t>
            </w:r>
          </w:p>
        </w:tc>
        <w:tc>
          <w:tcPr>
            <w:tcW w:w="9040" w:type="dxa"/>
            <w:vAlign w:val="bottom"/>
          </w:tcPr>
          <w:p>
            <w:pPr>
              <w:ind w:left="540"/>
              <w:spacing w:after="0"/>
              <w:rPr>
                <w:sz w:val="20"/>
                <w:szCs w:val="20"/>
                <w:color w:val="auto"/>
              </w:rPr>
            </w:pPr>
            <w:r>
              <w:rPr>
                <w:rFonts w:ascii="Arial" w:cs="Arial" w:eastAsia="Arial" w:hAnsi="Arial"/>
                <w:sz w:val="18"/>
                <w:szCs w:val="18"/>
                <w:color w:val="auto"/>
              </w:rPr>
              <w:t>Security Agreement</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24.5.</w:t>
            </w:r>
          </w:p>
        </w:tc>
        <w:tc>
          <w:tcPr>
            <w:tcW w:w="9040" w:type="dxa"/>
            <w:vAlign w:val="bottom"/>
          </w:tcPr>
          <w:p>
            <w:pPr>
              <w:ind w:left="540"/>
              <w:spacing w:after="0"/>
              <w:rPr>
                <w:sz w:val="20"/>
                <w:szCs w:val="20"/>
                <w:color w:val="auto"/>
              </w:rPr>
            </w:pPr>
            <w:r>
              <w:rPr>
                <w:rFonts w:ascii="Arial" w:cs="Arial" w:eastAsia="Arial" w:hAnsi="Arial"/>
                <w:sz w:val="18"/>
                <w:szCs w:val="18"/>
                <w:color w:val="auto"/>
              </w:rPr>
              <w:t>Mortgage Remedies</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XXV</w:t>
            </w:r>
          </w:p>
        </w:tc>
        <w:tc>
          <w:tcPr>
            <w:tcW w:w="9040" w:type="dxa"/>
            <w:vAlign w:val="bottom"/>
          </w:tcPr>
          <w:p>
            <w:pPr>
              <w:ind w:left="18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1780" w:type="dxa"/>
            <w:vAlign w:val="bottom"/>
          </w:tcPr>
          <w:p>
            <w:pPr>
              <w:ind w:left="360"/>
              <w:spacing w:after="0"/>
              <w:rPr>
                <w:sz w:val="20"/>
                <w:szCs w:val="20"/>
                <w:color w:val="auto"/>
              </w:rPr>
            </w:pPr>
            <w:r>
              <w:rPr>
                <w:rFonts w:ascii="Arial" w:cs="Arial" w:eastAsia="Arial" w:hAnsi="Arial"/>
                <w:sz w:val="18"/>
                <w:szCs w:val="18"/>
                <w:color w:val="auto"/>
              </w:rPr>
              <w:t>Section 25.1.</w:t>
            </w:r>
          </w:p>
        </w:tc>
        <w:tc>
          <w:tcPr>
            <w:tcW w:w="9040" w:type="dxa"/>
            <w:vAlign w:val="bottom"/>
          </w:tcPr>
          <w:p>
            <w:pPr>
              <w:ind w:left="540"/>
              <w:spacing w:after="0"/>
              <w:rPr>
                <w:sz w:val="20"/>
                <w:szCs w:val="20"/>
                <w:color w:val="auto"/>
              </w:rPr>
            </w:pPr>
            <w:r>
              <w:rPr>
                <w:rFonts w:ascii="Arial" w:cs="Arial" w:eastAsia="Arial" w:hAnsi="Arial"/>
                <w:sz w:val="18"/>
                <w:szCs w:val="18"/>
                <w:color w:val="auto"/>
              </w:rPr>
              <w:t>Survival; Severability; Etc</w:t>
            </w: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25.2.</w:t>
            </w:r>
          </w:p>
        </w:tc>
        <w:tc>
          <w:tcPr>
            <w:tcW w:w="9040" w:type="dxa"/>
            <w:vAlign w:val="bottom"/>
          </w:tcPr>
          <w:p>
            <w:pPr>
              <w:ind w:left="540"/>
              <w:spacing w:after="0"/>
              <w:rPr>
                <w:sz w:val="20"/>
                <w:szCs w:val="20"/>
                <w:color w:val="auto"/>
              </w:rPr>
            </w:pPr>
            <w:r>
              <w:rPr>
                <w:rFonts w:ascii="Arial" w:cs="Arial" w:eastAsia="Arial" w:hAnsi="Arial"/>
                <w:sz w:val="18"/>
                <w:szCs w:val="18"/>
                <w:color w:val="auto"/>
              </w:rPr>
              <w:t>Amendments and Modifications</w:t>
            </w: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25.3.</w:t>
            </w:r>
          </w:p>
        </w:tc>
        <w:tc>
          <w:tcPr>
            <w:tcW w:w="9040" w:type="dxa"/>
            <w:vAlign w:val="bottom"/>
          </w:tcPr>
          <w:p>
            <w:pPr>
              <w:ind w:left="540"/>
              <w:spacing w:after="0"/>
              <w:rPr>
                <w:sz w:val="20"/>
                <w:szCs w:val="20"/>
                <w:color w:val="auto"/>
              </w:rPr>
            </w:pPr>
            <w:r>
              <w:rPr>
                <w:rFonts w:ascii="Arial" w:cs="Arial" w:eastAsia="Arial" w:hAnsi="Arial"/>
                <w:sz w:val="18"/>
                <w:szCs w:val="18"/>
                <w:color w:val="auto"/>
              </w:rPr>
              <w:t>No Waiver</w:t>
            </w: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25.4.</w:t>
            </w:r>
          </w:p>
        </w:tc>
        <w:tc>
          <w:tcPr>
            <w:tcW w:w="9040" w:type="dxa"/>
            <w:vAlign w:val="bottom"/>
          </w:tcPr>
          <w:p>
            <w:pPr>
              <w:ind w:left="540"/>
              <w:spacing w:after="0"/>
              <w:rPr>
                <w:sz w:val="20"/>
                <w:szCs w:val="20"/>
                <w:color w:val="auto"/>
              </w:rPr>
            </w:pPr>
            <w:r>
              <w:rPr>
                <w:rFonts w:ascii="Arial" w:cs="Arial" w:eastAsia="Arial" w:hAnsi="Arial"/>
                <w:sz w:val="18"/>
                <w:szCs w:val="18"/>
                <w:color w:val="auto"/>
              </w:rPr>
              <w:t>Notices</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25.5.</w:t>
            </w:r>
          </w:p>
        </w:tc>
        <w:tc>
          <w:tcPr>
            <w:tcW w:w="9040" w:type="dxa"/>
            <w:vAlign w:val="bottom"/>
          </w:tcPr>
          <w:p>
            <w:pPr>
              <w:ind w:left="540"/>
              <w:spacing w:after="0"/>
              <w:rPr>
                <w:sz w:val="20"/>
                <w:szCs w:val="20"/>
                <w:color w:val="auto"/>
              </w:rPr>
            </w:pPr>
            <w:r>
              <w:rPr>
                <w:rFonts w:ascii="Arial" w:cs="Arial" w:eastAsia="Arial" w:hAnsi="Arial"/>
                <w:sz w:val="18"/>
                <w:szCs w:val="18"/>
                <w:color w:val="auto"/>
              </w:rPr>
              <w:t>Successors and Assigns</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25.6.</w:t>
            </w:r>
          </w:p>
        </w:tc>
        <w:tc>
          <w:tcPr>
            <w:tcW w:w="9040" w:type="dxa"/>
            <w:vAlign w:val="bottom"/>
          </w:tcPr>
          <w:p>
            <w:pPr>
              <w:ind w:left="540"/>
              <w:spacing w:after="0"/>
              <w:rPr>
                <w:sz w:val="20"/>
                <w:szCs w:val="20"/>
                <w:color w:val="auto"/>
              </w:rPr>
            </w:pPr>
            <w:r>
              <w:rPr>
                <w:rFonts w:ascii="Arial" w:cs="Arial" w:eastAsia="Arial" w:hAnsi="Arial"/>
                <w:sz w:val="18"/>
                <w:szCs w:val="18"/>
                <w:color w:val="auto"/>
              </w:rPr>
              <w:t>Headings and Table of Contents</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2"/>
        </w:trPr>
        <w:tc>
          <w:tcPr>
            <w:tcW w:w="1780" w:type="dxa"/>
            <w:vAlign w:val="bottom"/>
          </w:tcPr>
          <w:p>
            <w:pPr>
              <w:ind w:left="360"/>
              <w:spacing w:after="0"/>
              <w:rPr>
                <w:sz w:val="20"/>
                <w:szCs w:val="20"/>
                <w:color w:val="auto"/>
              </w:rPr>
            </w:pPr>
            <w:r>
              <w:rPr>
                <w:rFonts w:ascii="Arial" w:cs="Arial" w:eastAsia="Arial" w:hAnsi="Arial"/>
                <w:sz w:val="18"/>
                <w:szCs w:val="18"/>
                <w:color w:val="auto"/>
              </w:rPr>
              <w:t>Section 25.7.</w:t>
            </w:r>
          </w:p>
        </w:tc>
        <w:tc>
          <w:tcPr>
            <w:tcW w:w="9040" w:type="dxa"/>
            <w:vAlign w:val="bottom"/>
          </w:tcPr>
          <w:p>
            <w:pPr>
              <w:ind w:left="540"/>
              <w:spacing w:after="0"/>
              <w:rPr>
                <w:sz w:val="20"/>
                <w:szCs w:val="20"/>
                <w:color w:val="auto"/>
              </w:rPr>
            </w:pPr>
            <w:r>
              <w:rPr>
                <w:rFonts w:ascii="Arial" w:cs="Arial" w:eastAsia="Arial" w:hAnsi="Arial"/>
                <w:sz w:val="18"/>
                <w:szCs w:val="18"/>
                <w:color w:val="auto"/>
              </w:rPr>
              <w:t>Counterparts</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0"/>
        </w:trPr>
        <w:tc>
          <w:tcPr>
            <w:tcW w:w="1780" w:type="dxa"/>
            <w:vAlign w:val="bottom"/>
          </w:tcPr>
          <w:p>
            <w:pPr>
              <w:ind w:left="360"/>
              <w:spacing w:after="0"/>
              <w:rPr>
                <w:sz w:val="20"/>
                <w:szCs w:val="20"/>
                <w:color w:val="auto"/>
              </w:rPr>
            </w:pPr>
            <w:r>
              <w:rPr>
                <w:rFonts w:ascii="Arial" w:cs="Arial" w:eastAsia="Arial" w:hAnsi="Arial"/>
                <w:sz w:val="18"/>
                <w:szCs w:val="18"/>
                <w:b w:val="1"/>
                <w:bCs w:val="1"/>
                <w:color w:val="auto"/>
              </w:rPr>
              <w:t>SECTION 25.8.</w:t>
            </w:r>
          </w:p>
        </w:tc>
        <w:tc>
          <w:tcPr>
            <w:tcW w:w="9040" w:type="dxa"/>
            <w:vAlign w:val="bottom"/>
          </w:tcPr>
          <w:p>
            <w:pPr>
              <w:ind w:left="540"/>
              <w:spacing w:after="0"/>
              <w:rPr>
                <w:sz w:val="20"/>
                <w:szCs w:val="20"/>
                <w:color w:val="auto"/>
              </w:rPr>
            </w:pPr>
            <w:r>
              <w:rPr>
                <w:rFonts w:ascii="Arial" w:cs="Arial" w:eastAsia="Arial" w:hAnsi="Arial"/>
                <w:sz w:val="18"/>
                <w:szCs w:val="18"/>
                <w:b w:val="1"/>
                <w:bCs w:val="1"/>
                <w:color w:val="auto"/>
              </w:rPr>
              <w:t>GOVERNING LAW</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25.9.</w:t>
            </w:r>
          </w:p>
        </w:tc>
        <w:tc>
          <w:tcPr>
            <w:tcW w:w="9040" w:type="dxa"/>
            <w:vAlign w:val="bottom"/>
          </w:tcPr>
          <w:p>
            <w:pPr>
              <w:ind w:left="540"/>
              <w:spacing w:after="0"/>
              <w:rPr>
                <w:sz w:val="20"/>
                <w:szCs w:val="20"/>
                <w:color w:val="auto"/>
              </w:rPr>
            </w:pPr>
            <w:r>
              <w:rPr>
                <w:rFonts w:ascii="Arial" w:cs="Arial" w:eastAsia="Arial" w:hAnsi="Arial"/>
                <w:sz w:val="18"/>
                <w:szCs w:val="18"/>
                <w:color w:val="auto"/>
              </w:rPr>
              <w:t>Original Lease</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25.10.</w:t>
            </w:r>
          </w:p>
        </w:tc>
        <w:tc>
          <w:tcPr>
            <w:tcW w:w="9040" w:type="dxa"/>
            <w:vAlign w:val="bottom"/>
          </w:tcPr>
          <w:p>
            <w:pPr>
              <w:ind w:left="540"/>
              <w:spacing w:after="0"/>
              <w:rPr>
                <w:sz w:val="20"/>
                <w:szCs w:val="20"/>
                <w:color w:val="auto"/>
              </w:rPr>
            </w:pPr>
            <w:r>
              <w:rPr>
                <w:rFonts w:ascii="Arial" w:cs="Arial" w:eastAsia="Arial" w:hAnsi="Arial"/>
                <w:sz w:val="18"/>
                <w:szCs w:val="18"/>
                <w:color w:val="auto"/>
              </w:rPr>
              <w:t>Limitations on Recourse</w:t>
            </w: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25.11.</w:t>
            </w:r>
          </w:p>
        </w:tc>
        <w:tc>
          <w:tcPr>
            <w:tcW w:w="9040" w:type="dxa"/>
            <w:vAlign w:val="bottom"/>
          </w:tcPr>
          <w:p>
            <w:pPr>
              <w:ind w:left="540"/>
              <w:spacing w:after="0"/>
              <w:rPr>
                <w:sz w:val="20"/>
                <w:szCs w:val="20"/>
                <w:color w:val="auto"/>
              </w:rPr>
            </w:pPr>
            <w:r>
              <w:rPr>
                <w:rFonts w:ascii="Arial" w:cs="Arial" w:eastAsia="Arial" w:hAnsi="Arial"/>
                <w:sz w:val="18"/>
                <w:szCs w:val="18"/>
                <w:color w:val="auto"/>
              </w:rPr>
              <w:t>Transfer of Leased Property</w:t>
            </w: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25.12.</w:t>
            </w:r>
          </w:p>
        </w:tc>
        <w:tc>
          <w:tcPr>
            <w:tcW w:w="9040" w:type="dxa"/>
            <w:vAlign w:val="bottom"/>
          </w:tcPr>
          <w:p>
            <w:pPr>
              <w:ind w:left="540"/>
              <w:spacing w:after="0"/>
              <w:rPr>
                <w:sz w:val="20"/>
                <w:szCs w:val="20"/>
                <w:color w:val="auto"/>
              </w:rPr>
            </w:pPr>
            <w:r>
              <w:rPr>
                <w:rFonts w:ascii="Arial" w:cs="Arial" w:eastAsia="Arial" w:hAnsi="Arial"/>
                <w:sz w:val="18"/>
                <w:szCs w:val="18"/>
                <w:color w:val="auto"/>
              </w:rPr>
              <w:t>Memorandum of Lease</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25.13.</w:t>
            </w:r>
          </w:p>
        </w:tc>
        <w:tc>
          <w:tcPr>
            <w:tcW w:w="9040" w:type="dxa"/>
            <w:vAlign w:val="bottom"/>
          </w:tcPr>
          <w:p>
            <w:pPr>
              <w:ind w:left="540"/>
              <w:spacing w:after="0"/>
              <w:rPr>
                <w:sz w:val="20"/>
                <w:szCs w:val="20"/>
                <w:color w:val="auto"/>
              </w:rPr>
            </w:pPr>
            <w:r>
              <w:rPr>
                <w:rFonts w:ascii="Arial" w:cs="Arial" w:eastAsia="Arial" w:hAnsi="Arial"/>
                <w:sz w:val="18"/>
                <w:szCs w:val="18"/>
                <w:color w:val="auto"/>
              </w:rPr>
              <w:t>Further Assurances</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25.14.</w:t>
            </w:r>
          </w:p>
        </w:tc>
        <w:tc>
          <w:tcPr>
            <w:tcW w:w="9040" w:type="dxa"/>
            <w:vAlign w:val="bottom"/>
          </w:tcPr>
          <w:p>
            <w:pPr>
              <w:ind w:left="540"/>
              <w:spacing w:after="0"/>
              <w:rPr>
                <w:sz w:val="20"/>
                <w:szCs w:val="20"/>
                <w:color w:val="auto"/>
              </w:rPr>
            </w:pPr>
            <w:r>
              <w:rPr>
                <w:rFonts w:ascii="Arial" w:cs="Arial" w:eastAsia="Arial" w:hAnsi="Arial"/>
                <w:sz w:val="18"/>
                <w:szCs w:val="18"/>
                <w:color w:val="auto"/>
              </w:rPr>
              <w:t>Effect of Restatement</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10" w:name="page211"/>
    <w:bookmarkEnd w:id="210"/>
    <w:p>
      <w:pPr>
        <w:jc w:val="right"/>
        <w:ind w:right="343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XHIBITS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CHEDULES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tc>
        <w:tc>
          <w:tcPr>
            <w:tcW w:w="640" w:type="dxa"/>
            <w:vAlign w:val="bottom"/>
          </w:tcPr>
          <w:p>
            <w:pPr>
              <w:ind w:left="260"/>
              <w:spacing w:after="0"/>
              <w:rPr>
                <w:sz w:val="20"/>
                <w:szCs w:val="20"/>
                <w:color w:val="auto"/>
              </w:rPr>
            </w:pPr>
            <w:r>
              <w:rPr>
                <w:rFonts w:ascii="Arial" w:cs="Arial" w:eastAsia="Arial" w:hAnsi="Arial"/>
                <w:sz w:val="18"/>
                <w:szCs w:val="18"/>
                <w:color w:val="auto"/>
              </w:rPr>
              <w:t>—</w:t>
            </w:r>
          </w:p>
        </w:tc>
        <w:tc>
          <w:tcPr>
            <w:tcW w:w="2500" w:type="dxa"/>
            <w:vAlign w:val="bottom"/>
          </w:tcPr>
          <w:p>
            <w:pPr>
              <w:ind w:left="200"/>
              <w:spacing w:after="0"/>
              <w:rPr>
                <w:sz w:val="20"/>
                <w:szCs w:val="20"/>
                <w:color w:val="auto"/>
              </w:rPr>
            </w:pPr>
            <w:r>
              <w:rPr>
                <w:rFonts w:ascii="Arial" w:cs="Arial" w:eastAsia="Arial" w:hAnsi="Arial"/>
                <w:sz w:val="18"/>
                <w:szCs w:val="18"/>
                <w:color w:val="auto"/>
                <w:w w:val="92"/>
              </w:rPr>
              <w:t>Description of Leased Property</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B</w:t>
            </w:r>
          </w:p>
        </w:tc>
        <w:tc>
          <w:tcPr>
            <w:tcW w:w="640" w:type="dxa"/>
            <w:vAlign w:val="bottom"/>
          </w:tcPr>
          <w:p>
            <w:pPr>
              <w:ind w:left="260"/>
              <w:spacing w:after="0"/>
              <w:rPr>
                <w:sz w:val="20"/>
                <w:szCs w:val="20"/>
                <w:color w:val="auto"/>
              </w:rPr>
            </w:pPr>
            <w:r>
              <w:rPr>
                <w:rFonts w:ascii="Arial" w:cs="Arial" w:eastAsia="Arial" w:hAnsi="Arial"/>
                <w:sz w:val="18"/>
                <w:szCs w:val="18"/>
                <w:color w:val="auto"/>
              </w:rPr>
              <w:t>—</w:t>
            </w:r>
          </w:p>
        </w:tc>
        <w:tc>
          <w:tcPr>
            <w:tcW w:w="2500" w:type="dxa"/>
            <w:vAlign w:val="bottom"/>
          </w:tcPr>
          <w:p>
            <w:pPr>
              <w:ind w:left="200"/>
              <w:spacing w:after="0"/>
              <w:rPr>
                <w:sz w:val="20"/>
                <w:szCs w:val="20"/>
                <w:color w:val="auto"/>
              </w:rPr>
            </w:pPr>
            <w:r>
              <w:rPr>
                <w:rFonts w:ascii="Arial" w:cs="Arial" w:eastAsia="Arial" w:hAnsi="Arial"/>
                <w:sz w:val="18"/>
                <w:szCs w:val="18"/>
                <w:color w:val="auto"/>
                <w:w w:val="90"/>
              </w:rPr>
              <w:t>Form of Memorandum of Lease</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tc>
        <w:tc>
          <w:tcPr>
            <w:tcW w:w="640" w:type="dxa"/>
            <w:vAlign w:val="bottom"/>
          </w:tcPr>
          <w:p>
            <w:pPr>
              <w:ind w:left="260"/>
              <w:spacing w:after="0"/>
              <w:rPr>
                <w:sz w:val="20"/>
                <w:szCs w:val="20"/>
                <w:color w:val="auto"/>
              </w:rPr>
            </w:pPr>
            <w:r>
              <w:rPr>
                <w:rFonts w:ascii="Arial" w:cs="Arial" w:eastAsia="Arial" w:hAnsi="Arial"/>
                <w:sz w:val="18"/>
                <w:szCs w:val="18"/>
                <w:color w:val="auto"/>
              </w:rPr>
              <w:t>—</w:t>
            </w:r>
          </w:p>
        </w:tc>
        <w:tc>
          <w:tcPr>
            <w:tcW w:w="2500" w:type="dxa"/>
            <w:vAlign w:val="bottom"/>
          </w:tcPr>
          <w:p>
            <w:pPr>
              <w:ind w:left="200"/>
              <w:spacing w:after="0"/>
              <w:rPr>
                <w:sz w:val="20"/>
                <w:szCs w:val="20"/>
                <w:color w:val="auto"/>
              </w:rPr>
            </w:pPr>
            <w:r>
              <w:rPr>
                <w:rFonts w:ascii="Arial" w:cs="Arial" w:eastAsia="Arial" w:hAnsi="Arial"/>
                <w:sz w:val="18"/>
                <w:szCs w:val="18"/>
                <w:color w:val="auto"/>
              </w:rPr>
              <w:t>Form of SNDA</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A</w:t>
            </w:r>
          </w:p>
        </w:tc>
        <w:tc>
          <w:tcPr>
            <w:tcW w:w="640" w:type="dxa"/>
            <w:vAlign w:val="bottom"/>
          </w:tcPr>
          <w:p>
            <w:pPr>
              <w:ind w:left="260"/>
              <w:spacing w:after="0"/>
              <w:rPr>
                <w:sz w:val="20"/>
                <w:szCs w:val="20"/>
                <w:color w:val="auto"/>
              </w:rPr>
            </w:pPr>
            <w:r>
              <w:rPr>
                <w:rFonts w:ascii="Arial" w:cs="Arial" w:eastAsia="Arial" w:hAnsi="Arial"/>
                <w:sz w:val="18"/>
                <w:szCs w:val="18"/>
                <w:color w:val="auto"/>
              </w:rPr>
              <w:t>—</w:t>
            </w:r>
          </w:p>
        </w:tc>
        <w:tc>
          <w:tcPr>
            <w:tcW w:w="2500" w:type="dxa"/>
            <w:vAlign w:val="bottom"/>
          </w:tcPr>
          <w:p>
            <w:pPr>
              <w:ind w:left="200"/>
              <w:spacing w:after="0"/>
              <w:rPr>
                <w:sz w:val="20"/>
                <w:szCs w:val="20"/>
                <w:color w:val="auto"/>
              </w:rPr>
            </w:pPr>
            <w:r>
              <w:rPr>
                <w:rFonts w:ascii="Arial" w:cs="Arial" w:eastAsia="Arial" w:hAnsi="Arial"/>
                <w:sz w:val="18"/>
                <w:szCs w:val="18"/>
                <w:color w:val="auto"/>
                <w:w w:val="95"/>
              </w:rPr>
              <w:t>Permitted Development Plans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B</w:t>
            </w:r>
          </w:p>
        </w:tc>
        <w:tc>
          <w:tcPr>
            <w:tcW w:w="640" w:type="dxa"/>
            <w:vAlign w:val="bottom"/>
          </w:tcPr>
          <w:p>
            <w:pPr>
              <w:ind w:left="260"/>
              <w:spacing w:after="0"/>
              <w:rPr>
                <w:sz w:val="20"/>
                <w:szCs w:val="20"/>
                <w:color w:val="auto"/>
              </w:rPr>
            </w:pPr>
            <w:r>
              <w:rPr>
                <w:rFonts w:ascii="Arial" w:cs="Arial" w:eastAsia="Arial" w:hAnsi="Arial"/>
                <w:sz w:val="18"/>
                <w:szCs w:val="18"/>
                <w:color w:val="auto"/>
              </w:rPr>
              <w:t>—</w:t>
            </w:r>
          </w:p>
        </w:tc>
        <w:tc>
          <w:tcPr>
            <w:tcW w:w="2500" w:type="dxa"/>
            <w:vAlign w:val="bottom"/>
          </w:tcPr>
          <w:p>
            <w:pPr>
              <w:ind w:left="200"/>
              <w:spacing w:after="0"/>
              <w:rPr>
                <w:sz w:val="20"/>
                <w:szCs w:val="20"/>
                <w:color w:val="auto"/>
              </w:rPr>
            </w:pPr>
            <w:r>
              <w:rPr>
                <w:rFonts w:ascii="Arial" w:cs="Arial" w:eastAsia="Arial" w:hAnsi="Arial"/>
                <w:sz w:val="18"/>
                <w:szCs w:val="18"/>
                <w:color w:val="auto"/>
                <w:w w:val="94"/>
              </w:rPr>
              <w:t>Permitted Development Areas</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C</w:t>
            </w:r>
          </w:p>
        </w:tc>
        <w:tc>
          <w:tcPr>
            <w:tcW w:w="640" w:type="dxa"/>
            <w:vAlign w:val="bottom"/>
          </w:tcPr>
          <w:p>
            <w:pPr>
              <w:ind w:left="260"/>
              <w:spacing w:after="0"/>
              <w:rPr>
                <w:sz w:val="20"/>
                <w:szCs w:val="20"/>
                <w:color w:val="auto"/>
              </w:rPr>
            </w:pPr>
            <w:r>
              <w:rPr>
                <w:rFonts w:ascii="Arial" w:cs="Arial" w:eastAsia="Arial" w:hAnsi="Arial"/>
                <w:sz w:val="18"/>
                <w:szCs w:val="18"/>
                <w:color w:val="auto"/>
              </w:rPr>
              <w:t>—</w:t>
            </w:r>
          </w:p>
        </w:tc>
        <w:tc>
          <w:tcPr>
            <w:tcW w:w="2500" w:type="dxa"/>
            <w:vAlign w:val="bottom"/>
          </w:tcPr>
          <w:p>
            <w:pPr>
              <w:ind w:left="200"/>
              <w:spacing w:after="0"/>
              <w:rPr>
                <w:sz w:val="20"/>
                <w:szCs w:val="20"/>
                <w:color w:val="auto"/>
              </w:rPr>
            </w:pPr>
            <w:r>
              <w:rPr>
                <w:rFonts w:ascii="Arial" w:cs="Arial" w:eastAsia="Arial" w:hAnsi="Arial"/>
                <w:sz w:val="18"/>
                <w:szCs w:val="18"/>
                <w:color w:val="auto"/>
                <w:w w:val="98"/>
              </w:rPr>
              <w:t>Permitted 767 Improvements</w:t>
            </w:r>
          </w:p>
        </w:tc>
      </w:tr>
    </w:tbl>
    <w:p>
      <w:pPr>
        <w:spacing w:after="0" w:line="1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211" w:name="page212"/>
    <w:bookmarkEnd w:id="211"/>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EASE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EMEDIES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Amended and Restated Lease and Remedies Agreement dated as of May 2, 2019 (as amended, restated, supplemented, or otherwise modified from time to time, this “</w:t>
      </w:r>
      <w:r>
        <w:rPr>
          <w:rFonts w:ascii="Arial" w:cs="Arial" w:eastAsia="Arial" w:hAnsi="Arial"/>
          <w:sz w:val="17"/>
          <w:szCs w:val="17"/>
          <w:i w:val="1"/>
          <w:iCs w:val="1"/>
          <w:color w:val="auto"/>
        </w:rPr>
        <w:t>Lease</w:t>
      </w:r>
      <w:r>
        <w:rPr>
          <w:rFonts w:ascii="Arial" w:cs="Arial" w:eastAsia="Arial" w:hAnsi="Arial"/>
          <w:sz w:val="17"/>
          <w:szCs w:val="17"/>
          <w:color w:val="auto"/>
        </w:rPr>
        <w:t>” or “</w:t>
      </w:r>
      <w:r>
        <w:rPr>
          <w:rFonts w:ascii="Arial" w:cs="Arial" w:eastAsia="Arial" w:hAnsi="Arial"/>
          <w:sz w:val="17"/>
          <w:szCs w:val="17"/>
          <w:i w:val="1"/>
          <w:iCs w:val="1"/>
          <w:color w:val="auto"/>
        </w:rPr>
        <w:t>Mortgage</w:t>
      </w:r>
      <w:r>
        <w:rPr>
          <w:rFonts w:ascii="Arial" w:cs="Arial" w:eastAsia="Arial" w:hAnsi="Arial"/>
          <w:sz w:val="17"/>
          <w:szCs w:val="17"/>
          <w:color w:val="auto"/>
        </w:rPr>
        <w:t>”), between BA L</w:t>
      </w:r>
      <w:r>
        <w:rPr>
          <w:rFonts w:ascii="Arial" w:cs="Arial" w:eastAsia="Arial" w:hAnsi="Arial"/>
          <w:sz w:val="11"/>
          <w:szCs w:val="11"/>
          <w:color w:val="auto"/>
        </w:rPr>
        <w:t>EASING</w:t>
      </w:r>
      <w:r>
        <w:rPr>
          <w:rFonts w:ascii="Arial" w:cs="Arial" w:eastAsia="Arial" w:hAnsi="Arial"/>
          <w:sz w:val="17"/>
          <w:szCs w:val="17"/>
          <w:color w:val="auto"/>
        </w:rPr>
        <w:t xml:space="preserve"> BSC, LLC, a Delaware limited liability company, having its principal office at 11333 McCormick Road, Mailcode: MD5-032-07-05, Hunt Valley, Maryland 21031, as Lessor (“</w:t>
      </w:r>
      <w:r>
        <w:rPr>
          <w:rFonts w:ascii="Arial" w:cs="Arial" w:eastAsia="Arial" w:hAnsi="Arial"/>
          <w:sz w:val="17"/>
          <w:szCs w:val="17"/>
          <w:i w:val="1"/>
          <w:iCs w:val="1"/>
          <w:color w:val="auto"/>
        </w:rPr>
        <w:t>Lessor</w:t>
      </w:r>
      <w:r>
        <w:rPr>
          <w:rFonts w:ascii="Arial" w:cs="Arial" w:eastAsia="Arial" w:hAnsi="Arial"/>
          <w:sz w:val="17"/>
          <w:szCs w:val="17"/>
          <w:color w:val="auto"/>
        </w:rPr>
        <w:t>”), and O</w:t>
      </w:r>
      <w:r>
        <w:rPr>
          <w:rFonts w:ascii="Arial" w:cs="Arial" w:eastAsia="Arial" w:hAnsi="Arial"/>
          <w:sz w:val="11"/>
          <w:szCs w:val="11"/>
          <w:color w:val="auto"/>
        </w:rPr>
        <w:t>LD</w:t>
      </w:r>
      <w:r>
        <w:rPr>
          <w:rFonts w:ascii="Arial" w:cs="Arial" w:eastAsia="Arial" w:hAnsi="Arial"/>
          <w:sz w:val="17"/>
          <w:szCs w:val="17"/>
          <w:color w:val="auto"/>
        </w:rPr>
        <w:t xml:space="preserve"> S</w:t>
      </w:r>
      <w:r>
        <w:rPr>
          <w:rFonts w:ascii="Arial" w:cs="Arial" w:eastAsia="Arial" w:hAnsi="Arial"/>
          <w:sz w:val="11"/>
          <w:szCs w:val="11"/>
          <w:color w:val="auto"/>
        </w:rPr>
        <w:t>AW</w:t>
      </w:r>
      <w:r>
        <w:rPr>
          <w:rFonts w:ascii="Arial" w:cs="Arial" w:eastAsia="Arial" w:hAnsi="Arial"/>
          <w:sz w:val="17"/>
          <w:szCs w:val="17"/>
          <w:color w:val="auto"/>
        </w:rPr>
        <w:t xml:space="preserve"> M</w:t>
      </w:r>
      <w:r>
        <w:rPr>
          <w:rFonts w:ascii="Arial" w:cs="Arial" w:eastAsia="Arial" w:hAnsi="Arial"/>
          <w:sz w:val="11"/>
          <w:szCs w:val="11"/>
          <w:color w:val="auto"/>
        </w:rPr>
        <w:t>ILL</w:t>
      </w:r>
      <w:r>
        <w:rPr>
          <w:rFonts w:ascii="Arial" w:cs="Arial" w:eastAsia="Arial" w:hAnsi="Arial"/>
          <w:sz w:val="17"/>
          <w:szCs w:val="17"/>
          <w:color w:val="auto"/>
        </w:rPr>
        <w:t xml:space="preserve"> H</w:t>
      </w:r>
      <w:r>
        <w:rPr>
          <w:rFonts w:ascii="Arial" w:cs="Arial" w:eastAsia="Arial" w:hAnsi="Arial"/>
          <w:sz w:val="11"/>
          <w:szCs w:val="11"/>
          <w:color w:val="auto"/>
        </w:rPr>
        <w:t>OLDINGS</w:t>
      </w:r>
      <w:r>
        <w:rPr>
          <w:rFonts w:ascii="Arial" w:cs="Arial" w:eastAsia="Arial" w:hAnsi="Arial"/>
          <w:sz w:val="17"/>
          <w:szCs w:val="17"/>
          <w:color w:val="auto"/>
        </w:rPr>
        <w:t xml:space="preserve"> LLC, a New York limited liability company, having its principal office at 777 Old Saw Mill River Road, Tarrytown, New York 10591, as Lessee (“</w:t>
      </w:r>
      <w:r>
        <w:rPr>
          <w:rFonts w:ascii="Arial" w:cs="Arial" w:eastAsia="Arial" w:hAnsi="Arial"/>
          <w:sz w:val="17"/>
          <w:szCs w:val="17"/>
          <w:i w:val="1"/>
          <w:iCs w:val="1"/>
          <w:color w:val="auto"/>
        </w:rPr>
        <w:t>Lessee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ITNESSETH</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On March 3, 2017 (the “</w:t>
      </w:r>
      <w:r>
        <w:rPr>
          <w:rFonts w:ascii="Arial" w:cs="Arial" w:eastAsia="Arial" w:hAnsi="Arial"/>
          <w:sz w:val="17"/>
          <w:szCs w:val="17"/>
          <w:i w:val="1"/>
          <w:iCs w:val="1"/>
          <w:color w:val="auto"/>
        </w:rPr>
        <w:t>Original Closing Date</w:t>
      </w:r>
      <w:r>
        <w:rPr>
          <w:rFonts w:ascii="Arial" w:cs="Arial" w:eastAsia="Arial" w:hAnsi="Arial"/>
          <w:sz w:val="17"/>
          <w:szCs w:val="17"/>
          <w:color w:val="auto"/>
        </w:rPr>
        <w:t>”), the Lessor and Lessee entered into the Lease and Remedies Agreement, dated as of the Original Closing Date (as amended, supplemented or otherwise modified prior to the Restatement Date, the “</w:t>
      </w:r>
      <w:r>
        <w:rPr>
          <w:rFonts w:ascii="Arial" w:cs="Arial" w:eastAsia="Arial" w:hAnsi="Arial"/>
          <w:sz w:val="17"/>
          <w:szCs w:val="17"/>
          <w:i w:val="1"/>
          <w:iCs w:val="1"/>
          <w:color w:val="auto"/>
        </w:rPr>
        <w:t>Original Lease</w:t>
      </w:r>
      <w:r>
        <w:rPr>
          <w:rFonts w:ascii="Arial" w:cs="Arial" w:eastAsia="Arial" w:hAnsi="Arial"/>
          <w:sz w:val="17"/>
          <w:szCs w:val="17"/>
          <w:color w:val="auto"/>
        </w:rPr>
        <w:t>”) and the other Operative Documents (as defined in the Original Lease) pursuant to which the Participants agreed to provide financing for the Leased Property.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 On the Original Closing Date, the Lessor, through the proceeds of the Advance, purchased the Site and the Facility from Seller free and clear of all Liens other than Permitted Liens.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 (i) Lessor leased the Leased Property, inclusive of Lessor’s leasehold interest in the Site, to Lessee pursuant to the Original Lease, (ii) Lessor will continue to lease the Leased Property to Lessee pursuant to this Lease, and (ii) Lessee leased, and will continue to lease, the Leased Property from Lessor.</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 This Mortgage is given to Lessor to secure obligations from Lessee under the Operative Documents in the amount of Seven Hundred Twenty Million Dollars ($720,000,000) plus interest and all other amounts owing under the Operative Documents.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 The Lessee has requested that the Original Lease be amended and restated as set forth herein, which amendment and restatement shall become effective on the Restatement Date.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 It is the intent of the parties hereto that this Lease (i) shall amend, restate and supersede in its entirety the Original Lease and (ii) shall re-evidence the “Obligations” (under, and as defined in, the Original Lease) as contemplated hereby (and it shall not constitute a novation of the obligations and liabilities of the parties under the Original Lease or any other Operative Document).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w:t>
      </w:r>
      <w:r>
        <w:rPr>
          <w:rFonts w:ascii="Arial" w:cs="Arial" w:eastAsia="Arial" w:hAnsi="Arial"/>
          <w:sz w:val="18"/>
          <w:szCs w:val="18"/>
          <w:color w:val="auto"/>
        </w:rPr>
        <w:t>, T</w:t>
      </w:r>
      <w:r>
        <w:rPr>
          <w:rFonts w:ascii="Arial" w:cs="Arial" w:eastAsia="Arial" w:hAnsi="Arial"/>
          <w:sz w:val="12"/>
          <w:szCs w:val="12"/>
          <w:color w:val="auto"/>
        </w:rPr>
        <w:t>HEREFORE</w:t>
      </w:r>
      <w:r>
        <w:rPr>
          <w:rFonts w:ascii="Arial" w:cs="Arial" w:eastAsia="Arial" w:hAnsi="Arial"/>
          <w:sz w:val="18"/>
          <w:szCs w:val="18"/>
          <w:color w:val="auto"/>
        </w:rPr>
        <w:t>, in consideration of the foregoing, and of other good and valuable consideration, the receipt and sufficiency of which are hereby acknowledged, the parties hereto agree that the Original Lease is hereby amended and restated in its entirety as follows: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w:t>
      </w:r>
      <w:r>
        <w:rPr>
          <w:rFonts w:ascii="Arial" w:cs="Arial" w:eastAsia="Arial" w:hAnsi="Arial"/>
          <w:sz w:val="22"/>
          <w:szCs w:val="22"/>
          <w:b w:val="1"/>
          <w:bCs w:val="1"/>
          <w:color w:val="auto"/>
        </w:rPr>
        <w:t>; E</w:t>
      </w:r>
      <w:r>
        <w:rPr>
          <w:rFonts w:ascii="Arial" w:cs="Arial" w:eastAsia="Arial" w:hAnsi="Arial"/>
          <w:sz w:val="14"/>
          <w:szCs w:val="14"/>
          <w:b w:val="1"/>
          <w:bCs w:val="1"/>
          <w:color w:val="auto"/>
        </w:rPr>
        <w:t>FFECTIVENESS</w:t>
      </w:r>
    </w:p>
    <w:p>
      <w:pPr>
        <w:spacing w:after="0" w:line="2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Section 1.1. Definitions; Interpretation</w:t>
      </w:r>
      <w:r>
        <w:rPr>
          <w:rFonts w:ascii="Arial" w:cs="Arial" w:eastAsia="Arial" w:hAnsi="Arial"/>
          <w:sz w:val="18"/>
          <w:szCs w:val="18"/>
          <w:color w:val="auto"/>
        </w:rPr>
        <w:t>. For all purposes hereof, the capitalized terms used herein and not otherwise defined shall have the meanings</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thereto in Appendix 1 to that certain Amended and Restated Participation Agreement, dated as of the date hereof (as amended, restated, supplemented or otherwise modified from time to time, the “</w:t>
      </w:r>
      <w:r>
        <w:rPr>
          <w:rFonts w:ascii="Arial" w:cs="Arial" w:eastAsia="Arial" w:hAnsi="Arial"/>
          <w:sz w:val="18"/>
          <w:szCs w:val="18"/>
          <w:i w:val="1"/>
          <w:iCs w:val="1"/>
          <w:color w:val="auto"/>
        </w:rPr>
        <w:t>Participation Agreement</w:t>
      </w:r>
      <w:r>
        <w:rPr>
          <w:rFonts w:ascii="Arial" w:cs="Arial" w:eastAsia="Arial" w:hAnsi="Arial"/>
          <w:sz w:val="18"/>
          <w:szCs w:val="18"/>
          <w:color w:val="auto"/>
        </w:rPr>
        <w:t>”), among Lessee, Lessor, B</w:t>
      </w:r>
      <w:r>
        <w:rPr>
          <w:rFonts w:ascii="Arial" w:cs="Arial" w:eastAsia="Arial" w:hAnsi="Arial"/>
          <w:sz w:val="12"/>
          <w:szCs w:val="12"/>
          <w:color w:val="auto"/>
        </w:rPr>
        <w:t>ANK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N.A., not in its individual capacity except and as expressly stated therein, but solely as Administrative Agent, and the Participants from time to time party thereto; and the rules of interpretation set forth in Appendix 1 to the Participation Agreement shall apply to this Lease. All obligations imposed on the “Lessee” in this Lease shall be full recourse liabilities of Lessee.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EASE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EASED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22"/>
          <w:szCs w:val="22"/>
          <w:b w:val="1"/>
          <w:bCs w:val="1"/>
          <w:color w:val="auto"/>
        </w:rPr>
        <w:t>; T</w:t>
      </w:r>
      <w:r>
        <w:rPr>
          <w:rFonts w:ascii="Arial" w:cs="Arial" w:eastAsia="Arial" w:hAnsi="Arial"/>
          <w:sz w:val="14"/>
          <w:szCs w:val="14"/>
          <w:b w:val="1"/>
          <w:bCs w:val="1"/>
          <w:color w:val="auto"/>
        </w:rPr>
        <w:t>ERM</w:t>
      </w:r>
    </w:p>
    <w:p>
      <w:pPr>
        <w:spacing w:after="0" w:line="19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Section 2.1. Acceptance and Lease of the Leased Property</w:t>
      </w:r>
      <w:r>
        <w:rPr>
          <w:rFonts w:ascii="Arial" w:cs="Arial" w:eastAsia="Arial" w:hAnsi="Arial"/>
          <w:sz w:val="18"/>
          <w:szCs w:val="18"/>
          <w:color w:val="auto"/>
        </w:rPr>
        <w:t>. (a) Lessor, pursuant to the terms of the Operative Documents, has purchased the Site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from Sellers.</w:t>
      </w:r>
    </w:p>
    <w:p>
      <w:pPr>
        <w:spacing w:after="0" w:line="170" w:lineRule="exact"/>
        <w:rPr>
          <w:sz w:val="20"/>
          <w:szCs w:val="20"/>
          <w:color w:val="auto"/>
        </w:rPr>
      </w:pPr>
    </w:p>
    <w:p>
      <w:pPr>
        <w:jc w:val="both"/>
        <w:ind w:firstLine="656"/>
        <w:spacing w:after="0" w:line="286" w:lineRule="auto"/>
        <w:tabs>
          <w:tab w:leader="none" w:pos="913" w:val="left"/>
        </w:tabs>
        <w:numPr>
          <w:ilvl w:val="0"/>
          <w:numId w:val="162"/>
        </w:numPr>
        <w:rPr>
          <w:rFonts w:ascii="Arial" w:cs="Arial" w:eastAsia="Arial" w:hAnsi="Arial"/>
          <w:sz w:val="17"/>
          <w:szCs w:val="17"/>
          <w:color w:val="auto"/>
        </w:rPr>
      </w:pPr>
      <w:r>
        <w:rPr>
          <w:rFonts w:ascii="Arial" w:cs="Arial" w:eastAsia="Arial" w:hAnsi="Arial"/>
          <w:sz w:val="17"/>
          <w:szCs w:val="17"/>
          <w:color w:val="auto"/>
        </w:rPr>
        <w:t>Pursuant to the Original Lease, Lessor leased all of Lessor’s interest in the Leased Property to Lessee, and Lessee leased, pursuant to the terms thereof, the Leased Property from Lessor for the Term. Lessor hereby continues to lease all of Lessor’s interest in the Leased Property to Lessee hereunder, and Lessee hereby continues to lease, pursuant to the terms hereof, the Leased Property from Lessor for the Term.</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Section 2.2. Acceptance Procedure</w:t>
      </w:r>
      <w:r>
        <w:rPr>
          <w:rFonts w:ascii="Arial" w:cs="Arial" w:eastAsia="Arial" w:hAnsi="Arial"/>
          <w:sz w:val="18"/>
          <w:szCs w:val="18"/>
          <w:color w:val="auto"/>
        </w:rPr>
        <w:t>. Pursuant to the Original Lease, Lessor authorized Lessee, as the authorized representative of Lessor, to accept</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the Leased Property. Lessee agrees that Sellers’ delivery of the Site and the Facility and payment from the Advance of the Purchase Price constituted, and shall continue to constitute, (i) the irrevocable acceptance by Lessee of the Leased Property for all purposes of this Lease and the other Operative Documents on the terms set forth herein and therein and (ii) Lessee’s agreement to lease the Leased Property pursuant to the terms hereof during the Term.</w:t>
      </w:r>
    </w:p>
    <w:p>
      <w:pPr>
        <w:spacing w:after="0" w:line="18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Section 2.3. Term</w:t>
      </w:r>
      <w:r>
        <w:rPr>
          <w:rFonts w:ascii="Arial" w:cs="Arial" w:eastAsia="Arial" w:hAnsi="Arial"/>
          <w:sz w:val="16"/>
          <w:szCs w:val="16"/>
          <w:color w:val="auto"/>
        </w:rPr>
        <w:t>. Unless earlier terminated, the term of this Lease shall consist of (i) a base term (the “</w:t>
      </w:r>
      <w:r>
        <w:rPr>
          <w:rFonts w:ascii="Arial" w:cs="Arial" w:eastAsia="Arial" w:hAnsi="Arial"/>
          <w:sz w:val="16"/>
          <w:szCs w:val="16"/>
          <w:i w:val="1"/>
          <w:iCs w:val="1"/>
          <w:color w:val="auto"/>
        </w:rPr>
        <w:t>Base Term</w:t>
      </w:r>
      <w:r>
        <w:rPr>
          <w:rFonts w:ascii="Arial" w:cs="Arial" w:eastAsia="Arial" w:hAnsi="Arial"/>
          <w:sz w:val="16"/>
          <w:szCs w:val="16"/>
          <w:color w:val="auto"/>
        </w:rPr>
        <w:t>”) commencing on and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Base Term Commencement Date and ending on but not including the fifth (5th) anniversary of the Base Term Commencement Date, and, (ii) if exercised and approved pursuant to each of the terms and conditions of Section 4.7 of the Participation Agreement and exercised pursuant to the terms of this Lease, including Article XIX hereof, the Lease Renewal Term (the Base Term and the Lease Renewal Term, if any, being collectively referred to as, the “</w:t>
      </w:r>
      <w:r>
        <w:rPr>
          <w:rFonts w:ascii="Arial" w:cs="Arial" w:eastAsia="Arial" w:hAnsi="Arial"/>
          <w:sz w:val="16"/>
          <w:szCs w:val="16"/>
          <w:i w:val="1"/>
          <w:iCs w:val="1"/>
          <w:color w:val="auto"/>
        </w:rPr>
        <w:t>Term</w:t>
      </w:r>
      <w:r>
        <w:rPr>
          <w:rFonts w:ascii="Arial" w:cs="Arial" w:eastAsia="Arial" w:hAnsi="Arial"/>
          <w:sz w:val="16"/>
          <w:szCs w:val="16"/>
          <w:color w:val="auto"/>
        </w:rPr>
        <w:t>”).</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2.4. Title</w:t>
      </w:r>
      <w:r>
        <w:rPr>
          <w:rFonts w:ascii="Arial" w:cs="Arial" w:eastAsia="Arial" w:hAnsi="Arial"/>
          <w:sz w:val="18"/>
          <w:szCs w:val="18"/>
          <w:color w:val="auto"/>
        </w:rPr>
        <w:t>. The Leased Property is leased to the Lessee without any representation or warranty, express or implied, by Lessor and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of parties in possession, the existing state of title with respect thereto (including, without limitation, all Liens other than Lessor Liens) and all Applicable Laws and any violations thereof. The Lessee shall in no event have any recourse against Lessor for any defect in or exception to title to the Leased Property other than resulting from Lessor Liens created by Lessor or a breach by Lessor of its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obligations under Article XXI hereto.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AYMENT OF</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ENT</w:t>
      </w:r>
    </w:p>
    <w:p>
      <w:pPr>
        <w:spacing w:after="0" w:line="19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i w:val="1"/>
          <w:iCs w:val="1"/>
          <w:color w:val="auto"/>
        </w:rPr>
        <w:t>Section 3.1. Rent</w:t>
      </w:r>
      <w:r>
        <w:rPr>
          <w:rFonts w:ascii="Arial" w:cs="Arial" w:eastAsia="Arial" w:hAnsi="Arial"/>
          <w:sz w:val="17"/>
          <w:szCs w:val="17"/>
          <w:color w:val="auto"/>
        </w:rPr>
        <w:t>. (a) During the Term, the Lessee shall pay Basic Rent (i) on each Payment Date, (ii) on the date required under Section 20.1(j) if the</w:t>
      </w:r>
      <w:r>
        <w:rPr>
          <w:rFonts w:ascii="Arial" w:cs="Arial" w:eastAsia="Arial" w:hAnsi="Arial"/>
          <w:sz w:val="17"/>
          <w:szCs w:val="17"/>
          <w:i w:val="1"/>
          <w:iCs w:val="1"/>
          <w:color w:val="auto"/>
        </w:rPr>
        <w:t xml:space="preserve"> </w:t>
      </w:r>
      <w:r>
        <w:rPr>
          <w:rFonts w:ascii="Arial" w:cs="Arial" w:eastAsia="Arial" w:hAnsi="Arial"/>
          <w:sz w:val="17"/>
          <w:szCs w:val="17"/>
          <w:color w:val="auto"/>
        </w:rPr>
        <w:t>Lessee exercises the Sale Option and (iii) on any date on which this Lease shall terminate or expire with respect to the Leased Property.</w:t>
      </w:r>
    </w:p>
    <w:p>
      <w:pPr>
        <w:spacing w:after="0" w:line="147" w:lineRule="exact"/>
        <w:rPr>
          <w:sz w:val="20"/>
          <w:szCs w:val="20"/>
          <w:color w:val="auto"/>
        </w:rPr>
      </w:pPr>
    </w:p>
    <w:p>
      <w:pPr>
        <w:jc w:val="both"/>
        <w:ind w:firstLine="656"/>
        <w:spacing w:after="0" w:line="264" w:lineRule="auto"/>
        <w:tabs>
          <w:tab w:leader="none" w:pos="91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Lessee’s inability or failure to take possession of all or any portion of the Leased Property when accepted or deemed accepted hereunder, whether or not attributable to any act or omission of the Lessee or any act or omission of Lessor, shall not delay or otherwise affect the Lessee’s obligation to pay Rent in accordance with the terms of this Lease.</w:t>
      </w:r>
    </w:p>
    <w:p>
      <w:pPr>
        <w:spacing w:after="0" w:line="181" w:lineRule="exact"/>
        <w:rPr>
          <w:rFonts w:ascii="Arial" w:cs="Arial" w:eastAsia="Arial" w:hAnsi="Arial"/>
          <w:sz w:val="18"/>
          <w:szCs w:val="18"/>
          <w:color w:val="auto"/>
        </w:rPr>
      </w:pPr>
    </w:p>
    <w:p>
      <w:pPr>
        <w:jc w:val="both"/>
        <w:ind w:firstLine="656"/>
        <w:spacing w:after="0" w:line="288" w:lineRule="auto"/>
        <w:tabs>
          <w:tab w:leader="none" w:pos="91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Lessee shall make a payment of Supplemental Rent to Administrative Agent for the account of Lessor in an aggregate amount equal to ten percent (10%) of the Lessor Amount (the “</w:t>
      </w:r>
      <w:r>
        <w:rPr>
          <w:rFonts w:ascii="Arial" w:cs="Arial" w:eastAsia="Arial" w:hAnsi="Arial"/>
          <w:sz w:val="16"/>
          <w:szCs w:val="16"/>
          <w:i w:val="1"/>
          <w:iCs w:val="1"/>
          <w:color w:val="auto"/>
        </w:rPr>
        <w:t>Accelerated Lessor Rent Amount</w:t>
      </w:r>
      <w:r>
        <w:rPr>
          <w:rFonts w:ascii="Arial" w:cs="Arial" w:eastAsia="Arial" w:hAnsi="Arial"/>
          <w:sz w:val="16"/>
          <w:szCs w:val="16"/>
          <w:color w:val="auto"/>
        </w:rPr>
        <w:t>”), which shall be payable in equal monthly amounts on the first three (3) Payment Dates occurring after the Base Term Commencement Date. Payment of the Accelerated Lessor Rent Amount shall be applied as a Dollar for Dollar reduction of the Lessor Amount. Beginning with the fourth Payment Date after the Base Term Commencement Date, the parties to this Lease agree that Lessee shall reduce each of its payments of Basic Rent by the amount of Yield which has accrued on the Lessor Amount due and payable on such Payment Date (each such individual reduction of Basic Rent for a given Payment Date may be referred to herein as a “</w:t>
      </w:r>
      <w:r>
        <w:rPr>
          <w:rFonts w:ascii="Arial" w:cs="Arial" w:eastAsia="Arial" w:hAnsi="Arial"/>
          <w:sz w:val="16"/>
          <w:szCs w:val="16"/>
          <w:i w:val="1"/>
          <w:iCs w:val="1"/>
          <w:color w:val="auto"/>
        </w:rPr>
        <w:t>Basic Rent Adjustment</w:t>
      </w:r>
      <w:r>
        <w:rPr>
          <w:rFonts w:ascii="Arial" w:cs="Arial" w:eastAsia="Arial" w:hAnsi="Arial"/>
          <w:sz w:val="16"/>
          <w:szCs w:val="16"/>
          <w:color w:val="auto"/>
        </w:rPr>
        <w:t>”) until such time that the Cumulative Basic Rent Adjustment equals the Accelerated Lessor Rent Amount. During such time, the positive difference between the Accelerated Lessor Rent Amount and the Cumulative Basic Rent Adjustment (such amount, the “</w:t>
      </w:r>
      <w:r>
        <w:rPr>
          <w:rFonts w:ascii="Arial" w:cs="Arial" w:eastAsia="Arial" w:hAnsi="Arial"/>
          <w:sz w:val="16"/>
          <w:szCs w:val="16"/>
          <w:i w:val="1"/>
          <w:iCs w:val="1"/>
          <w:color w:val="auto"/>
        </w:rPr>
        <w:t>Lessor Shortfall Amount</w:t>
      </w:r>
      <w:r>
        <w:rPr>
          <w:rFonts w:ascii="Arial" w:cs="Arial" w:eastAsia="Arial" w:hAnsi="Arial"/>
          <w:sz w:val="16"/>
          <w:szCs w:val="16"/>
          <w:color w:val="auto"/>
        </w:rPr>
        <w:t>”) shall be credited against each subsequent payment of Basic Rent, and Lessee shall not pay any additional Basic Rent which is comprised of Yield which has accrued on the Lessor Amount until the Lessor Shortfall Amount is reduced to zero. Each such Basic Rent Adjustment shall be capitalized and shall increase the Lessor Amount on a Dollar for Dollar basis.</w:t>
      </w:r>
    </w:p>
    <w:p>
      <w:pPr>
        <w:spacing w:after="0" w:line="16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Section 3.2. Payment of Basic Rent</w:t>
      </w:r>
      <w:r>
        <w:rPr>
          <w:rFonts w:ascii="Arial" w:cs="Arial" w:eastAsia="Arial" w:hAnsi="Arial"/>
          <w:sz w:val="18"/>
          <w:szCs w:val="18"/>
          <w:color w:val="auto"/>
        </w:rPr>
        <w:t>. Basic Rent shall be paid absolutely net to Lessor, so that this Lease shall yield to Lessor the full amount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setoff, deduction or reduction.</w:t>
      </w:r>
    </w:p>
    <w:p>
      <w:pPr>
        <w:spacing w:after="0" w:line="1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Section 3.3. Supplemental Rent</w:t>
      </w:r>
      <w:r>
        <w:rPr>
          <w:rFonts w:ascii="Arial" w:cs="Arial" w:eastAsia="Arial" w:hAnsi="Arial"/>
          <w:sz w:val="17"/>
          <w:szCs w:val="17"/>
          <w:color w:val="auto"/>
        </w:rPr>
        <w:t>. The Lessee shall pay to Lessor or the Person entitled thereto any and all Supplemental Rent promptly as the same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become due and payable, and if the Lessee fails to pay any Supplemental Rent, Lessor shall have all rights, powers and remedies provided for herein or by law or equity or otherwise in the case of nonpayment of Basic 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Supplemental Rent (other than Supplemental Rent consisting of any of the Lease Balance, the Sale Option Recourse Amount, the Purchase Amount, Break Costs and any amounts payable at the Overdue Rate and any amounts payable under Article XIII of the Participation Agreement) shall not be deemed due and payable by Lessee to the Person entitled thereto unless such amount is not paid within thirty (30) days after Lessee has received written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14" w:name="page215"/>
    <w:bookmarkEnd w:id="214"/>
    <w:p>
      <w:pPr>
        <w:jc w:val="both"/>
        <w:spacing w:after="0" w:line="271" w:lineRule="auto"/>
        <w:rPr>
          <w:sz w:val="20"/>
          <w:szCs w:val="20"/>
          <w:color w:val="auto"/>
        </w:rPr>
      </w:pPr>
      <w:r>
        <w:rPr>
          <w:rFonts w:ascii="Arial" w:cs="Arial" w:eastAsia="Arial" w:hAnsi="Arial"/>
          <w:sz w:val="17"/>
          <w:szCs w:val="17"/>
          <w:color w:val="auto"/>
        </w:rPr>
        <w:t>notice of such Supplemental Rent from the Person entitled thereto. Lessee shall pay to Lessor, as Supplemental Rent, among other things, on demand, to the extent permitted by Applicable Laws, interest at the applicable Overdue Rate (i) on any installment of Basic Rent not paid when due for the period for which the same shall be overdue and (ii) on any payment of Supplemental Rent payable to Lessor or any Indemnitee not paid when due and payable as provided above for the period from the due date until the same shall be paid. The expiration or other termination of the Lessee’s obligations to pay Basic Rent hereunder shall not limit or modify the obligations of the Lessee with respect to Supplemental Rent. Unless expressly provided otherwise in this Lease, in the event of any failure on the part of the Lessee to pay and discharge any Supplemental Rent as and when due, the Lessee shall also promptly pay and discharge any fine, penalty, interest or cost which may be assessed or added under any agreement with a third party for nonpayment or late payment of such Supplemental Rent, all of which shall also constitute Supplemental Rent.</w:t>
      </w:r>
    </w:p>
    <w:p>
      <w:pPr>
        <w:spacing w:after="0" w:line="17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Section 3.4. Method of Payment</w:t>
      </w:r>
      <w:r>
        <w:rPr>
          <w:rFonts w:ascii="Arial" w:cs="Arial" w:eastAsia="Arial" w:hAnsi="Arial"/>
          <w:sz w:val="17"/>
          <w:szCs w:val="17"/>
          <w:color w:val="auto"/>
        </w:rPr>
        <w:t>. Each payment of Rent shall be made by the Lessee to the Administrative Agent prior to 12:00 noon, New York City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time, to the account at the Administrative Agent designated on Schedule III to the Participation Agreement in funds consisting of lawful currency of the United States of America which shall be immediately available on the scheduled date when such payment shall be due, unless such scheduled date shall not be a Business Day, in which case such payment shall be made on the next succeeding Business Day unless the result of such extension would be to carry into another calendar month, in which case such payment shall be made on the immediately preceding Business Day. Payments received after 12:00 noon, New York City time, on the date due shall for the purpose of Section 16.1 hereof be deemed received on such day;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the purposes of the second sentence of Section 3.3 hereof, such payments shall be deemed received on the next succeeding Business Day and subject to interest at the Overdue Rate as provided in such Section 3.3.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w:t>
      </w:r>
      <w:r>
        <w:rPr>
          <w:rFonts w:ascii="Arial" w:cs="Arial" w:eastAsia="Arial" w:hAnsi="Arial"/>
          <w:sz w:val="22"/>
          <w:szCs w:val="22"/>
          <w:b w:val="1"/>
          <w:bCs w:val="1"/>
          <w:color w:val="auto"/>
        </w:rPr>
        <w:t>-I</w:t>
      </w:r>
      <w:r>
        <w:rPr>
          <w:rFonts w:ascii="Arial" w:cs="Arial" w:eastAsia="Arial" w:hAnsi="Arial"/>
          <w:sz w:val="14"/>
          <w:szCs w:val="14"/>
          <w:b w:val="1"/>
          <w:bCs w:val="1"/>
          <w:color w:val="auto"/>
        </w:rPr>
        <w:t>NTERFERENCE</w:t>
      </w:r>
      <w:r>
        <w:rPr>
          <w:rFonts w:ascii="Arial" w:cs="Arial" w:eastAsia="Arial" w:hAnsi="Arial"/>
          <w:sz w:val="22"/>
          <w:szCs w:val="22"/>
          <w:b w:val="1"/>
          <w:bCs w:val="1"/>
          <w:color w:val="auto"/>
        </w:rPr>
        <w:t>; R</w:t>
      </w:r>
      <w:r>
        <w:rPr>
          <w:rFonts w:ascii="Arial" w:cs="Arial" w:eastAsia="Arial" w:hAnsi="Arial"/>
          <w:sz w:val="14"/>
          <w:szCs w:val="14"/>
          <w:b w:val="1"/>
          <w:bCs w:val="1"/>
          <w:color w:val="auto"/>
        </w:rPr>
        <w:t>IGHT</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NSPECT</w:t>
      </w:r>
    </w:p>
    <w:p>
      <w:pPr>
        <w:spacing w:after="0" w:line="19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Section 4.1. Non-Interference</w:t>
      </w:r>
      <w:r>
        <w:rPr>
          <w:rFonts w:ascii="Arial" w:cs="Arial" w:eastAsia="Arial" w:hAnsi="Arial"/>
          <w:sz w:val="16"/>
          <w:szCs w:val="16"/>
          <w:color w:val="auto"/>
        </w:rPr>
        <w:t>. Subject to Section 2.4 and Section 4.2 herein and subject to Lessor’s cure rights, as provided for in Section 17.1, Lessor</w:t>
      </w:r>
      <w:r>
        <w:rPr>
          <w:rFonts w:ascii="Arial" w:cs="Arial" w:eastAsia="Arial" w:hAnsi="Arial"/>
          <w:sz w:val="16"/>
          <w:szCs w:val="16"/>
          <w:i w:val="1"/>
          <w:iCs w:val="1"/>
          <w:color w:val="auto"/>
        </w:rPr>
        <w:t xml:space="preserve"> </w:t>
      </w:r>
      <w:r>
        <w:rPr>
          <w:rFonts w:ascii="Arial" w:cs="Arial" w:eastAsia="Arial" w:hAnsi="Arial"/>
          <w:sz w:val="16"/>
          <w:szCs w:val="16"/>
          <w:color w:val="auto"/>
        </w:rPr>
        <w:t>covenants that it will not interfere in Lessee’s use or possession of the Leased Property during the Term, so long as no Event of Default has occurred and is continuing, it being agreed that Lessee shall not have a right of setoff against Rent payable hereunder and Lessee’s remedies for breach of the foregoing covenant shall be limited to a claim for damages or the commencement of proceedings to enjoin such breach or seek specific performance of the covenant, as applicable. Such right is independent of and shall not affect Lessee’s obligations hereunder and under the other Operative Documents or Lessor’s rights otherwise to initiate legal action to enforce the obligations of Lessee under this Lease. The foregoing covenant shall not require Lessor to take any action contrary to, or which would permit Lessee to use the Leased Property for a use not permitted under, the provisions of this Lease.</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4.2. Inspection and Reports</w:t>
      </w:r>
      <w:r>
        <w:rPr>
          <w:rFonts w:ascii="Arial" w:cs="Arial" w:eastAsia="Arial" w:hAnsi="Arial"/>
          <w:sz w:val="18"/>
          <w:szCs w:val="18"/>
          <w:color w:val="auto"/>
        </w:rPr>
        <w:t>. (a) Upon three (3) Business Days prior notice (or one (1) Business Day prior notice during the existence of an</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Default) to Lessee and subject to the provisions of Section 15.14 of the Participation Agreement, Lessor, the Administrative Agent or their respective authorized representatives (collectively, the “</w:t>
      </w:r>
      <w:r>
        <w:rPr>
          <w:rFonts w:ascii="Arial" w:cs="Arial" w:eastAsia="Arial" w:hAnsi="Arial"/>
          <w:sz w:val="18"/>
          <w:szCs w:val="18"/>
          <w:i w:val="1"/>
          <w:iCs w:val="1"/>
          <w:color w:val="auto"/>
        </w:rPr>
        <w:t>Inspecting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15" w:name="page216"/>
    <w:bookmarkEnd w:id="215"/>
    <w:p>
      <w:pPr>
        <w:jc w:val="both"/>
        <w:spacing w:after="0" w:line="285" w:lineRule="auto"/>
        <w:rPr>
          <w:sz w:val="20"/>
          <w:szCs w:val="20"/>
          <w:color w:val="auto"/>
        </w:rPr>
      </w:pPr>
      <w:r>
        <w:rPr>
          <w:rFonts w:ascii="Arial" w:cs="Arial" w:eastAsia="Arial" w:hAnsi="Arial"/>
          <w:sz w:val="16"/>
          <w:szCs w:val="16"/>
          <w:i w:val="1"/>
          <w:iCs w:val="1"/>
          <w:color w:val="auto"/>
        </w:rPr>
        <w:t>Parties</w:t>
      </w:r>
      <w:r>
        <w:rPr>
          <w:rFonts w:ascii="Arial" w:cs="Arial" w:eastAsia="Arial" w:hAnsi="Arial"/>
          <w:sz w:val="16"/>
          <w:szCs w:val="16"/>
          <w:color w:val="auto"/>
        </w:rPr>
        <w:t>”) at any time during the Term may inspect (i) the Leased Property and (ii) the Leased Property Records and make copies and abstracts therefrom and</w:t>
      </w:r>
      <w:r>
        <w:rPr>
          <w:rFonts w:ascii="Arial" w:cs="Arial" w:eastAsia="Arial" w:hAnsi="Arial"/>
          <w:sz w:val="16"/>
          <w:szCs w:val="16"/>
          <w:i w:val="1"/>
          <w:iCs w:val="1"/>
          <w:color w:val="auto"/>
        </w:rPr>
        <w:t xml:space="preserve"> </w:t>
      </w:r>
      <w:r>
        <w:rPr>
          <w:rFonts w:ascii="Arial" w:cs="Arial" w:eastAsia="Arial" w:hAnsi="Arial"/>
          <w:sz w:val="16"/>
          <w:szCs w:val="16"/>
          <w:color w:val="auto"/>
        </w:rPr>
        <w:t>may discuss the affairs, finances and accounts with respect to the Leased Property with Lessee’s authorized representatives and Lessee’s independent public accountants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Lessee is afforded the opportunity to participate in such discussion). All such inspections shall (w) be subject to the rights of all tenants and other occupants at the Leased Property, (x) be performed during Lessee’s normal business hours, (y) be subject to Lessee’s customary safety and security provisions and any reasonable rules of inspection conduct Lessee may establish from time to time, and (z) be at the expense and risk of the Inspecting Parties, except that if an Event of Default has occurred and is continuing, Lessee shall reimburse on demand the Inspecting Parties for the reasonable and documented out-of-pocket costs of such inspections. Lessee shall have the right, at its option, to cause a representative or agent of Lessee to be present at any and all time during each such inspection. No inspection shall unreasonably interfere with Lessee’s or any tenant’s or occupant’s business or operations or otherwise unreasonably disturb the use or occupancy of the Leased Property by the Lessee or any tenants or other occupants of the Leased Property. None of the Inspecting Parties shall have any duty to make any such inspection or inquiry. None of the Inspecting Parties shall incur any liability or obligation by reason of making any such inspection or inquiry unless and to the extent such Inspecting Party causes damage to the Leased Property or any property of Lessee or any other Person during the course of such inspection. Notwithstanding anything to the contrary in this Section 4.2, Lessee will not be required to disclose, permit the inspection, examination or making of extracts, or discussion of, any documents, information or other matter that (1) constitutes non-financial trade secrets or non-financial proprietary information, (2) in respect of which disclosure to the applicable Inspecting Party (or any designated representative) is then prohibited by law, rule or regulation or any agreement binding on the Parent Guarantor, Lessee or any of their respective Subsidiaries or (3) is subject to attorney client or similar privilege or constitutes attorney work product.</w:t>
      </w:r>
    </w:p>
    <w:p>
      <w:pPr>
        <w:spacing w:after="0" w:line="178" w:lineRule="exact"/>
        <w:rPr>
          <w:sz w:val="20"/>
          <w:szCs w:val="20"/>
          <w:color w:val="auto"/>
        </w:rPr>
      </w:pPr>
    </w:p>
    <w:p>
      <w:pPr>
        <w:jc w:val="both"/>
        <w:ind w:firstLine="656"/>
        <w:spacing w:after="0" w:line="302" w:lineRule="auto"/>
        <w:tabs>
          <w:tab w:leader="none" w:pos="91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To the extent permissible under Applicable Laws, during the Term, Lessee shall prepare and file, or cause to be prepared and filed, in a timely fashion, or, where Lessor shall be required to file, Lessee shall prepare, or cause to be prepared, and make available to Lessor within a reasonable time prior to the date for filing and Lessor shall file, any reports with respect to the condition or operation of the Leased Property that shall be required to be filed with any Governmental Authority pursuant to any Applicable Laws, in each case, such preparation and filing at Lessee’s cost and expense.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ET</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EASE</w:t>
      </w:r>
      <w:r>
        <w:rPr>
          <w:rFonts w:ascii="Arial" w:cs="Arial" w:eastAsia="Arial" w:hAnsi="Arial"/>
          <w:sz w:val="22"/>
          <w:szCs w:val="22"/>
          <w:b w:val="1"/>
          <w:bCs w:val="1"/>
          <w:color w:val="auto"/>
        </w:rPr>
        <w:t>, E</w:t>
      </w:r>
      <w:r>
        <w:rPr>
          <w:rFonts w:ascii="Arial" w:cs="Arial" w:eastAsia="Arial" w:hAnsi="Arial"/>
          <w:sz w:val="14"/>
          <w:szCs w:val="14"/>
          <w:b w:val="1"/>
          <w:bCs w:val="1"/>
          <w:color w:val="auto"/>
        </w:rPr>
        <w:t>TC</w:t>
      </w:r>
      <w:r>
        <w:rPr>
          <w:rFonts w:ascii="Arial" w:cs="Arial" w:eastAsia="Arial" w:hAnsi="Arial"/>
          <w:sz w:val="22"/>
          <w:szCs w:val="22"/>
          <w:b w:val="1"/>
          <w:bCs w:val="1"/>
          <w:color w:val="auto"/>
        </w:rPr>
        <w:t>.</w:t>
      </w:r>
    </w:p>
    <w:p>
      <w:pPr>
        <w:spacing w:after="0" w:line="19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Section 5.1. Net Lease</w:t>
      </w:r>
      <w:r>
        <w:rPr>
          <w:rFonts w:ascii="Arial" w:cs="Arial" w:eastAsia="Arial" w:hAnsi="Arial"/>
          <w:sz w:val="16"/>
          <w:szCs w:val="16"/>
          <w:color w:val="auto"/>
        </w:rPr>
        <w:t>. This Lease shall constitute a net lease and Lessee’s obligations hereunder, including the obligation to pay Rent, shall be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and unconditional under any and all circumstances, subject to Lessee’s rights to contest amounts (other than Basic Rent, the Lease Balance, the Sale Option Recourse Amount or the Purchase Price) owed. Any present or future law to the contrary notwithstanding, this Lease shall not terminate, nor shall the Lessee be entitled to any abatement, suspension, deferment, reduction, setoff, counterclaim, or defense with respect to the Rent, nor shall the obligations of the Lessee hereunder be affected (except as expressly herein permitted and by performance of the obligations in connection herewith) by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16" w:name="page217"/>
    <w:bookmarkEnd w:id="216"/>
    <w:p>
      <w:pPr>
        <w:jc w:val="both"/>
        <w:spacing w:after="0" w:line="284" w:lineRule="auto"/>
        <w:rPr>
          <w:sz w:val="20"/>
          <w:szCs w:val="20"/>
          <w:color w:val="auto"/>
        </w:rPr>
      </w:pPr>
      <w:r>
        <w:rPr>
          <w:rFonts w:ascii="Arial" w:cs="Arial" w:eastAsia="Arial" w:hAnsi="Arial"/>
          <w:sz w:val="16"/>
          <w:szCs w:val="16"/>
          <w:color w:val="auto"/>
        </w:rPr>
        <w:t>reason of: (i) any defect in the condition, merchantability, design, construction, quality or fitness for use of the Leased Property or any part thereof, or the failure of the Leased Property or any part thereof to comply with all Applicable Laws, including any inability to use the Leased Property or any part thereof by reason of such non-compliance; (ii) any damage to, removal, abandonment, salvage, loss, contamination of, Release from, or other environmental condition with respect to, scrapping or destruction of or any requisition or taking of the Leased Property or any part thereof; (iii) any restriction, prevention or curtailment of or interference with any use of the Leased Property or any part thereof; (iv) any defect in title to or rights to the Leased Property or any part thereof or any Lien on such title or rights or on the Leased Property or any part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relieve any Person from its responsibility to remove Lessor Liens attributable to it); (v) any change, waiver, extension, indulgence or other action or omission or breach in respect of any obligation or liability of or by Lessor, Administrative Agent or any Participant; (vi) to the fullest extent permitted by Applicable Laws, any bankruptcy, insolvency, reorganization, composition, adjustment, dissolution, liquidation or other like proceedings relating to Lessee, Lessor, the Administrative Agent, any Participant or any other Person, or any action taken with respect to this Lease by any trustee or receiver of the Lessee, Lessor, the Administrative Agent, any Participant or any other Person, or by any court, in any such proceeding; (vii) any claim that the Lessee has or might have against any Person, including without limitation any Participant, vendor, manufacturer, contractor of or for the Leased Property or any part thereof; (viii) any failure on the part of Lessor, the Administrative Agent or any Participant to perform or comply with any of the terms of this Lease or any other Operative Document or of any other agreement; (ix) any invalidity or unenforceability or illegality or disaffirmance of this Lease against or by the Lessee or any provision hereof or any of the other Operative Documents or any provision of any thereof; (x) the impossibility or illegality of performance by Lessee, Lessor or both; (xi) any action by any court, administrative agency or other Governmental Authority; (xii) any restriction, prevention or curtailment of or interference with the use of the Leased Property or any part thereof; (xiii) the failure of Lessee or any of its Subsidiaries to achieve any accounting or tax benefits; or (xiv) any other cause or circumstances whether similar or dissimilar to the foregoing and whether or not the Lessee shall have notice or knowledge of any of the foregoing. The Lessee’s agreement in the preceding sentence shall not affect any claim, action or right the Lessee may have against any Person. The parties intend that the obligations of the Lessee hereunder shall be covenants and agreements that are separate and independent from any obligations of Lessor hereunder or under any other Operative Documents and the obligations of the Lessee shall continue unaffected unless such obligations shall have been modified or terminated in accordance with an express provision of this Lease.</w:t>
      </w:r>
    </w:p>
    <w:p>
      <w:pPr>
        <w:spacing w:after="0" w:line="39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Section 5.2. No Termination or Abatement</w:t>
      </w:r>
      <w:r>
        <w:rPr>
          <w:rFonts w:ascii="Arial" w:cs="Arial" w:eastAsia="Arial" w:hAnsi="Arial"/>
          <w:sz w:val="17"/>
          <w:szCs w:val="17"/>
          <w:color w:val="auto"/>
        </w:rPr>
        <w:t>. The Lessee shall remain obligated under this Lease in accordance with its terms and the terms of the other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Operative Documents to which Lessee or an Affiliate of Lessee is a party and shall not take any action to terminate, rescind or avoid this Lease (except as provided herein or in the other Operative Documents) to the fullest extent permitted by Applicable Laws, notwithstanding any action for bankruptcy, insolvency, reorganization, liquidation, dissolution, or other proceeding affecting Lessor, the Administrative Agent or any Participant, or any action with respect to this Lease which may be taken by any trustee, receiver or liquidator of Lessor, the Administrative Agent or any Participant or by any court with respect to Lessor, the Administrative Agent or any Participant. The Lessee hereby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17" w:name="page218"/>
    <w:bookmarkEnd w:id="217"/>
    <w:p>
      <w:pPr>
        <w:jc w:val="both"/>
        <w:spacing w:after="0" w:line="255" w:lineRule="auto"/>
        <w:rPr>
          <w:sz w:val="20"/>
          <w:szCs w:val="20"/>
          <w:color w:val="auto"/>
        </w:rPr>
      </w:pPr>
      <w:r>
        <w:rPr>
          <w:rFonts w:ascii="Arial" w:cs="Arial" w:eastAsia="Arial" w:hAnsi="Arial"/>
          <w:sz w:val="18"/>
          <w:szCs w:val="18"/>
          <w:color w:val="auto"/>
        </w:rPr>
        <w:t>waives all right to terminate or surrender this Lease (except as provided herein or in the other Operative Documents) or to avail itself of any abatement, suspension, deferment, reduction, setoff, counterclaim or defense with respect to any Rent payable to any Participant or the Administrative Agent. The Lessee shall remain obligated under this Lease in accordance with its terms and the terms of the other Operative Documents to which Lessee or an Affiliate of Lessee is a party and the Lessee hereby waives any and all rights now or hereafter conferred by statute or otherwise to modify or to avoid strict compliance with its obligations under this Lease. Notwithstanding any such statute or otherwise, the Lessee shall be bound by all of the terms and conditions contained in this Lease.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SSIGNMENTS</w:t>
      </w:r>
      <w:r>
        <w:rPr>
          <w:rFonts w:ascii="Arial" w:cs="Arial" w:eastAsia="Arial" w:hAnsi="Arial"/>
          <w:sz w:val="22"/>
          <w:szCs w:val="22"/>
          <w:b w:val="1"/>
          <w:bCs w:val="1"/>
          <w:color w:val="auto"/>
        </w:rPr>
        <w:t>; S</w:t>
      </w:r>
      <w:r>
        <w:rPr>
          <w:rFonts w:ascii="Arial" w:cs="Arial" w:eastAsia="Arial" w:hAnsi="Arial"/>
          <w:sz w:val="14"/>
          <w:szCs w:val="14"/>
          <w:b w:val="1"/>
          <w:bCs w:val="1"/>
          <w:color w:val="auto"/>
        </w:rPr>
        <w:t>UBLEASES AND</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ELEGATIONS</w:t>
      </w:r>
    </w:p>
    <w:p>
      <w:pPr>
        <w:spacing w:after="0" w:line="19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Except for assignments and subleases permitted by this Article VI and Permitted Liens, Lessee may not sublease, assign, mortgage, pledge or otherwise transfer to any Person, including a Subsidiary of Lessee, at any time, in whole or in part, any of its right, title or interest in, to or under this Lease, any other Operative Document or any portion of the Leased Property (except a purchase or sale of the Leased Property as permitted in Articles XVIII and XIX herein), in any case without the prior written consent of Lessor and the Participants and any such sublease, assignment, mortgage, pledge or transfer made without such consent shall be void. Notwithstanding the foregoing, Lessee may, without the consent of Lessor, the Administrative Agent or any of the Participants, (A) assign all of its rights in the Operative Documents to Parent Guarantor or any Domestic Subsidiary of Parent Guarantor (an “</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w:t>
      </w:r>
      <w:r>
        <w:rPr>
          <w:rFonts w:ascii="Arial" w:cs="Arial" w:eastAsia="Arial" w:hAnsi="Arial"/>
          <w:sz w:val="17"/>
          <w:szCs w:val="17"/>
          <w:i w:val="1"/>
          <w:iCs w:val="1"/>
          <w:color w:val="auto"/>
        </w:rPr>
        <w:t>Transferee</w:t>
      </w:r>
      <w:r>
        <w:rPr>
          <w:rFonts w:ascii="Arial" w:cs="Arial" w:eastAsia="Arial" w:hAnsi="Arial"/>
          <w:sz w:val="17"/>
          <w:szCs w:val="17"/>
          <w:color w:val="auto"/>
        </w:rPr>
        <w:t>”) (subject to applicable know your customer rules) so long as (i) no Event of Default has occurred and is then continuing or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immediately after giving effect thereto, (ii) the current Lessee provides a joinder to the Guaranty (in the form attached thereto) of the obligations of such Affiliate Transferee (if other than the Parent Guarantor) under the Operative Documents, and the Guaranty otherwise remains in full force and effect (including the representations, warranties and covenants of the Parent Guarantor), and (iii) such Affiliate Transferee is not subject to any bankruptcy or insolvency proceedings at the time of such assignment, and (B) the Lessee may, so long as no Event of Default exists and is continuing, enter into subleases with any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 such Person shall not then be subject to any proceedings for relief under any bankruptcy or insolvency law or laws relating to the relief of debtors; (ii) no Event of Default shall then exist; (iii) the Guaranty shall remain in full force and effect; (iv) such sublease shall not discharge or diminish any of Lessee’s obligations to Lessor hereunder or to any other Person under any other Operative Document, it being understood that Lessee shall remain directly and primarily liable under this Lease with respect to all of the Leased Property; (v) solely with respect to subleases to any Subsidiary or Affiliate of Lessee, such sublease shall not extend beyond the last day of the Term; (vi) such sublease entered into after the Original Closing Date shall be made and shall expressly provide that it is subject and subordinate to this Lease and the rights of Lessor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connection with any such sublease to a Person other than an Affiliate or Subsidiary of Lessee, and as a condition to the foregoing subordination, the sublessee shall benefit from customary non-disturbance protections, including that such sublessee not be disturbed in its occupancy of the subleased premises, and Lessor shall, at Lessee’s sole cost and expense, enter into a subordination, non-disturbance and attornment agreement in form and substance as set forth in Exhibit C attached hereto or that is otherwise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18" w:name="page219"/>
    <w:bookmarkEnd w:id="218"/>
    <w:p>
      <w:pPr>
        <w:jc w:val="both"/>
        <w:spacing w:after="0" w:line="255" w:lineRule="auto"/>
        <w:rPr>
          <w:sz w:val="20"/>
          <w:szCs w:val="20"/>
          <w:color w:val="auto"/>
        </w:rPr>
      </w:pPr>
      <w:r>
        <w:rPr>
          <w:rFonts w:ascii="Arial" w:cs="Arial" w:eastAsia="Arial" w:hAnsi="Arial"/>
          <w:sz w:val="18"/>
          <w:szCs w:val="18"/>
          <w:color w:val="auto"/>
        </w:rPr>
        <w:t xml:space="preserve">reasonably satisfactory to Lessor and Lessee to confirm the foregoing (it being understood that any such subordination, non-disturbance and attornment agreement that was in effect immediately prior to the Restatement Date pursuant to the Original Lease shall not be required to be re-executed or modified in connection with the restatement of the Original Lease on the Restatement Date); (vii) such sublease contains market terms and conditions and permits a use that is consistent with existing use of the Leased Property; and (viii) any such sublease to any Person who is not either an Affiliate or Subsidiary of Lessee, when aggregated with all other subleases to Persons who are not either Affiliates or Subsidiaries of Lessee, shall not exceed thirty percent (30%) of the square footage of the gross leaseable area of the Leased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the foregoing threshold, the Home Depot Ground Lease shall not be taken into account.</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Lessee shall give Lessor prompt written notice of any assignment or sublease permitted under this Article VI, and Lessee shall, within fifteen (15) days after execution of any such assignment or sublease, deliver to the Administrative Agent a fully executed copy of such assignment or sublease and a certificate regarding compliance with the foregoing conditions. Lessee shall perform, at its sole cost and expense, any and all obligations with respect to each lease or sublease, as the case may be, for any portion of the Leased Property, whether such lease or sublease was in effect as of the Original Closing Date, is in effect as of the Restatement Date or is entered into thereafter.</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any provision of this Lease or any of the other Operative Documents to the contrary, Lessee may, without the consent to Lessor, the Administrative Agent or any of the Participants, amend, restate, modify, supplement, extend, terminate or waive the terms of any sublease subject to the requirements of this Article VI.</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an Event of Default has occurred and is continuing and Lessee receives written notice from Lessor or the Administrative Agent directing Lessee to pay to Administrative Agent any rents, issues, revenues, profits or other income (including all deposits of money as advanced rent or for security) received by Lessee under any sublease, Lessee shall have the right to retain, use and enjoy such income, and upon the cure of any such Event of Default, Lessee shall resume the right to receive, retain, use and enjoy such income.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ESSEE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CKNOWLEDGMENTS</w:t>
      </w:r>
    </w:p>
    <w:p>
      <w:pPr>
        <w:spacing w:after="0" w:line="195"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2"/>
          <w:szCs w:val="12"/>
          <w:i w:val="1"/>
          <w:iCs w:val="1"/>
          <w:color w:val="auto"/>
        </w:rPr>
        <w:t>ECTION</w:t>
      </w:r>
      <w:r>
        <w:rPr>
          <w:rFonts w:ascii="Arial" w:cs="Arial" w:eastAsia="Arial" w:hAnsi="Arial"/>
          <w:sz w:val="18"/>
          <w:szCs w:val="18"/>
          <w:i w:val="1"/>
          <w:iCs w:val="1"/>
          <w:color w:val="auto"/>
        </w:rPr>
        <w:t xml:space="preserve"> 7.1. C</w:t>
      </w:r>
      <w:r>
        <w:rPr>
          <w:rFonts w:ascii="Arial" w:cs="Arial" w:eastAsia="Arial" w:hAnsi="Arial"/>
          <w:sz w:val="12"/>
          <w:szCs w:val="12"/>
          <w:i w:val="1"/>
          <w:iCs w:val="1"/>
          <w:color w:val="auto"/>
        </w:rPr>
        <w:t>ONDITION OF THE</w:t>
      </w:r>
      <w:r>
        <w:rPr>
          <w:rFonts w:ascii="Arial" w:cs="Arial" w:eastAsia="Arial" w:hAnsi="Arial"/>
          <w:sz w:val="18"/>
          <w:szCs w:val="18"/>
          <w:i w:val="1"/>
          <w:iCs w:val="1"/>
          <w:color w:val="auto"/>
        </w:rPr>
        <w:t xml:space="preserve"> L</w:t>
      </w:r>
      <w:r>
        <w:rPr>
          <w:rFonts w:ascii="Arial" w:cs="Arial" w:eastAsia="Arial" w:hAnsi="Arial"/>
          <w:sz w:val="12"/>
          <w:szCs w:val="12"/>
          <w:i w:val="1"/>
          <w:iCs w:val="1"/>
          <w:color w:val="auto"/>
        </w:rPr>
        <w:t>EASED</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ROPERTY</w:t>
      </w:r>
      <w:r>
        <w:rPr>
          <w:rFonts w:ascii="Arial" w:cs="Arial" w:eastAsia="Arial" w:hAnsi="Arial"/>
          <w:sz w:val="18"/>
          <w:szCs w:val="18"/>
          <w:color w:val="auto"/>
        </w:rPr>
        <w:t>. T</w:t>
      </w:r>
      <w:r>
        <w:rPr>
          <w:rFonts w:ascii="Arial" w:cs="Arial" w:eastAsia="Arial" w:hAnsi="Arial"/>
          <w:sz w:val="12"/>
          <w:szCs w:val="12"/>
          <w:color w:val="auto"/>
        </w:rPr>
        <w:t>HE</w:t>
      </w:r>
      <w:r>
        <w:rPr>
          <w:rFonts w:ascii="Arial" w:cs="Arial" w:eastAsia="Arial" w:hAnsi="Arial"/>
          <w:sz w:val="18"/>
          <w:szCs w:val="18"/>
          <w:i w:val="1"/>
          <w:iCs w:val="1"/>
          <w:color w:val="auto"/>
        </w:rPr>
        <w:t xml:space="preserve"> </w:t>
      </w:r>
      <w:r>
        <w:rPr>
          <w:rFonts w:ascii="Arial" w:cs="Arial" w:eastAsia="Arial" w:hAnsi="Arial"/>
          <w:sz w:val="18"/>
          <w:szCs w:val="18"/>
          <w:color w:val="auto"/>
        </w:rPr>
        <w:t>L</w:t>
      </w:r>
      <w:r>
        <w:rPr>
          <w:rFonts w:ascii="Arial" w:cs="Arial" w:eastAsia="Arial" w:hAnsi="Arial"/>
          <w:sz w:val="12"/>
          <w:szCs w:val="12"/>
          <w:color w:val="auto"/>
        </w:rPr>
        <w:t>ESSEE ACKNOWLEDGES AND AGREES THAT ALTHOUGH</w:t>
      </w:r>
      <w:r>
        <w:rPr>
          <w:rFonts w:ascii="Arial" w:cs="Arial" w:eastAsia="Arial" w:hAnsi="Arial"/>
          <w:sz w:val="18"/>
          <w:szCs w:val="18"/>
          <w:i w:val="1"/>
          <w:iCs w:val="1"/>
          <w:color w:val="auto"/>
        </w:rPr>
        <w:t xml:space="preserve"> </w:t>
      </w:r>
      <w:r>
        <w:rPr>
          <w:rFonts w:ascii="Arial" w:cs="Arial" w:eastAsia="Arial" w:hAnsi="Arial"/>
          <w:sz w:val="18"/>
          <w:szCs w:val="18"/>
          <w:color w:val="auto"/>
        </w:rPr>
        <w:t>L</w:t>
      </w:r>
      <w:r>
        <w:rPr>
          <w:rFonts w:ascii="Arial" w:cs="Arial" w:eastAsia="Arial" w:hAnsi="Arial"/>
          <w:sz w:val="12"/>
          <w:szCs w:val="12"/>
          <w:color w:val="auto"/>
        </w:rPr>
        <w:t>ESSOR WILL OWN AND HOLD RECORD TITLE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w:t>
      </w:r>
      <w:r>
        <w:rPr>
          <w:rFonts w:ascii="Arial" w:cs="Arial" w:eastAsia="Arial" w:hAnsi="Arial"/>
          <w:sz w:val="12"/>
          <w:szCs w:val="12"/>
          <w:color w:val="auto"/>
        </w:rPr>
        <w:t>EASED</w:t>
      </w:r>
      <w:r>
        <w:rPr>
          <w:rFonts w:ascii="Arial" w:cs="Arial" w:eastAsia="Arial" w:hAnsi="Arial"/>
          <w:sz w:val="18"/>
          <w:szCs w:val="18"/>
          <w:i w:val="1"/>
          <w:iCs w:val="1"/>
          <w:color w:val="auto"/>
        </w:rPr>
        <w:t xml:space="preserve"> </w:t>
      </w:r>
      <w:r>
        <w:rPr>
          <w:rFonts w:ascii="Arial" w:cs="Arial" w:eastAsia="Arial" w:hAnsi="Arial"/>
          <w:sz w:val="18"/>
          <w:szCs w:val="18"/>
          <w:color w:val="auto"/>
        </w:rPr>
        <w:t>P</w:t>
      </w:r>
      <w:r>
        <w:rPr>
          <w:rFonts w:ascii="Arial" w:cs="Arial" w:eastAsia="Arial" w:hAnsi="Arial"/>
          <w:sz w:val="12"/>
          <w:szCs w:val="12"/>
          <w:color w:val="auto"/>
        </w:rPr>
        <w:t>ROPERTY</w:t>
      </w:r>
      <w:r>
        <w:rPr>
          <w:rFonts w:ascii="Arial" w:cs="Arial" w:eastAsia="Arial" w:hAnsi="Arial"/>
          <w:sz w:val="18"/>
          <w:szCs w:val="18"/>
          <w:color w:val="auto"/>
        </w:rPr>
        <w:t xml:space="preserve">, </w:t>
      </w:r>
      <w:r>
        <w:rPr>
          <w:rFonts w:ascii="Arial" w:cs="Arial" w:eastAsia="Arial" w:hAnsi="Arial"/>
          <w:sz w:val="12"/>
          <w:szCs w:val="12"/>
          <w:color w:val="auto"/>
        </w:rPr>
        <w:t>THE</w:t>
      </w:r>
      <w:r>
        <w:rPr>
          <w:rFonts w:ascii="Arial" w:cs="Arial" w:eastAsia="Arial" w:hAnsi="Arial"/>
          <w:sz w:val="18"/>
          <w:szCs w:val="18"/>
          <w:color w:val="auto"/>
        </w:rPr>
        <w:t xml:space="preserve"> L</w:t>
      </w:r>
      <w:r>
        <w:rPr>
          <w:rFonts w:ascii="Arial" w:cs="Arial" w:eastAsia="Arial" w:hAnsi="Arial"/>
          <w:sz w:val="12"/>
          <w:szCs w:val="12"/>
          <w:color w:val="auto"/>
        </w:rPr>
        <w:t>ESSEE</w:t>
      </w:r>
      <w:r>
        <w:rPr>
          <w:rFonts w:ascii="Arial" w:cs="Arial" w:eastAsia="Arial" w:hAnsi="Arial"/>
          <w:sz w:val="18"/>
          <w:szCs w:val="18"/>
          <w:color w:val="auto"/>
        </w:rPr>
        <w:t xml:space="preserve">, </w:t>
      </w:r>
      <w:r>
        <w:rPr>
          <w:rFonts w:ascii="Arial" w:cs="Arial" w:eastAsia="Arial" w:hAnsi="Arial"/>
          <w:sz w:val="12"/>
          <w:szCs w:val="12"/>
          <w:color w:val="auto"/>
        </w:rPr>
        <w:t>ACTING AS</w:t>
      </w:r>
      <w:r>
        <w:rPr>
          <w:rFonts w:ascii="Arial" w:cs="Arial" w:eastAsia="Arial" w:hAnsi="Arial"/>
          <w:sz w:val="18"/>
          <w:szCs w:val="18"/>
          <w:color w:val="auto"/>
        </w:rPr>
        <w:t xml:space="preserve"> A</w:t>
      </w:r>
      <w:r>
        <w:rPr>
          <w:rFonts w:ascii="Arial" w:cs="Arial" w:eastAsia="Arial" w:hAnsi="Arial"/>
          <w:sz w:val="12"/>
          <w:szCs w:val="12"/>
          <w:color w:val="auto"/>
        </w:rPr>
        <w:t>GENT PURSUANT TO THE POWER OF ATTORNEY GRANTED TO THE</w:t>
      </w:r>
      <w:r>
        <w:rPr>
          <w:rFonts w:ascii="Arial" w:cs="Arial" w:eastAsia="Arial" w:hAnsi="Arial"/>
          <w:sz w:val="18"/>
          <w:szCs w:val="18"/>
          <w:color w:val="auto"/>
        </w:rPr>
        <w:t xml:space="preserve"> L</w:t>
      </w:r>
      <w:r>
        <w:rPr>
          <w:rFonts w:ascii="Arial" w:cs="Arial" w:eastAsia="Arial" w:hAnsi="Arial"/>
          <w:sz w:val="12"/>
          <w:szCs w:val="12"/>
          <w:color w:val="auto"/>
        </w:rPr>
        <w:t>ESSEE BY</w:t>
      </w:r>
      <w:r>
        <w:rPr>
          <w:rFonts w:ascii="Arial" w:cs="Arial" w:eastAsia="Arial" w:hAnsi="Arial"/>
          <w:sz w:val="18"/>
          <w:szCs w:val="18"/>
          <w:color w:val="auto"/>
        </w:rPr>
        <w:t xml:space="preserve"> L</w:t>
      </w:r>
      <w:r>
        <w:rPr>
          <w:rFonts w:ascii="Arial" w:cs="Arial" w:eastAsia="Arial" w:hAnsi="Arial"/>
          <w:sz w:val="12"/>
          <w:szCs w:val="12"/>
          <w:color w:val="auto"/>
        </w:rPr>
        <w:t>ESSOR HEREUNDER</w:t>
      </w:r>
      <w:r>
        <w:rPr>
          <w:rFonts w:ascii="Arial" w:cs="Arial" w:eastAsia="Arial" w:hAnsi="Arial"/>
          <w:sz w:val="18"/>
          <w:szCs w:val="18"/>
          <w:color w:val="auto"/>
        </w:rPr>
        <w:t xml:space="preserve">, </w:t>
      </w:r>
      <w:r>
        <w:rPr>
          <w:rFonts w:ascii="Arial" w:cs="Arial" w:eastAsia="Arial" w:hAnsi="Arial"/>
          <w:sz w:val="12"/>
          <w:szCs w:val="12"/>
          <w:color w:val="auto"/>
        </w:rPr>
        <w:t>IS SOLELY RESPONSIBLE FOR ANY ALTERATIONS</w:t>
      </w:r>
      <w:r>
        <w:rPr>
          <w:rFonts w:ascii="Arial" w:cs="Arial" w:eastAsia="Arial" w:hAnsi="Arial"/>
          <w:sz w:val="18"/>
          <w:szCs w:val="18"/>
          <w:color w:val="auto"/>
        </w:rPr>
        <w:t xml:space="preserve"> </w:t>
      </w:r>
      <w:r>
        <w:rPr>
          <w:rFonts w:ascii="Arial" w:cs="Arial" w:eastAsia="Arial" w:hAnsi="Arial"/>
          <w:sz w:val="12"/>
          <w:szCs w:val="12"/>
          <w:color w:val="auto"/>
        </w:rPr>
        <w:t xml:space="preserve">OR MODIFICATIONS AND ALL ACTIVITIES CONDUCTED IN CONNECTION THEREWITH INCLUDING THE OBTAINING OF ALL PERMITS REQUIRED IN ACCORDANCE WITH </w:t>
      </w:r>
      <w:r>
        <w:rPr>
          <w:rFonts w:ascii="Arial" w:cs="Arial" w:eastAsia="Arial" w:hAnsi="Arial"/>
          <w:sz w:val="18"/>
          <w:szCs w:val="18"/>
          <w:color w:val="auto"/>
        </w:rPr>
        <w:t>A</w:t>
      </w:r>
      <w:r>
        <w:rPr>
          <w:rFonts w:ascii="Arial" w:cs="Arial" w:eastAsia="Arial" w:hAnsi="Arial"/>
          <w:sz w:val="12"/>
          <w:szCs w:val="12"/>
          <w:color w:val="auto"/>
        </w:rPr>
        <w:t xml:space="preserve">PPLICABLE </w:t>
      </w:r>
      <w:r>
        <w:rPr>
          <w:rFonts w:ascii="Arial" w:cs="Arial" w:eastAsia="Arial" w:hAnsi="Arial"/>
          <w:sz w:val="18"/>
          <w:szCs w:val="18"/>
          <w:color w:val="auto"/>
        </w:rPr>
        <w:t>L</w:t>
      </w:r>
      <w:r>
        <w:rPr>
          <w:rFonts w:ascii="Arial" w:cs="Arial" w:eastAsia="Arial" w:hAnsi="Arial"/>
          <w:sz w:val="12"/>
          <w:szCs w:val="12"/>
          <w:color w:val="auto"/>
        </w:rPr>
        <w:t>AW</w:t>
      </w:r>
      <w:r>
        <w:rPr>
          <w:rFonts w:ascii="Arial" w:cs="Arial" w:eastAsia="Arial" w:hAnsi="Arial"/>
          <w:sz w:val="18"/>
          <w:szCs w:val="18"/>
          <w:color w:val="auto"/>
        </w:rPr>
        <w:t>. T</w:t>
      </w:r>
      <w:r>
        <w:rPr>
          <w:rFonts w:ascii="Arial" w:cs="Arial" w:eastAsia="Arial" w:hAnsi="Arial"/>
          <w:sz w:val="12"/>
          <w:szCs w:val="12"/>
          <w:color w:val="auto"/>
        </w:rPr>
        <w:t xml:space="preserve">HE </w:t>
      </w:r>
      <w:r>
        <w:rPr>
          <w:rFonts w:ascii="Arial" w:cs="Arial" w:eastAsia="Arial" w:hAnsi="Arial"/>
          <w:sz w:val="18"/>
          <w:szCs w:val="18"/>
          <w:color w:val="auto"/>
        </w:rPr>
        <w:t>L</w:t>
      </w:r>
      <w:r>
        <w:rPr>
          <w:rFonts w:ascii="Arial" w:cs="Arial" w:eastAsia="Arial" w:hAnsi="Arial"/>
          <w:sz w:val="12"/>
          <w:szCs w:val="12"/>
          <w:color w:val="auto"/>
        </w:rPr>
        <w:t>ESSEE FURTHER ACKNOWLEDGES AND AGREES THAT IT IS LEASING THE</w:t>
      </w:r>
      <w:r>
        <w:rPr>
          <w:rFonts w:ascii="Arial" w:cs="Arial" w:eastAsia="Arial" w:hAnsi="Arial"/>
          <w:sz w:val="18"/>
          <w:szCs w:val="18"/>
          <w:color w:val="auto"/>
        </w:rPr>
        <w:t xml:space="preserve"> L</w:t>
      </w:r>
      <w:r>
        <w:rPr>
          <w:rFonts w:ascii="Arial" w:cs="Arial" w:eastAsia="Arial" w:hAnsi="Arial"/>
          <w:sz w:val="12"/>
          <w:szCs w:val="12"/>
          <w:color w:val="auto"/>
        </w:rPr>
        <w:t>EASED</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w:t>
      </w:r>
      <w:r>
        <w:rPr>
          <w:rFonts w:ascii="Arial" w:cs="Arial" w:eastAsia="Arial" w:hAnsi="Arial"/>
          <w:sz w:val="12"/>
          <w:szCs w:val="12"/>
          <w:color w:val="auto"/>
        </w:rPr>
        <w:t>AS IS</w:t>
      </w:r>
      <w:r>
        <w:rPr>
          <w:rFonts w:ascii="Arial" w:cs="Arial" w:eastAsia="Arial" w:hAnsi="Arial"/>
          <w:sz w:val="18"/>
          <w:szCs w:val="18"/>
          <w:color w:val="auto"/>
        </w:rPr>
        <w:t xml:space="preserve">” </w:t>
      </w:r>
      <w:r>
        <w:rPr>
          <w:rFonts w:ascii="Arial" w:cs="Arial" w:eastAsia="Arial" w:hAnsi="Arial"/>
          <w:sz w:val="12"/>
          <w:szCs w:val="12"/>
          <w:color w:val="auto"/>
        </w:rPr>
        <w:t>WITHOUT REPRESENTATION</w:t>
      </w:r>
      <w:r>
        <w:rPr>
          <w:rFonts w:ascii="Arial" w:cs="Arial" w:eastAsia="Arial" w:hAnsi="Arial"/>
          <w:sz w:val="18"/>
          <w:szCs w:val="18"/>
          <w:color w:val="auto"/>
        </w:rPr>
        <w:t xml:space="preserve">, </w:t>
      </w:r>
      <w:r>
        <w:rPr>
          <w:rFonts w:ascii="Arial" w:cs="Arial" w:eastAsia="Arial" w:hAnsi="Arial"/>
          <w:sz w:val="12"/>
          <w:szCs w:val="12"/>
          <w:color w:val="auto"/>
        </w:rPr>
        <w:t>WARRANTY OR COVENANT</w:t>
      </w:r>
      <w:r>
        <w:rPr>
          <w:rFonts w:ascii="Arial" w:cs="Arial" w:eastAsia="Arial" w:hAnsi="Arial"/>
          <w:sz w:val="18"/>
          <w:szCs w:val="18"/>
          <w:color w:val="auto"/>
        </w:rPr>
        <w:t xml:space="preserve"> (</w:t>
      </w:r>
      <w:r>
        <w:rPr>
          <w:rFonts w:ascii="Arial" w:cs="Arial" w:eastAsia="Arial" w:hAnsi="Arial"/>
          <w:sz w:val="12"/>
          <w:szCs w:val="12"/>
          <w:color w:val="auto"/>
        </w:rPr>
        <w:t>EXPRESS OR IMPLIED</w:t>
      </w:r>
      <w:r>
        <w:rPr>
          <w:rFonts w:ascii="Arial" w:cs="Arial" w:eastAsia="Arial" w:hAnsi="Arial"/>
          <w:sz w:val="18"/>
          <w:szCs w:val="18"/>
          <w:color w:val="auto"/>
        </w:rPr>
        <w:t xml:space="preserve">) </w:t>
      </w:r>
      <w:r>
        <w:rPr>
          <w:rFonts w:ascii="Arial" w:cs="Arial" w:eastAsia="Arial" w:hAnsi="Arial"/>
          <w:sz w:val="12"/>
          <w:szCs w:val="12"/>
          <w:color w:val="auto"/>
        </w:rPr>
        <w:t>BY</w:t>
      </w:r>
      <w:r>
        <w:rPr>
          <w:rFonts w:ascii="Arial" w:cs="Arial" w:eastAsia="Arial" w:hAnsi="Arial"/>
          <w:sz w:val="18"/>
          <w:szCs w:val="18"/>
          <w:color w:val="auto"/>
        </w:rPr>
        <w:t xml:space="preserve"> L</w:t>
      </w:r>
      <w:r>
        <w:rPr>
          <w:rFonts w:ascii="Arial" w:cs="Arial" w:eastAsia="Arial" w:hAnsi="Arial"/>
          <w:sz w:val="12"/>
          <w:szCs w:val="12"/>
          <w:color w:val="auto"/>
        </w:rPr>
        <w:t>ESSOR</w:t>
      </w:r>
      <w:r>
        <w:rPr>
          <w:rFonts w:ascii="Arial" w:cs="Arial" w:eastAsia="Arial" w:hAnsi="Arial"/>
          <w:sz w:val="18"/>
          <w:szCs w:val="18"/>
          <w:color w:val="auto"/>
        </w:rPr>
        <w:t xml:space="preserve">, </w:t>
      </w:r>
      <w:r>
        <w:rPr>
          <w:rFonts w:ascii="Arial" w:cs="Arial" w:eastAsia="Arial" w:hAnsi="Arial"/>
          <w:sz w:val="12"/>
          <w:szCs w:val="12"/>
          <w:color w:val="auto"/>
        </w:rPr>
        <w:t>THE</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 OR THE</w:t>
      </w:r>
      <w:r>
        <w:rPr>
          <w:rFonts w:ascii="Arial" w:cs="Arial" w:eastAsia="Arial" w:hAnsi="Arial"/>
          <w:sz w:val="18"/>
          <w:szCs w:val="18"/>
          <w:color w:val="auto"/>
        </w:rPr>
        <w:t xml:space="preserve"> P</w:t>
      </w:r>
      <w:r>
        <w:rPr>
          <w:rFonts w:ascii="Arial" w:cs="Arial" w:eastAsia="Arial" w:hAnsi="Arial"/>
          <w:sz w:val="12"/>
          <w:szCs w:val="12"/>
          <w:color w:val="auto"/>
        </w:rPr>
        <w:t>ARTICIPANTS AND IN EACH CASE SUBJECT TO</w:t>
      </w:r>
      <w:r>
        <w:rPr>
          <w:rFonts w:ascii="Arial" w:cs="Arial" w:eastAsia="Arial" w:hAnsi="Arial"/>
          <w:sz w:val="18"/>
          <w:szCs w:val="18"/>
          <w:color w:val="auto"/>
        </w:rPr>
        <w:t xml:space="preserve"> (</w:t>
      </w:r>
      <w:r>
        <w:rPr>
          <w:rFonts w:ascii="Arial" w:cs="Arial" w:eastAsia="Arial" w:hAnsi="Arial"/>
          <w:sz w:val="12"/>
          <w:szCs w:val="12"/>
          <w:color w:val="auto"/>
        </w:rPr>
        <w:t>A</w:t>
      </w:r>
      <w:r>
        <w:rPr>
          <w:rFonts w:ascii="Arial" w:cs="Arial" w:eastAsia="Arial" w:hAnsi="Arial"/>
          <w:sz w:val="18"/>
          <w:szCs w:val="18"/>
          <w:color w:val="auto"/>
        </w:rPr>
        <w:t xml:space="preserve">) </w:t>
      </w:r>
      <w:r>
        <w:rPr>
          <w:rFonts w:ascii="Arial" w:cs="Arial" w:eastAsia="Arial" w:hAnsi="Arial"/>
          <w:sz w:val="12"/>
          <w:szCs w:val="12"/>
          <w:color w:val="auto"/>
        </w:rPr>
        <w:t>THE EXISTING STATE OF TITLE</w:t>
      </w:r>
      <w:r>
        <w:rPr>
          <w:rFonts w:ascii="Arial" w:cs="Arial" w:eastAsia="Arial" w:hAnsi="Arial"/>
          <w:sz w:val="18"/>
          <w:szCs w:val="18"/>
          <w:color w:val="auto"/>
        </w:rPr>
        <w:t xml:space="preserve"> (</w:t>
      </w:r>
      <w:r>
        <w:rPr>
          <w:rFonts w:ascii="Arial" w:cs="Arial" w:eastAsia="Arial" w:hAnsi="Arial"/>
          <w:sz w:val="12"/>
          <w:szCs w:val="12"/>
          <w:color w:val="auto"/>
        </w:rPr>
        <w:t>EXCLUDING</w:t>
      </w:r>
      <w:r>
        <w:rPr>
          <w:rFonts w:ascii="Arial" w:cs="Arial" w:eastAsia="Arial" w:hAnsi="Arial"/>
          <w:sz w:val="18"/>
          <w:szCs w:val="18"/>
          <w:color w:val="auto"/>
        </w:rPr>
        <w:t xml:space="preserve"> L</w:t>
      </w:r>
      <w:r>
        <w:rPr>
          <w:rFonts w:ascii="Arial" w:cs="Arial" w:eastAsia="Arial" w:hAnsi="Arial"/>
          <w:sz w:val="12"/>
          <w:szCs w:val="12"/>
          <w:color w:val="auto"/>
        </w:rPr>
        <w:t>ESSOR</w:t>
      </w:r>
      <w:r>
        <w:rPr>
          <w:rFonts w:ascii="Arial" w:cs="Arial" w:eastAsia="Arial" w:hAnsi="Arial"/>
          <w:sz w:val="18"/>
          <w:szCs w:val="18"/>
          <w:color w:val="auto"/>
        </w:rPr>
        <w:t xml:space="preserve"> L</w:t>
      </w:r>
      <w:r>
        <w:rPr>
          <w:rFonts w:ascii="Arial" w:cs="Arial" w:eastAsia="Arial" w:hAnsi="Arial"/>
          <w:sz w:val="12"/>
          <w:szCs w:val="12"/>
          <w:color w:val="auto"/>
        </w:rPr>
        <w:t>IENS</w:t>
      </w:r>
      <w:r>
        <w:rPr>
          <w:rFonts w:ascii="Arial" w:cs="Arial" w:eastAsia="Arial" w:hAnsi="Arial"/>
          <w:sz w:val="18"/>
          <w:szCs w:val="18"/>
          <w:color w:val="auto"/>
        </w:rPr>
        <w:t>), (</w:t>
      </w:r>
      <w:r>
        <w:rPr>
          <w:rFonts w:ascii="Arial" w:cs="Arial" w:eastAsia="Arial" w:hAnsi="Arial"/>
          <w:sz w:val="12"/>
          <w:szCs w:val="12"/>
          <w:color w:val="auto"/>
        </w:rPr>
        <w:t>B</w:t>
      </w:r>
      <w:r>
        <w:rPr>
          <w:rFonts w:ascii="Arial" w:cs="Arial" w:eastAsia="Arial" w:hAnsi="Arial"/>
          <w:sz w:val="18"/>
          <w:szCs w:val="18"/>
          <w:color w:val="auto"/>
        </w:rPr>
        <w:t xml:space="preserve">) </w:t>
      </w:r>
      <w:r>
        <w:rPr>
          <w:rFonts w:ascii="Arial" w:cs="Arial" w:eastAsia="Arial" w:hAnsi="Arial"/>
          <w:sz w:val="12"/>
          <w:szCs w:val="12"/>
          <w:color w:val="auto"/>
        </w:rPr>
        <w:t>THE RIGHTS OF ANY</w:t>
      </w:r>
      <w:r>
        <w:rPr>
          <w:rFonts w:ascii="Arial" w:cs="Arial" w:eastAsia="Arial" w:hAnsi="Arial"/>
          <w:sz w:val="18"/>
          <w:szCs w:val="18"/>
          <w:color w:val="auto"/>
        </w:rPr>
        <w:t xml:space="preserve"> </w:t>
      </w:r>
      <w:r>
        <w:rPr>
          <w:rFonts w:ascii="Arial" w:cs="Arial" w:eastAsia="Arial" w:hAnsi="Arial"/>
          <w:sz w:val="12"/>
          <w:szCs w:val="12"/>
          <w:color w:val="auto"/>
        </w:rPr>
        <w:t>PARTIES IN POSSESSION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19" w:name="page220"/>
    <w:bookmarkEnd w:id="219"/>
    <w:p>
      <w:pPr>
        <w:jc w:val="both"/>
        <w:spacing w:after="0" w:line="253" w:lineRule="auto"/>
        <w:rPr>
          <w:sz w:val="20"/>
          <w:szCs w:val="20"/>
          <w:color w:val="auto"/>
        </w:rPr>
      </w:pPr>
      <w:r>
        <w:rPr>
          <w:rFonts w:ascii="Arial" w:cs="Arial" w:eastAsia="Arial" w:hAnsi="Arial"/>
          <w:sz w:val="12"/>
          <w:szCs w:val="12"/>
          <w:color w:val="auto"/>
        </w:rPr>
        <w:t>THEREOF</w:t>
      </w:r>
      <w:r>
        <w:rPr>
          <w:rFonts w:ascii="Arial" w:cs="Arial" w:eastAsia="Arial" w:hAnsi="Arial"/>
          <w:sz w:val="18"/>
          <w:szCs w:val="18"/>
          <w:color w:val="auto"/>
        </w:rPr>
        <w:t>, (</w:t>
      </w:r>
      <w:r>
        <w:rPr>
          <w:rFonts w:ascii="Arial" w:cs="Arial" w:eastAsia="Arial" w:hAnsi="Arial"/>
          <w:sz w:val="12"/>
          <w:szCs w:val="12"/>
          <w:color w:val="auto"/>
        </w:rPr>
        <w:t>C</w:t>
      </w:r>
      <w:r>
        <w:rPr>
          <w:rFonts w:ascii="Arial" w:cs="Arial" w:eastAsia="Arial" w:hAnsi="Arial"/>
          <w:sz w:val="18"/>
          <w:szCs w:val="18"/>
          <w:color w:val="auto"/>
        </w:rPr>
        <w:t>)</w:t>
      </w:r>
      <w:r>
        <w:rPr>
          <w:rFonts w:ascii="Arial" w:cs="Arial" w:eastAsia="Arial" w:hAnsi="Arial"/>
          <w:sz w:val="12"/>
          <w:szCs w:val="12"/>
          <w:color w:val="auto"/>
        </w:rPr>
        <w:t xml:space="preserve"> ANY STATE OF FACTS WHICH AN ACCURATE SURVEY OR A PHYSICAL INSPECTION MIGHT SHOW AND </w:t>
      </w:r>
      <w:r>
        <w:rPr>
          <w:rFonts w:ascii="Arial" w:cs="Arial" w:eastAsia="Arial" w:hAnsi="Arial"/>
          <w:sz w:val="18"/>
          <w:szCs w:val="18"/>
          <w:color w:val="auto"/>
        </w:rPr>
        <w:t>(</w:t>
      </w:r>
      <w:r>
        <w:rPr>
          <w:rFonts w:ascii="Arial" w:cs="Arial" w:eastAsia="Arial" w:hAnsi="Arial"/>
          <w:sz w:val="12"/>
          <w:szCs w:val="12"/>
          <w:color w:val="auto"/>
        </w:rPr>
        <w:t>D</w:t>
      </w:r>
      <w:r>
        <w:rPr>
          <w:rFonts w:ascii="Arial" w:cs="Arial" w:eastAsia="Arial" w:hAnsi="Arial"/>
          <w:sz w:val="18"/>
          <w:szCs w:val="18"/>
          <w:color w:val="auto"/>
        </w:rPr>
        <w:t>)</w:t>
      </w:r>
      <w:r>
        <w:rPr>
          <w:rFonts w:ascii="Arial" w:cs="Arial" w:eastAsia="Arial" w:hAnsi="Arial"/>
          <w:sz w:val="12"/>
          <w:szCs w:val="12"/>
          <w:color w:val="auto"/>
        </w:rPr>
        <w:t xml:space="preserve"> VIOLATIONS OF REQUIREMENTS OF </w:t>
      </w:r>
      <w:r>
        <w:rPr>
          <w:rFonts w:ascii="Arial" w:cs="Arial" w:eastAsia="Arial" w:hAnsi="Arial"/>
          <w:sz w:val="18"/>
          <w:szCs w:val="18"/>
          <w:color w:val="auto"/>
        </w:rPr>
        <w:t>A</w:t>
      </w:r>
      <w:r>
        <w:rPr>
          <w:rFonts w:ascii="Arial" w:cs="Arial" w:eastAsia="Arial" w:hAnsi="Arial"/>
          <w:sz w:val="12"/>
          <w:szCs w:val="12"/>
          <w:color w:val="auto"/>
        </w:rPr>
        <w:t xml:space="preserve">PPLICABLE </w:t>
      </w:r>
      <w:r>
        <w:rPr>
          <w:rFonts w:ascii="Arial" w:cs="Arial" w:eastAsia="Arial" w:hAnsi="Arial"/>
          <w:sz w:val="18"/>
          <w:szCs w:val="18"/>
          <w:color w:val="auto"/>
        </w:rPr>
        <w:t>L</w:t>
      </w:r>
      <w:r>
        <w:rPr>
          <w:rFonts w:ascii="Arial" w:cs="Arial" w:eastAsia="Arial" w:hAnsi="Arial"/>
          <w:sz w:val="12"/>
          <w:szCs w:val="12"/>
          <w:color w:val="auto"/>
        </w:rPr>
        <w:t xml:space="preserve">AW WITH RESPECT TO THE </w:t>
      </w:r>
      <w:r>
        <w:rPr>
          <w:rFonts w:ascii="Arial" w:cs="Arial" w:eastAsia="Arial" w:hAnsi="Arial"/>
          <w:sz w:val="18"/>
          <w:szCs w:val="18"/>
          <w:color w:val="auto"/>
        </w:rPr>
        <w:t>L</w:t>
      </w:r>
      <w:r>
        <w:rPr>
          <w:rFonts w:ascii="Arial" w:cs="Arial" w:eastAsia="Arial" w:hAnsi="Arial"/>
          <w:sz w:val="12"/>
          <w:szCs w:val="12"/>
          <w:color w:val="auto"/>
        </w:rPr>
        <w:t xml:space="preserve">EASED </w:t>
      </w:r>
      <w:r>
        <w:rPr>
          <w:rFonts w:ascii="Arial" w:cs="Arial" w:eastAsia="Arial" w:hAnsi="Arial"/>
          <w:sz w:val="18"/>
          <w:szCs w:val="18"/>
          <w:color w:val="auto"/>
        </w:rPr>
        <w:t>P</w:t>
      </w:r>
      <w:r>
        <w:rPr>
          <w:rFonts w:ascii="Arial" w:cs="Arial" w:eastAsia="Arial" w:hAnsi="Arial"/>
          <w:sz w:val="12"/>
          <w:szCs w:val="12"/>
          <w:color w:val="auto"/>
        </w:rPr>
        <w:t>ROPERTY</w:t>
      </w:r>
      <w:r>
        <w:rPr>
          <w:rFonts w:ascii="Arial" w:cs="Arial" w:eastAsia="Arial" w:hAnsi="Arial"/>
          <w:sz w:val="18"/>
          <w:szCs w:val="18"/>
          <w:color w:val="auto"/>
        </w:rPr>
        <w:t>, L</w:t>
      </w:r>
      <w:r>
        <w:rPr>
          <w:rFonts w:ascii="Arial" w:cs="Arial" w:eastAsia="Arial" w:hAnsi="Arial"/>
          <w:sz w:val="12"/>
          <w:szCs w:val="12"/>
          <w:color w:val="auto"/>
        </w:rPr>
        <w:t xml:space="preserve">ESSEE OR ITS OPERATIONS ON OR WITH RESPECT TO THE </w:t>
      </w:r>
      <w:r>
        <w:rPr>
          <w:rFonts w:ascii="Arial" w:cs="Arial" w:eastAsia="Arial" w:hAnsi="Arial"/>
          <w:sz w:val="18"/>
          <w:szCs w:val="18"/>
          <w:color w:val="auto"/>
        </w:rPr>
        <w:t>L</w:t>
      </w:r>
      <w:r>
        <w:rPr>
          <w:rFonts w:ascii="Arial" w:cs="Arial" w:eastAsia="Arial" w:hAnsi="Arial"/>
          <w:sz w:val="12"/>
          <w:szCs w:val="12"/>
          <w:color w:val="auto"/>
        </w:rPr>
        <w:t xml:space="preserve">EASED </w:t>
      </w:r>
      <w:r>
        <w:rPr>
          <w:rFonts w:ascii="Arial" w:cs="Arial" w:eastAsia="Arial" w:hAnsi="Arial"/>
          <w:sz w:val="18"/>
          <w:szCs w:val="18"/>
          <w:color w:val="auto"/>
        </w:rPr>
        <w:t>P</w:t>
      </w:r>
      <w:r>
        <w:rPr>
          <w:rFonts w:ascii="Arial" w:cs="Arial" w:eastAsia="Arial" w:hAnsi="Arial"/>
          <w:sz w:val="12"/>
          <w:szCs w:val="12"/>
          <w:color w:val="auto"/>
        </w:rPr>
        <w:t>ROPERTY WHICH MAY EXIST ON THE DATE HEREOF OR HEREAFTER</w:t>
      </w:r>
      <w:r>
        <w:rPr>
          <w:rFonts w:ascii="Arial" w:cs="Arial" w:eastAsia="Arial" w:hAnsi="Arial"/>
          <w:sz w:val="18"/>
          <w:szCs w:val="18"/>
          <w:color w:val="auto"/>
        </w:rPr>
        <w:t>. N</w:t>
      </w:r>
      <w:r>
        <w:rPr>
          <w:rFonts w:ascii="Arial" w:cs="Arial" w:eastAsia="Arial" w:hAnsi="Arial"/>
          <w:sz w:val="12"/>
          <w:szCs w:val="12"/>
          <w:color w:val="auto"/>
        </w:rPr>
        <w:t xml:space="preserve">ONE OF </w:t>
      </w:r>
      <w:r>
        <w:rPr>
          <w:rFonts w:ascii="Arial" w:cs="Arial" w:eastAsia="Arial" w:hAnsi="Arial"/>
          <w:sz w:val="18"/>
          <w:szCs w:val="18"/>
          <w:color w:val="auto"/>
        </w:rPr>
        <w:t>L</w:t>
      </w:r>
      <w:r>
        <w:rPr>
          <w:rFonts w:ascii="Arial" w:cs="Arial" w:eastAsia="Arial" w:hAnsi="Arial"/>
          <w:sz w:val="12"/>
          <w:szCs w:val="12"/>
          <w:color w:val="auto"/>
        </w:rPr>
        <w:t>ESSOR</w:t>
      </w:r>
      <w:r>
        <w:rPr>
          <w:rFonts w:ascii="Arial" w:cs="Arial" w:eastAsia="Arial" w:hAnsi="Arial"/>
          <w:sz w:val="18"/>
          <w:szCs w:val="18"/>
          <w:color w:val="auto"/>
        </w:rPr>
        <w:t xml:space="preserve">, </w:t>
      </w:r>
      <w:r>
        <w:rPr>
          <w:rFonts w:ascii="Arial" w:cs="Arial" w:eastAsia="Arial" w:hAnsi="Arial"/>
          <w:sz w:val="12"/>
          <w:szCs w:val="12"/>
          <w:color w:val="auto"/>
        </w:rPr>
        <w:t>THE</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 OR THE</w:t>
      </w:r>
      <w:r>
        <w:rPr>
          <w:rFonts w:ascii="Arial" w:cs="Arial" w:eastAsia="Arial" w:hAnsi="Arial"/>
          <w:sz w:val="18"/>
          <w:szCs w:val="18"/>
          <w:color w:val="auto"/>
        </w:rPr>
        <w:t xml:space="preserve"> P</w:t>
      </w:r>
      <w:r>
        <w:rPr>
          <w:rFonts w:ascii="Arial" w:cs="Arial" w:eastAsia="Arial" w:hAnsi="Arial"/>
          <w:sz w:val="12"/>
          <w:szCs w:val="12"/>
          <w:color w:val="auto"/>
        </w:rPr>
        <w:t>ARTICIPANTS HAS MADE OR SHALL BE DEEMED TO HAVE MADE ANY REPRESENTATION</w:t>
      </w:r>
      <w:r>
        <w:rPr>
          <w:rFonts w:ascii="Arial" w:cs="Arial" w:eastAsia="Arial" w:hAnsi="Arial"/>
          <w:sz w:val="18"/>
          <w:szCs w:val="18"/>
          <w:color w:val="auto"/>
        </w:rPr>
        <w:t xml:space="preserve">, </w:t>
      </w:r>
      <w:r>
        <w:rPr>
          <w:rFonts w:ascii="Arial" w:cs="Arial" w:eastAsia="Arial" w:hAnsi="Arial"/>
          <w:sz w:val="12"/>
          <w:szCs w:val="12"/>
          <w:color w:val="auto"/>
        </w:rPr>
        <w:t>WARRANTY OR COVENANT</w:t>
      </w:r>
      <w:r>
        <w:rPr>
          <w:rFonts w:ascii="Arial" w:cs="Arial" w:eastAsia="Arial" w:hAnsi="Arial"/>
          <w:sz w:val="18"/>
          <w:szCs w:val="18"/>
          <w:color w:val="auto"/>
        </w:rPr>
        <w:t xml:space="preserve"> (</w:t>
      </w:r>
      <w:r>
        <w:rPr>
          <w:rFonts w:ascii="Arial" w:cs="Arial" w:eastAsia="Arial" w:hAnsi="Arial"/>
          <w:sz w:val="12"/>
          <w:szCs w:val="12"/>
          <w:color w:val="auto"/>
        </w:rPr>
        <w:t>EXPRESS OR IMPLIED</w:t>
      </w:r>
      <w:r>
        <w:rPr>
          <w:rFonts w:ascii="Arial" w:cs="Arial" w:eastAsia="Arial" w:hAnsi="Arial"/>
          <w:sz w:val="18"/>
          <w:szCs w:val="18"/>
          <w:color w:val="auto"/>
        </w:rPr>
        <w:t xml:space="preserve"> </w:t>
      </w:r>
      <w:r>
        <w:rPr>
          <w:rFonts w:ascii="Arial" w:cs="Arial" w:eastAsia="Arial" w:hAnsi="Arial"/>
          <w:sz w:val="12"/>
          <w:szCs w:val="12"/>
          <w:color w:val="auto"/>
        </w:rPr>
        <w:t xml:space="preserve">EXCEPT AS EXPRESSLY PROVIDED IN THE </w:t>
      </w:r>
      <w:r>
        <w:rPr>
          <w:rFonts w:ascii="Arial" w:cs="Arial" w:eastAsia="Arial" w:hAnsi="Arial"/>
          <w:sz w:val="18"/>
          <w:szCs w:val="18"/>
          <w:color w:val="auto"/>
        </w:rPr>
        <w:t>O</w:t>
      </w:r>
      <w:r>
        <w:rPr>
          <w:rFonts w:ascii="Arial" w:cs="Arial" w:eastAsia="Arial" w:hAnsi="Arial"/>
          <w:sz w:val="12"/>
          <w:szCs w:val="12"/>
          <w:color w:val="auto"/>
        </w:rPr>
        <w:t xml:space="preserve">PERATIVE </w:t>
      </w:r>
      <w:r>
        <w:rPr>
          <w:rFonts w:ascii="Arial" w:cs="Arial" w:eastAsia="Arial" w:hAnsi="Arial"/>
          <w:sz w:val="18"/>
          <w:szCs w:val="18"/>
          <w:color w:val="auto"/>
        </w:rPr>
        <w:t>D</w:t>
      </w:r>
      <w:r>
        <w:rPr>
          <w:rFonts w:ascii="Arial" w:cs="Arial" w:eastAsia="Arial" w:hAnsi="Arial"/>
          <w:sz w:val="12"/>
          <w:szCs w:val="12"/>
          <w:color w:val="auto"/>
        </w:rPr>
        <w:t>OCUMENTS</w:t>
      </w:r>
      <w:r>
        <w:rPr>
          <w:rFonts w:ascii="Arial" w:cs="Arial" w:eastAsia="Arial" w:hAnsi="Arial"/>
          <w:sz w:val="18"/>
          <w:szCs w:val="18"/>
          <w:color w:val="auto"/>
        </w:rPr>
        <w:t>)</w:t>
      </w:r>
      <w:r>
        <w:rPr>
          <w:rFonts w:ascii="Arial" w:cs="Arial" w:eastAsia="Arial" w:hAnsi="Arial"/>
          <w:sz w:val="12"/>
          <w:szCs w:val="12"/>
          <w:color w:val="auto"/>
        </w:rPr>
        <w:t xml:space="preserve"> OR SHALL BE DEEMED TO HAVE ANY LIABILITY WHATSOEVER AS TO THE TITLE </w:t>
      </w:r>
      <w:r>
        <w:rPr>
          <w:rFonts w:ascii="Arial" w:cs="Arial" w:eastAsia="Arial" w:hAnsi="Arial"/>
          <w:sz w:val="18"/>
          <w:szCs w:val="18"/>
          <w:color w:val="auto"/>
        </w:rPr>
        <w:t>(</w:t>
      </w:r>
      <w:r>
        <w:rPr>
          <w:rFonts w:ascii="Arial" w:cs="Arial" w:eastAsia="Arial" w:hAnsi="Arial"/>
          <w:sz w:val="12"/>
          <w:szCs w:val="12"/>
          <w:color w:val="auto"/>
        </w:rPr>
        <w:t xml:space="preserve">OTHER THAN FOR </w:t>
      </w:r>
      <w:r>
        <w:rPr>
          <w:rFonts w:ascii="Arial" w:cs="Arial" w:eastAsia="Arial" w:hAnsi="Arial"/>
          <w:sz w:val="18"/>
          <w:szCs w:val="18"/>
          <w:color w:val="auto"/>
        </w:rPr>
        <w:t>L</w:t>
      </w:r>
      <w:r>
        <w:rPr>
          <w:rFonts w:ascii="Arial" w:cs="Arial" w:eastAsia="Arial" w:hAnsi="Arial"/>
          <w:sz w:val="12"/>
          <w:szCs w:val="12"/>
          <w:color w:val="auto"/>
        </w:rPr>
        <w:t xml:space="preserve">ESSOR </w:t>
      </w:r>
      <w:r>
        <w:rPr>
          <w:rFonts w:ascii="Arial" w:cs="Arial" w:eastAsia="Arial" w:hAnsi="Arial"/>
          <w:sz w:val="18"/>
          <w:szCs w:val="18"/>
          <w:color w:val="auto"/>
        </w:rPr>
        <w:t>L</w:t>
      </w:r>
      <w:r>
        <w:rPr>
          <w:rFonts w:ascii="Arial" w:cs="Arial" w:eastAsia="Arial" w:hAnsi="Arial"/>
          <w:sz w:val="12"/>
          <w:szCs w:val="12"/>
          <w:color w:val="auto"/>
        </w:rPr>
        <w:t>IENS</w:t>
      </w:r>
      <w:r>
        <w:rPr>
          <w:rFonts w:ascii="Arial" w:cs="Arial" w:eastAsia="Arial" w:hAnsi="Arial"/>
          <w:sz w:val="18"/>
          <w:szCs w:val="18"/>
          <w:color w:val="auto"/>
        </w:rPr>
        <w:t>),</w:t>
      </w:r>
      <w:r>
        <w:rPr>
          <w:rFonts w:ascii="Arial" w:cs="Arial" w:eastAsia="Arial" w:hAnsi="Arial"/>
          <w:sz w:val="12"/>
          <w:szCs w:val="12"/>
          <w:color w:val="auto"/>
        </w:rPr>
        <w:t xml:space="preserve"> VALUE</w:t>
      </w:r>
      <w:r>
        <w:rPr>
          <w:rFonts w:ascii="Arial" w:cs="Arial" w:eastAsia="Arial" w:hAnsi="Arial"/>
          <w:sz w:val="18"/>
          <w:szCs w:val="18"/>
          <w:color w:val="auto"/>
        </w:rPr>
        <w:t>,</w:t>
      </w:r>
      <w:r>
        <w:rPr>
          <w:rFonts w:ascii="Arial" w:cs="Arial" w:eastAsia="Arial" w:hAnsi="Arial"/>
          <w:sz w:val="12"/>
          <w:szCs w:val="12"/>
          <w:color w:val="auto"/>
        </w:rPr>
        <w:t xml:space="preserve"> HABITABILITY</w:t>
      </w:r>
      <w:r>
        <w:rPr>
          <w:rFonts w:ascii="Arial" w:cs="Arial" w:eastAsia="Arial" w:hAnsi="Arial"/>
          <w:sz w:val="18"/>
          <w:szCs w:val="18"/>
          <w:color w:val="auto"/>
        </w:rPr>
        <w:t>,</w:t>
      </w:r>
      <w:r>
        <w:rPr>
          <w:rFonts w:ascii="Arial" w:cs="Arial" w:eastAsia="Arial" w:hAnsi="Arial"/>
          <w:sz w:val="12"/>
          <w:szCs w:val="12"/>
          <w:color w:val="auto"/>
        </w:rPr>
        <w:t xml:space="preserve"> USE</w:t>
      </w:r>
      <w:r>
        <w:rPr>
          <w:rFonts w:ascii="Arial" w:cs="Arial" w:eastAsia="Arial" w:hAnsi="Arial"/>
          <w:sz w:val="18"/>
          <w:szCs w:val="18"/>
          <w:color w:val="auto"/>
        </w:rPr>
        <w:t>,</w:t>
      </w:r>
      <w:r>
        <w:rPr>
          <w:rFonts w:ascii="Arial" w:cs="Arial" w:eastAsia="Arial" w:hAnsi="Arial"/>
          <w:sz w:val="12"/>
          <w:szCs w:val="12"/>
          <w:color w:val="auto"/>
        </w:rPr>
        <w:t xml:space="preserve"> CONDITION </w:t>
      </w:r>
      <w:r>
        <w:rPr>
          <w:rFonts w:ascii="Arial" w:cs="Arial" w:eastAsia="Arial" w:hAnsi="Arial"/>
          <w:sz w:val="18"/>
          <w:szCs w:val="18"/>
          <w:color w:val="auto"/>
        </w:rPr>
        <w:t>(</w:t>
      </w:r>
      <w:r>
        <w:rPr>
          <w:rFonts w:ascii="Arial" w:cs="Arial" w:eastAsia="Arial" w:hAnsi="Arial"/>
          <w:sz w:val="12"/>
          <w:szCs w:val="12"/>
          <w:color w:val="auto"/>
        </w:rPr>
        <w:t>INCLUDING ENVIRONMENTAL CONDITION</w:t>
      </w:r>
      <w:r>
        <w:rPr>
          <w:rFonts w:ascii="Arial" w:cs="Arial" w:eastAsia="Arial" w:hAnsi="Arial"/>
          <w:sz w:val="18"/>
          <w:szCs w:val="18"/>
          <w:color w:val="auto"/>
        </w:rPr>
        <w:t>),</w:t>
      </w:r>
      <w:r>
        <w:rPr>
          <w:rFonts w:ascii="Arial" w:cs="Arial" w:eastAsia="Arial" w:hAnsi="Arial"/>
          <w:sz w:val="12"/>
          <w:szCs w:val="12"/>
          <w:color w:val="auto"/>
        </w:rPr>
        <w:t xml:space="preserve"> DESIGN</w:t>
      </w:r>
      <w:r>
        <w:rPr>
          <w:rFonts w:ascii="Arial" w:cs="Arial" w:eastAsia="Arial" w:hAnsi="Arial"/>
          <w:sz w:val="18"/>
          <w:szCs w:val="18"/>
          <w:color w:val="auto"/>
        </w:rPr>
        <w:t>,</w:t>
      </w:r>
      <w:r>
        <w:rPr>
          <w:rFonts w:ascii="Arial" w:cs="Arial" w:eastAsia="Arial" w:hAnsi="Arial"/>
          <w:sz w:val="12"/>
          <w:szCs w:val="12"/>
          <w:color w:val="auto"/>
        </w:rPr>
        <w:t xml:space="preserve"> OPERATION</w:t>
      </w:r>
      <w:r>
        <w:rPr>
          <w:rFonts w:ascii="Arial" w:cs="Arial" w:eastAsia="Arial" w:hAnsi="Arial"/>
          <w:sz w:val="18"/>
          <w:szCs w:val="18"/>
          <w:color w:val="auto"/>
        </w:rPr>
        <w:t>,</w:t>
      </w:r>
      <w:r>
        <w:rPr>
          <w:rFonts w:ascii="Arial" w:cs="Arial" w:eastAsia="Arial" w:hAnsi="Arial"/>
          <w:sz w:val="12"/>
          <w:szCs w:val="12"/>
          <w:color w:val="auto"/>
        </w:rPr>
        <w:t xml:space="preserve"> OR FITNESS FOR USE OF THE </w:t>
      </w:r>
      <w:r>
        <w:rPr>
          <w:rFonts w:ascii="Arial" w:cs="Arial" w:eastAsia="Arial" w:hAnsi="Arial"/>
          <w:sz w:val="18"/>
          <w:szCs w:val="18"/>
          <w:color w:val="auto"/>
        </w:rPr>
        <w:t>L</w:t>
      </w:r>
      <w:r>
        <w:rPr>
          <w:rFonts w:ascii="Arial" w:cs="Arial" w:eastAsia="Arial" w:hAnsi="Arial"/>
          <w:sz w:val="12"/>
          <w:szCs w:val="12"/>
          <w:color w:val="auto"/>
        </w:rPr>
        <w:t xml:space="preserve">EASED </w:t>
      </w:r>
      <w:r>
        <w:rPr>
          <w:rFonts w:ascii="Arial" w:cs="Arial" w:eastAsia="Arial" w:hAnsi="Arial"/>
          <w:sz w:val="18"/>
          <w:szCs w:val="18"/>
          <w:color w:val="auto"/>
        </w:rPr>
        <w:t>P</w:t>
      </w:r>
      <w:r>
        <w:rPr>
          <w:rFonts w:ascii="Arial" w:cs="Arial" w:eastAsia="Arial" w:hAnsi="Arial"/>
          <w:sz w:val="12"/>
          <w:szCs w:val="12"/>
          <w:color w:val="auto"/>
        </w:rPr>
        <w:t xml:space="preserve">ROPERTY </w:t>
      </w:r>
      <w:r>
        <w:rPr>
          <w:rFonts w:ascii="Arial" w:cs="Arial" w:eastAsia="Arial" w:hAnsi="Arial"/>
          <w:sz w:val="18"/>
          <w:szCs w:val="18"/>
          <w:color w:val="auto"/>
        </w:rPr>
        <w:t>(</w:t>
      </w:r>
      <w:r>
        <w:rPr>
          <w:rFonts w:ascii="Arial" w:cs="Arial" w:eastAsia="Arial" w:hAnsi="Arial"/>
          <w:sz w:val="12"/>
          <w:szCs w:val="12"/>
          <w:color w:val="auto"/>
        </w:rPr>
        <w:t>OR ANY PART THEREOF</w:t>
      </w:r>
      <w:r>
        <w:rPr>
          <w:rFonts w:ascii="Arial" w:cs="Arial" w:eastAsia="Arial" w:hAnsi="Arial"/>
          <w:sz w:val="18"/>
          <w:szCs w:val="18"/>
          <w:color w:val="auto"/>
        </w:rPr>
        <w:t>),</w:t>
      </w:r>
      <w:r>
        <w:rPr>
          <w:rFonts w:ascii="Arial" w:cs="Arial" w:eastAsia="Arial" w:hAnsi="Arial"/>
          <w:sz w:val="12"/>
          <w:szCs w:val="12"/>
          <w:color w:val="auto"/>
        </w:rPr>
        <w:t xml:space="preserve"> OR ANY OTHER REPRESENTATION</w:t>
      </w:r>
      <w:r>
        <w:rPr>
          <w:rFonts w:ascii="Arial" w:cs="Arial" w:eastAsia="Arial" w:hAnsi="Arial"/>
          <w:sz w:val="18"/>
          <w:szCs w:val="18"/>
          <w:color w:val="auto"/>
        </w:rPr>
        <w:t>,</w:t>
      </w:r>
      <w:r>
        <w:rPr>
          <w:rFonts w:ascii="Arial" w:cs="Arial" w:eastAsia="Arial" w:hAnsi="Arial"/>
          <w:sz w:val="12"/>
          <w:szCs w:val="12"/>
          <w:color w:val="auto"/>
        </w:rPr>
        <w:t xml:space="preserve"> WARRANTY OR COVENANT WHATSOEVER</w:t>
      </w:r>
      <w:r>
        <w:rPr>
          <w:rFonts w:ascii="Arial" w:cs="Arial" w:eastAsia="Arial" w:hAnsi="Arial"/>
          <w:sz w:val="18"/>
          <w:szCs w:val="18"/>
          <w:color w:val="auto"/>
        </w:rPr>
        <w:t>,</w:t>
      </w:r>
      <w:r>
        <w:rPr>
          <w:rFonts w:ascii="Arial" w:cs="Arial" w:eastAsia="Arial" w:hAnsi="Arial"/>
          <w:sz w:val="12"/>
          <w:szCs w:val="12"/>
          <w:color w:val="auto"/>
        </w:rPr>
        <w:t xml:space="preserve"> EXPRESS OR IMPLIED</w:t>
      </w:r>
      <w:r>
        <w:rPr>
          <w:rFonts w:ascii="Arial" w:cs="Arial" w:eastAsia="Arial" w:hAnsi="Arial"/>
          <w:sz w:val="18"/>
          <w:szCs w:val="18"/>
          <w:color w:val="auto"/>
        </w:rPr>
        <w:t>,</w:t>
      </w:r>
      <w:r>
        <w:rPr>
          <w:rFonts w:ascii="Arial" w:cs="Arial" w:eastAsia="Arial" w:hAnsi="Arial"/>
          <w:sz w:val="12"/>
          <w:szCs w:val="12"/>
          <w:color w:val="auto"/>
        </w:rPr>
        <w:t xml:space="preserve"> WITH RESPECT TO THE </w:t>
      </w:r>
      <w:r>
        <w:rPr>
          <w:rFonts w:ascii="Arial" w:cs="Arial" w:eastAsia="Arial" w:hAnsi="Arial"/>
          <w:sz w:val="18"/>
          <w:szCs w:val="18"/>
          <w:color w:val="auto"/>
        </w:rPr>
        <w:t>L</w:t>
      </w:r>
      <w:r>
        <w:rPr>
          <w:rFonts w:ascii="Arial" w:cs="Arial" w:eastAsia="Arial" w:hAnsi="Arial"/>
          <w:sz w:val="12"/>
          <w:szCs w:val="12"/>
          <w:color w:val="auto"/>
        </w:rPr>
        <w:t xml:space="preserve">EASED </w:t>
      </w:r>
      <w:r>
        <w:rPr>
          <w:rFonts w:ascii="Arial" w:cs="Arial" w:eastAsia="Arial" w:hAnsi="Arial"/>
          <w:sz w:val="18"/>
          <w:szCs w:val="18"/>
          <w:color w:val="auto"/>
        </w:rPr>
        <w:t>P</w:t>
      </w:r>
      <w:r>
        <w:rPr>
          <w:rFonts w:ascii="Arial" w:cs="Arial" w:eastAsia="Arial" w:hAnsi="Arial"/>
          <w:sz w:val="12"/>
          <w:szCs w:val="12"/>
          <w:color w:val="auto"/>
        </w:rPr>
        <w:t xml:space="preserve">ROPERTY </w:t>
      </w:r>
      <w:r>
        <w:rPr>
          <w:rFonts w:ascii="Arial" w:cs="Arial" w:eastAsia="Arial" w:hAnsi="Arial"/>
          <w:sz w:val="18"/>
          <w:szCs w:val="18"/>
          <w:color w:val="auto"/>
        </w:rPr>
        <w:t>(</w:t>
      </w:r>
      <w:r>
        <w:rPr>
          <w:rFonts w:ascii="Arial" w:cs="Arial" w:eastAsia="Arial" w:hAnsi="Arial"/>
          <w:sz w:val="12"/>
          <w:szCs w:val="12"/>
          <w:color w:val="auto"/>
        </w:rPr>
        <w:t>OR ANY PART THEREOF</w:t>
      </w:r>
      <w:r>
        <w:rPr>
          <w:rFonts w:ascii="Arial" w:cs="Arial" w:eastAsia="Arial" w:hAnsi="Arial"/>
          <w:sz w:val="18"/>
          <w:szCs w:val="18"/>
          <w:color w:val="auto"/>
        </w:rPr>
        <w:t>)</w:t>
      </w:r>
      <w:r>
        <w:rPr>
          <w:rFonts w:ascii="Arial" w:cs="Arial" w:eastAsia="Arial" w:hAnsi="Arial"/>
          <w:sz w:val="12"/>
          <w:szCs w:val="12"/>
          <w:color w:val="auto"/>
        </w:rPr>
        <w:t xml:space="preserve"> AND NONE OF</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ESSOR</w:t>
      </w:r>
      <w:r>
        <w:rPr>
          <w:rFonts w:ascii="Arial" w:cs="Arial" w:eastAsia="Arial" w:hAnsi="Arial"/>
          <w:sz w:val="18"/>
          <w:szCs w:val="18"/>
          <w:color w:val="auto"/>
        </w:rPr>
        <w:t xml:space="preserve">, </w:t>
      </w:r>
      <w:r>
        <w:rPr>
          <w:rFonts w:ascii="Arial" w:cs="Arial" w:eastAsia="Arial" w:hAnsi="Arial"/>
          <w:sz w:val="12"/>
          <w:szCs w:val="12"/>
          <w:color w:val="auto"/>
        </w:rPr>
        <w:t>THE</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 OR ANY OF THE</w:t>
      </w:r>
      <w:r>
        <w:rPr>
          <w:rFonts w:ascii="Arial" w:cs="Arial" w:eastAsia="Arial" w:hAnsi="Arial"/>
          <w:sz w:val="18"/>
          <w:szCs w:val="18"/>
          <w:color w:val="auto"/>
        </w:rPr>
        <w:t xml:space="preserve"> P</w:t>
      </w:r>
      <w:r>
        <w:rPr>
          <w:rFonts w:ascii="Arial" w:cs="Arial" w:eastAsia="Arial" w:hAnsi="Arial"/>
          <w:sz w:val="12"/>
          <w:szCs w:val="12"/>
          <w:color w:val="auto"/>
        </w:rPr>
        <w:t>ARTICIPANTS SHALL BE LIABLE FOR ANY LATENT</w:t>
      </w:r>
      <w:r>
        <w:rPr>
          <w:rFonts w:ascii="Arial" w:cs="Arial" w:eastAsia="Arial" w:hAnsi="Arial"/>
          <w:sz w:val="18"/>
          <w:szCs w:val="18"/>
          <w:color w:val="auto"/>
        </w:rPr>
        <w:t xml:space="preserve">, </w:t>
      </w:r>
      <w:r>
        <w:rPr>
          <w:rFonts w:ascii="Arial" w:cs="Arial" w:eastAsia="Arial" w:hAnsi="Arial"/>
          <w:sz w:val="12"/>
          <w:szCs w:val="12"/>
          <w:color w:val="auto"/>
        </w:rPr>
        <w:t>HIDDEN</w:t>
      </w:r>
      <w:r>
        <w:rPr>
          <w:rFonts w:ascii="Arial" w:cs="Arial" w:eastAsia="Arial" w:hAnsi="Arial"/>
          <w:sz w:val="18"/>
          <w:szCs w:val="18"/>
          <w:color w:val="auto"/>
        </w:rPr>
        <w:t xml:space="preserve">, </w:t>
      </w:r>
      <w:r>
        <w:rPr>
          <w:rFonts w:ascii="Arial" w:cs="Arial" w:eastAsia="Arial" w:hAnsi="Arial"/>
          <w:sz w:val="12"/>
          <w:szCs w:val="12"/>
          <w:color w:val="auto"/>
        </w:rPr>
        <w:t>OR PATENT DEFECT THEREIN</w:t>
      </w:r>
      <w:r>
        <w:rPr>
          <w:rFonts w:ascii="Arial" w:cs="Arial" w:eastAsia="Arial" w:hAnsi="Arial"/>
          <w:sz w:val="18"/>
          <w:szCs w:val="18"/>
          <w:color w:val="auto"/>
        </w:rPr>
        <w:t xml:space="preserve"> (</w:t>
      </w:r>
      <w:r>
        <w:rPr>
          <w:rFonts w:ascii="Arial" w:cs="Arial" w:eastAsia="Arial" w:hAnsi="Arial"/>
          <w:sz w:val="12"/>
          <w:szCs w:val="12"/>
          <w:color w:val="auto"/>
        </w:rPr>
        <w:t>OTHER THAN FOR</w:t>
      </w:r>
      <w:r>
        <w:rPr>
          <w:rFonts w:ascii="Arial" w:cs="Arial" w:eastAsia="Arial" w:hAnsi="Arial"/>
          <w:sz w:val="18"/>
          <w:szCs w:val="18"/>
          <w:color w:val="auto"/>
        </w:rPr>
        <w:t xml:space="preserve"> L</w:t>
      </w:r>
      <w:r>
        <w:rPr>
          <w:rFonts w:ascii="Arial" w:cs="Arial" w:eastAsia="Arial" w:hAnsi="Arial"/>
          <w:sz w:val="12"/>
          <w:szCs w:val="12"/>
          <w:color w:val="auto"/>
        </w:rPr>
        <w:t>ESSOR</w:t>
      </w:r>
      <w:r>
        <w:rPr>
          <w:rFonts w:ascii="Arial" w:cs="Arial" w:eastAsia="Arial" w:hAnsi="Arial"/>
          <w:sz w:val="18"/>
          <w:szCs w:val="18"/>
          <w:color w:val="auto"/>
        </w:rPr>
        <w:t xml:space="preserve"> L</w:t>
      </w:r>
      <w:r>
        <w:rPr>
          <w:rFonts w:ascii="Arial" w:cs="Arial" w:eastAsia="Arial" w:hAnsi="Arial"/>
          <w:sz w:val="12"/>
          <w:szCs w:val="12"/>
          <w:color w:val="auto"/>
        </w:rPr>
        <w:t>IENS</w:t>
      </w:r>
      <w:r>
        <w:rPr>
          <w:rFonts w:ascii="Arial" w:cs="Arial" w:eastAsia="Arial" w:hAnsi="Arial"/>
          <w:sz w:val="18"/>
          <w:szCs w:val="18"/>
          <w:color w:val="auto"/>
        </w:rPr>
        <w:t xml:space="preserve">) </w:t>
      </w:r>
      <w:r>
        <w:rPr>
          <w:rFonts w:ascii="Arial" w:cs="Arial" w:eastAsia="Arial" w:hAnsi="Arial"/>
          <w:sz w:val="12"/>
          <w:szCs w:val="12"/>
          <w:color w:val="auto"/>
        </w:rPr>
        <w:t>OR</w:t>
      </w:r>
      <w:r>
        <w:rPr>
          <w:rFonts w:ascii="Arial" w:cs="Arial" w:eastAsia="Arial" w:hAnsi="Arial"/>
          <w:sz w:val="18"/>
          <w:szCs w:val="18"/>
          <w:color w:val="auto"/>
        </w:rPr>
        <w:t xml:space="preserve"> </w:t>
      </w:r>
      <w:r>
        <w:rPr>
          <w:rFonts w:ascii="Arial" w:cs="Arial" w:eastAsia="Arial" w:hAnsi="Arial"/>
          <w:sz w:val="12"/>
          <w:szCs w:val="12"/>
          <w:color w:val="auto"/>
        </w:rPr>
        <w:t xml:space="preserve">THE FAILURE OF THE </w:t>
      </w:r>
      <w:r>
        <w:rPr>
          <w:rFonts w:ascii="Arial" w:cs="Arial" w:eastAsia="Arial" w:hAnsi="Arial"/>
          <w:sz w:val="18"/>
          <w:szCs w:val="18"/>
          <w:color w:val="auto"/>
        </w:rPr>
        <w:t>L</w:t>
      </w:r>
      <w:r>
        <w:rPr>
          <w:rFonts w:ascii="Arial" w:cs="Arial" w:eastAsia="Arial" w:hAnsi="Arial"/>
          <w:sz w:val="12"/>
          <w:szCs w:val="12"/>
          <w:color w:val="auto"/>
        </w:rPr>
        <w:t xml:space="preserve">EASED </w:t>
      </w:r>
      <w:r>
        <w:rPr>
          <w:rFonts w:ascii="Arial" w:cs="Arial" w:eastAsia="Arial" w:hAnsi="Arial"/>
          <w:sz w:val="18"/>
          <w:szCs w:val="18"/>
          <w:color w:val="auto"/>
        </w:rPr>
        <w:t>P</w:t>
      </w:r>
      <w:r>
        <w:rPr>
          <w:rFonts w:ascii="Arial" w:cs="Arial" w:eastAsia="Arial" w:hAnsi="Arial"/>
          <w:sz w:val="12"/>
          <w:szCs w:val="12"/>
          <w:color w:val="auto"/>
        </w:rPr>
        <w:t>ROPERTY</w:t>
      </w:r>
      <w:r>
        <w:rPr>
          <w:rFonts w:ascii="Arial" w:cs="Arial" w:eastAsia="Arial" w:hAnsi="Arial"/>
          <w:sz w:val="18"/>
          <w:szCs w:val="18"/>
          <w:color w:val="auto"/>
        </w:rPr>
        <w:t>,</w:t>
      </w:r>
      <w:r>
        <w:rPr>
          <w:rFonts w:ascii="Arial" w:cs="Arial" w:eastAsia="Arial" w:hAnsi="Arial"/>
          <w:sz w:val="12"/>
          <w:szCs w:val="12"/>
          <w:color w:val="auto"/>
        </w:rPr>
        <w:t xml:space="preserve"> OR ANY PART THEREOF</w:t>
      </w:r>
      <w:r>
        <w:rPr>
          <w:rFonts w:ascii="Arial" w:cs="Arial" w:eastAsia="Arial" w:hAnsi="Arial"/>
          <w:sz w:val="18"/>
          <w:szCs w:val="18"/>
          <w:color w:val="auto"/>
        </w:rPr>
        <w:t>,</w:t>
      </w:r>
      <w:r>
        <w:rPr>
          <w:rFonts w:ascii="Arial" w:cs="Arial" w:eastAsia="Arial" w:hAnsi="Arial"/>
          <w:sz w:val="12"/>
          <w:szCs w:val="12"/>
          <w:color w:val="auto"/>
        </w:rPr>
        <w:t xml:space="preserve"> TO COMPLY WITH ANY </w:t>
      </w:r>
      <w:r>
        <w:rPr>
          <w:rFonts w:ascii="Arial" w:cs="Arial" w:eastAsia="Arial" w:hAnsi="Arial"/>
          <w:sz w:val="18"/>
          <w:szCs w:val="18"/>
          <w:color w:val="auto"/>
        </w:rPr>
        <w:t>A</w:t>
      </w:r>
      <w:r>
        <w:rPr>
          <w:rFonts w:ascii="Arial" w:cs="Arial" w:eastAsia="Arial" w:hAnsi="Arial"/>
          <w:sz w:val="12"/>
          <w:szCs w:val="12"/>
          <w:color w:val="auto"/>
        </w:rPr>
        <w:t xml:space="preserve">PPLICABLE </w:t>
      </w:r>
      <w:r>
        <w:rPr>
          <w:rFonts w:ascii="Arial" w:cs="Arial" w:eastAsia="Arial" w:hAnsi="Arial"/>
          <w:sz w:val="18"/>
          <w:szCs w:val="18"/>
          <w:color w:val="auto"/>
        </w:rPr>
        <w:t>L</w:t>
      </w:r>
      <w:r>
        <w:rPr>
          <w:rFonts w:ascii="Arial" w:cs="Arial" w:eastAsia="Arial" w:hAnsi="Arial"/>
          <w:sz w:val="12"/>
          <w:szCs w:val="12"/>
          <w:color w:val="auto"/>
        </w:rPr>
        <w:t>AWS</w:t>
      </w:r>
      <w:r>
        <w:rPr>
          <w:rFonts w:ascii="Arial" w:cs="Arial" w:eastAsia="Arial" w:hAnsi="Arial"/>
          <w:sz w:val="18"/>
          <w:szCs w:val="18"/>
          <w:color w:val="auto"/>
        </w:rPr>
        <w:t>. All risks incident to the matters discussed in the preceding</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sentence, as between Lessor, the Administrative Agent and the Participants, on the one hand, and Lessee, on the other, are to be borne by Lessee. The provisions of this Section 7.1 have been negotiated, and, except to the extent otherwise expressly stated, the foregoing provisions are intended to be a complete exclusion and negation of any representations or warranties by any of Lessor, the Administrative Agent or the Participants, express or implied, with respect to the Leased Property (or any interest therein), other than the obligation to remove Lessor Liens attributable to it, that may arise pursuant to any law now or hereafter in effect or otherwise.</w:t>
      </w:r>
    </w:p>
    <w:p>
      <w:pPr>
        <w:spacing w:after="0" w:line="19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7.2. Risk of Loss</w:t>
      </w:r>
      <w:r>
        <w:rPr>
          <w:rFonts w:ascii="Arial" w:cs="Arial" w:eastAsia="Arial" w:hAnsi="Arial"/>
          <w:sz w:val="18"/>
          <w:szCs w:val="18"/>
          <w:color w:val="auto"/>
        </w:rPr>
        <w:t>. During the Term, as between Lessee and Lessor, the risk of loss of or decrease in the enjoyment and beneficial use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Leased Property as a result of the damage or destruction thereof by fire, the elements, casualties, thefts, riots, wars, Significant Condemnation or otherwise is assumed by the Lessee, and Lessor shall in no event be answerable or accountable therefor.</w:t>
      </w:r>
    </w:p>
    <w:p>
      <w:pPr>
        <w:spacing w:after="0" w:line="1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Section 7.3. Certain Duties and Responsibilities of Lessor</w:t>
      </w:r>
      <w:r>
        <w:rPr>
          <w:rFonts w:ascii="Arial" w:cs="Arial" w:eastAsia="Arial" w:hAnsi="Arial"/>
          <w:sz w:val="17"/>
          <w:szCs w:val="17"/>
          <w:color w:val="auto"/>
        </w:rPr>
        <w:t>. Lessor undertakes to perform such duties and only such duties as are specifically set forth</w:t>
      </w:r>
      <w:r>
        <w:rPr>
          <w:rFonts w:ascii="Arial" w:cs="Arial" w:eastAsia="Arial" w:hAnsi="Arial"/>
          <w:sz w:val="17"/>
          <w:szCs w:val="17"/>
          <w:i w:val="1"/>
          <w:iCs w:val="1"/>
          <w:color w:val="auto"/>
        </w:rPr>
        <w:t xml:space="preserve"> </w:t>
      </w:r>
      <w:r>
        <w:rPr>
          <w:rFonts w:ascii="Arial" w:cs="Arial" w:eastAsia="Arial" w:hAnsi="Arial"/>
          <w:sz w:val="17"/>
          <w:szCs w:val="17"/>
          <w:color w:val="auto"/>
        </w:rPr>
        <w:t>herein and in the other Operative Documents, and no implied covenants or obligations shall be read into this Lease against Lessor, and Lessor agrees that it shall not, nor shall it have a duty to, manage, control, use, sell, maintain, insure, register, lease, operate, modify, dispose of, alter, improve, investigate, remediate or otherwise deal with the Leased Property or any other part of the Collateral or its interest in the Operative Documents in any manner whatsoever, except as required by the terms of the Operative Documents and as otherwise provided herein.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OSSESSION AND</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22"/>
          <w:szCs w:val="22"/>
          <w:b w:val="1"/>
          <w:bCs w:val="1"/>
          <w:color w:val="auto"/>
        </w:rPr>
        <w:t>, E</w:t>
      </w:r>
      <w:r>
        <w:rPr>
          <w:rFonts w:ascii="Arial" w:cs="Arial" w:eastAsia="Arial" w:hAnsi="Arial"/>
          <w:sz w:val="14"/>
          <w:szCs w:val="14"/>
          <w:b w:val="1"/>
          <w:bCs w:val="1"/>
          <w:color w:val="auto"/>
        </w:rPr>
        <w:t>TC</w:t>
      </w:r>
      <w:r>
        <w:rPr>
          <w:rFonts w:ascii="Arial" w:cs="Arial" w:eastAsia="Arial" w:hAnsi="Arial"/>
          <w:sz w:val="22"/>
          <w:szCs w:val="22"/>
          <w:b w:val="1"/>
          <w:bCs w:val="1"/>
          <w:color w:val="auto"/>
        </w:rPr>
        <w:t>.</w:t>
      </w:r>
    </w:p>
    <w:p>
      <w:pPr>
        <w:spacing w:after="0" w:line="19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8.1. Possession and Use of the Leased Property</w:t>
      </w:r>
      <w:r>
        <w:rPr>
          <w:rFonts w:ascii="Arial" w:cs="Arial" w:eastAsia="Arial" w:hAnsi="Arial"/>
          <w:sz w:val="18"/>
          <w:szCs w:val="18"/>
          <w:color w:val="auto"/>
        </w:rPr>
        <w:t>. Lessee agrees that the Leased Property will be used (i) as an office, laboratory and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(including wet labs, dry labs and specialty labs) campus solely in the conduct of its business at the Site and the business of the tenants, sublessees and other occupants at the Site, as well as uses appurtenant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0" w:name="page221"/>
    <w:bookmarkEnd w:id="220"/>
    <w:p>
      <w:pPr>
        <w:jc w:val="both"/>
        <w:spacing w:after="0" w:line="285" w:lineRule="auto"/>
        <w:rPr>
          <w:sz w:val="20"/>
          <w:szCs w:val="20"/>
          <w:color w:val="auto"/>
        </w:rPr>
      </w:pPr>
      <w:r>
        <w:rPr>
          <w:rFonts w:ascii="Arial" w:cs="Arial" w:eastAsia="Arial" w:hAnsi="Arial"/>
          <w:sz w:val="16"/>
          <w:szCs w:val="16"/>
          <w:color w:val="auto"/>
        </w:rPr>
        <w:t xml:space="preserve">thereto, including, without limitation, amenities relating thereto (including cafeteria, restaurant, child care, fitness centers and warehouse and storage facilities and parking), and for any other lawful purpose and (ii) in a manner consistent with this Lease and the other Operative Documents and applying standards of use no lower than the standards applied by the Lessee for other substantially similar properties owned or leased by the Lessee. At all times during the Term, the Leased Property shall remain in the possession and control of Lessee or its permitted assignees or sublessees. Lessee covenants and agrees that the Leased Property will at all times be used and operated under and in compliance in all material respects with (1) the terms of any contracts or agreements applicable to the use or operation of the Leased Property or any portion thereof to which Lessee is a party or by which Lessee is bound, or to the extent contemplated by the Operative Documents or, as a result of any action or omission of Lessee, to which Lessor is a party or by which Lessor is bound, (2) Applicable Laws and (3) all Insurance Requirements. The Lessee shall not commit or permit any waste of the Leased Property or any part thereof. Lessee assumes and agrees to pay all fees, real property taxes and/or other Impositions, charges, costs, assessments, impositions, utilities and other amounts which relate to or arise during the Term in connection with the foregoing and the purchase, disposition, ownership, lease or use of any real or personal property, Governmental Actions and other rights, privileges or entitlements required to be paid in connection with the Leased Property. All such charges imposed with respect to the Leased Property for a billing period during which this Lease expires or terminates (except when Lessee purchases the Leased Property in accordance with the terms of this Lease, in which case Lessee shall be solely responsible for all such charges) shall be adjusted and prorated on a daily basis between Lessee and Lessor or any purchaser of the Leased Property, and each party shall pay or reimburse the other for each party’s pro rata share thereof; </w:t>
      </w:r>
      <w:r>
        <w:rPr>
          <w:rFonts w:ascii="Arial" w:cs="Arial" w:eastAsia="Arial" w:hAnsi="Arial"/>
          <w:sz w:val="16"/>
          <w:szCs w:val="16"/>
          <w:i w:val="1"/>
          <w:iCs w:val="1"/>
          <w:color w:val="auto"/>
        </w:rPr>
        <w:t>provided</w:t>
      </w:r>
      <w:r>
        <w:rPr>
          <w:rFonts w:ascii="Arial" w:cs="Arial" w:eastAsia="Arial" w:hAnsi="Arial"/>
          <w:sz w:val="16"/>
          <w:szCs w:val="16"/>
          <w:color w:val="auto"/>
        </w:rPr>
        <w:t>, that in no event shall Lessor have any liability therefor. Lessee shall perform all obligations required to be performed by Lessor under the Tax Abatement Documents. Lessee hereby agrees to perform all obligations of Lessor, including without limitation, the payment of any pro-rations under the Purchase Agreement from and after the Original Closing Date (excluding, the payment of the Purchase Price). Lessee shall be entitled to receive any credit or refund received by the Lessor on account of any utility charges paid by Lessee, net of the costs and expenses reasonably incurred by the Lessor in obtaining such credit or refund, and the amount of such credit or refund shall be promptly paid over to Lessee.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8.2. Compliance with Requirements of Law and Insurance Requirements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9" w:lineRule="auto"/>
        <w:tabs>
          <w:tab w:leader="none" w:pos="89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Subject to the terms of Article XII relating to permitted contests, the Lessee, at its sole cost and expense, shall (i) comply in all material respects with all Applicable Laws (including all Environmental Laws) relating to the Leased Property and Insurance Requirements, and (ii) procure, maintain and comply with in all material respects all licenses, permits, orders, approvals, consents and other authorizations required for the use, operation, maintenance, repair and restoration of the Leased Property and for the use, operation, maintenance, repair and restoration of the Facility.</w:t>
      </w:r>
    </w:p>
    <w:p>
      <w:pPr>
        <w:spacing w:after="0" w:line="171" w:lineRule="exact"/>
        <w:rPr>
          <w:rFonts w:ascii="Arial" w:cs="Arial" w:eastAsia="Arial" w:hAnsi="Arial"/>
          <w:sz w:val="17"/>
          <w:szCs w:val="17"/>
          <w:color w:val="auto"/>
        </w:rPr>
      </w:pPr>
    </w:p>
    <w:p>
      <w:pPr>
        <w:jc w:val="both"/>
        <w:ind w:firstLine="656"/>
        <w:spacing w:after="0" w:line="264" w:lineRule="auto"/>
        <w:tabs>
          <w:tab w:leader="none" w:pos="93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Lessee shall not, and shall not suffer or permit a tenant under any sublease to, violate any Applicable Laws affecting the Leased Property, including the Controlled Substances Act, if such violation would result in the occurrence of an Event of Default under Section 16.1(p) below, including the commencement of any proceedings under the Civil Asset Forfeiture Reform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1" w:name="page222"/>
    <w:bookmarkEnd w:id="221"/>
    <w:p>
      <w:pPr>
        <w:jc w:val="both"/>
        <w:spacing w:after="0" w:line="276" w:lineRule="auto"/>
        <w:rPr>
          <w:sz w:val="20"/>
          <w:szCs w:val="20"/>
          <w:color w:val="auto"/>
        </w:rPr>
      </w:pPr>
      <w:r>
        <w:rPr>
          <w:rFonts w:ascii="Arial" w:cs="Arial" w:eastAsia="Arial" w:hAnsi="Arial"/>
          <w:sz w:val="17"/>
          <w:szCs w:val="17"/>
          <w:color w:val="auto"/>
        </w:rPr>
        <w:t>Act to the extent the same would constitute an Event of Default. Upon obtaining actual knowledge of any conduct contrary to this Section 8.2, Lessee shall promptly take all actions reasonably expected under the circumstances to terminate any such use of the Leased Property, including: (i) to give timely notice to an appropriate law enforcement agency of information that led the Lessee to know such conduct had occurred, and (ii) in a timely fashion to revoke or make a good faith attempt to revoke permission for those engaging in such conduct to use the Leased Property or to take reasonable actions in consultation with a law enforcement agency to discourage or prevent the illegal use of the Leased Property.</w:t>
      </w:r>
    </w:p>
    <w:p>
      <w:pPr>
        <w:spacing w:after="0" w:line="17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Section 8.3. Specified Tax Abatement Documents</w:t>
      </w:r>
      <w:r>
        <w:rPr>
          <w:rFonts w:ascii="Arial" w:cs="Arial" w:eastAsia="Arial" w:hAnsi="Arial"/>
          <w:sz w:val="16"/>
          <w:szCs w:val="16"/>
          <w:color w:val="auto"/>
        </w:rPr>
        <w:t>. The Lessee shall not enter into any Specified Tax Abatement Document without the prior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of the Required Participants if such Specified Tax Abatement Document: (i) impose any obligations or covenants upon the Participants (including, without limitation, any payment or indemnity obligations), (ii) impair in any material respect Lessor’s or Administrative Agent’s rights to the Leased Property or access to the Leased Property or (iii) result in any transfer of title or any interest in the Leased Property or risk of forfeiture of the Leased Property.</w:t>
      </w:r>
    </w:p>
    <w:p>
      <w:pPr>
        <w:spacing w:after="0" w:line="154"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i w:val="1"/>
          <w:iCs w:val="1"/>
          <w:color w:val="auto"/>
        </w:rPr>
        <w:t>Section 8.4. Power of Attorney</w:t>
      </w:r>
      <w:r>
        <w:rPr>
          <w:rFonts w:ascii="Arial" w:cs="Arial" w:eastAsia="Arial" w:hAnsi="Arial"/>
          <w:sz w:val="17"/>
          <w:szCs w:val="17"/>
          <w:color w:val="auto"/>
        </w:rPr>
        <w:t>. During the Term and</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no Event of Default shall have occurred and be continuing, and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Articles VII, IX and X and Section 8.2, and without the requirement of any further instrument or action of Lessor, Lessor hereby appoints the Lessee as the agent and attorney-in-fact of Lessor for the purpose of exercising and enforcing, and with full right, power and authority to perform the obligations of Lessor and to exercise and to enforce, all of the right, title, interest and remedies of the Lessor in, under and to any agreements and arrangements concerning the use, operation, and repair of the Leased Property, which shall include the power and authority to execute documents relating thereto on behalf of Lessor, so long as such enforcement does not create, or such instruments do not contain, any liability on the part of the Lessor or require any indemnification from Lessor. Lessor agrees, to reasonably cooperate with Lessee and, upon Lessee’s request and at the Lessee’s expense, to execute and deliver and/or to join in the execution of such further instruments as may be necessary to enable the Lessee to perform Lessor’s obligations under such agreements and arrangements during the Term and to exercise and enforce the rights, remedies and obligations conferred to or delegated to the Lessee pursuant to this Section. Upon the expiration or termination of this Lease pursuant to the terms hereof or the express revocation after the occurrence and during the continuance of an Event of Default, the power of attorney granted to the Lessee under this Section shall automatically terminate. So long as no Event of Default has occurred and is continuing, any proceeds obtained by the Lessee from the enforcement of the warranties and obligations of any supplier of goods or services in respect of the Leased Property shall be held by the Lessee and applied from time to time to the repair and maintenance of the Leased Property, and any balance thereof remaining at the expiration of the Term shall be paid over to the Lessor or as it may direct, subject to Section 5.2 of the Participation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AINTENANCE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EPAIR</w:t>
      </w:r>
      <w:r>
        <w:rPr>
          <w:rFonts w:ascii="Arial" w:cs="Arial" w:eastAsia="Arial" w:hAnsi="Arial"/>
          <w:sz w:val="22"/>
          <w:szCs w:val="22"/>
          <w:b w:val="1"/>
          <w:bCs w:val="1"/>
          <w:color w:val="auto"/>
        </w:rPr>
        <w:t>; R</w:t>
      </w:r>
      <w:r>
        <w:rPr>
          <w:rFonts w:ascii="Arial" w:cs="Arial" w:eastAsia="Arial" w:hAnsi="Arial"/>
          <w:sz w:val="14"/>
          <w:szCs w:val="14"/>
          <w:b w:val="1"/>
          <w:bCs w:val="1"/>
          <w:color w:val="auto"/>
        </w:rPr>
        <w:t>EPORTS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9.1. Maintenance and Repair</w:t>
      </w:r>
      <w:r>
        <w:rPr>
          <w:rFonts w:ascii="Arial" w:cs="Arial" w:eastAsia="Arial" w:hAnsi="Arial"/>
          <w:sz w:val="18"/>
          <w:szCs w:val="18"/>
          <w:color w:val="auto"/>
        </w:rPr>
        <w:t>. Lessee, at its own cost and expense, shall at all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2" w:name="page223"/>
    <w:bookmarkEnd w:id="222"/>
    <w:p>
      <w:pPr>
        <w:jc w:val="both"/>
        <w:spacing w:after="0" w:line="287" w:lineRule="auto"/>
        <w:rPr>
          <w:sz w:val="20"/>
          <w:szCs w:val="20"/>
          <w:color w:val="auto"/>
        </w:rPr>
      </w:pPr>
      <w:r>
        <w:rPr>
          <w:rFonts w:ascii="Arial" w:cs="Arial" w:eastAsia="Arial" w:hAnsi="Arial"/>
          <w:sz w:val="16"/>
          <w:szCs w:val="16"/>
          <w:color w:val="auto"/>
        </w:rPr>
        <w:t>times during the Term (a) keep, repair and maintain the Leased Property in good working order, subject to ordinary wear and tear, and in any event at least as good as the condition of substantially similar property owned or leased by Lessee (it being acknowledged that certain portions of the Facility do not meet such standards and the Lessee shall have no obligation to perform any alterations to such areas of the Leased Property in order to meet such standard); (b) make such repairs to the Leased Property as are necessary (i) to comply in all material respects with all Applicable Laws, (ii) to comply in all material respects with Insurance Requirements and (iii) to meet the maintenance and repair standard for similarly sized and situated “Class A” office, laboratory and research and development campuses (it being acknowledged that certain portions of the Facility do not meet such “Class A” standards and the Lessee shall have no obligation to perform any alterations to such areas of the Leased Property in order to meet such standard); (c) use the Leased Property only in accordance with Article VIII; (d) make all necessary or appropriate repairs, replacements, restorations, renewals and take all other actions with respect to the Leased Property or any part thereof which may be required to keep the Leased Property in the condition required by the preceding clauses (a) through (c), structural or nonstructural, ordinary or extraordinary, foreseen or unforeseen; and (e) procure, maintain and comply with all material licenses, permits, orders, approvals, consents and other authorizations required for the installation, construction and maintenance, use and operation, of the Leased Property.</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9.2. Maintenance and Repair Records</w:t>
      </w:r>
      <w:r>
        <w:rPr>
          <w:rFonts w:ascii="Arial" w:cs="Arial" w:eastAsia="Arial" w:hAnsi="Arial"/>
          <w:sz w:val="18"/>
          <w:szCs w:val="18"/>
          <w:color w:val="auto"/>
        </w:rPr>
        <w:t>. Lessee shall keep maintenance and repair records in sufficient detail, at least on the same basis as</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are kept for similar properties owned or leased by Lessee or any of its Subsidiaries to indicate the nature and date of major work done at or to the Leased Property. Such reports shall be kept on file by Lessee at the Site, and shall be made available to Lessor upon reasonable request. Lessee shall give written notice to Lessor of any Event of Loss promptly after Lessee has knowledge thereof.</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Section 9.3. Lessor Not Obligated to Maintain or Repair. </w:t>
      </w:r>
      <w:r>
        <w:rPr>
          <w:rFonts w:ascii="Arial" w:cs="Arial" w:eastAsia="Arial" w:hAnsi="Arial"/>
          <w:sz w:val="18"/>
          <w:szCs w:val="18"/>
          <w:color w:val="auto"/>
        </w:rPr>
        <w:t>Lessor shall not under any circumstances be required to build any improvements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Leased Property, make any repairs, replacements, Modifications or renewals of any nature or description to the Leased Property, make any expenditure whatsoever in connection with this Lease (other than with respect to obligations to make the Advance as required by the Participation Agreement) or maintain the Leased Property in any way. The Lessee waives any right it may now have or hereafter acquire to (i) require Lessor to maintain, repair, replace, restore, alter, remove or rebuild all or part of the Leased Property or (ii) make repairs at the expense of Lessor pursuant to, or to bring the Leased Property in compliance with, any Applicable Laws (including Environmental Laws), contract, agreement, or covenant, condition or restriction in effect at any time during the Term.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ODIFICATIONS</w:t>
      </w:r>
      <w:r>
        <w:rPr>
          <w:rFonts w:ascii="Arial" w:cs="Arial" w:eastAsia="Arial" w:hAnsi="Arial"/>
          <w:sz w:val="22"/>
          <w:szCs w:val="22"/>
          <w:b w:val="1"/>
          <w:bCs w:val="1"/>
          <w:color w:val="auto"/>
        </w:rPr>
        <w:t>, E</w:t>
      </w:r>
      <w:r>
        <w:rPr>
          <w:rFonts w:ascii="Arial" w:cs="Arial" w:eastAsia="Arial" w:hAnsi="Arial"/>
          <w:sz w:val="14"/>
          <w:szCs w:val="14"/>
          <w:b w:val="1"/>
          <w:bCs w:val="1"/>
          <w:color w:val="auto"/>
        </w:rPr>
        <w:t>TC</w:t>
      </w:r>
      <w:r>
        <w:rPr>
          <w:rFonts w:ascii="Arial" w:cs="Arial" w:eastAsia="Arial" w:hAnsi="Arial"/>
          <w:sz w:val="22"/>
          <w:szCs w:val="22"/>
          <w:b w:val="1"/>
          <w:bCs w:val="1"/>
          <w:color w:val="auto"/>
        </w:rPr>
        <w:t>.</w:t>
      </w:r>
    </w:p>
    <w:p>
      <w:pPr>
        <w:spacing w:after="0" w:line="19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Section 10.1. Improvements and Modifications</w:t>
      </w:r>
      <w:r>
        <w:rPr>
          <w:rFonts w:ascii="Arial" w:cs="Arial" w:eastAsia="Arial" w:hAnsi="Arial"/>
          <w:sz w:val="16"/>
          <w:szCs w:val="16"/>
          <w:color w:val="auto"/>
        </w:rPr>
        <w:t>. (a) (i) Lessee, at Lessee’s own cost and expense, shall make alterations, renovations, improvements,</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additions and upgrades to the Leased Property or any part thereof and substitutions and replacements therefor, and/or make changes the use of the Leased Property or any part thereof (collectively, “</w:t>
      </w:r>
      <w:r>
        <w:rPr>
          <w:rFonts w:ascii="Arial" w:cs="Arial" w:eastAsia="Arial" w:hAnsi="Arial"/>
          <w:sz w:val="16"/>
          <w:szCs w:val="16"/>
          <w:i w:val="1"/>
          <w:iCs w:val="1"/>
          <w:color w:val="auto"/>
        </w:rPr>
        <w:t>Modifications</w:t>
      </w:r>
      <w:r>
        <w:rPr>
          <w:rFonts w:ascii="Arial" w:cs="Arial" w:eastAsia="Arial" w:hAnsi="Arial"/>
          <w:sz w:val="16"/>
          <w:szCs w:val="16"/>
          <w:color w:val="auto"/>
        </w:rPr>
        <w:t>”) which are (A) necessary to repair or maintain the Leased Property in the condition required by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3" w:name="page224"/>
    <w:bookmarkEnd w:id="223"/>
    <w:p>
      <w:pPr>
        <w:jc w:val="both"/>
        <w:spacing w:after="0" w:line="255" w:lineRule="auto"/>
        <w:rPr>
          <w:sz w:val="20"/>
          <w:szCs w:val="20"/>
          <w:color w:val="auto"/>
        </w:rPr>
      </w:pPr>
      <w:r>
        <w:rPr>
          <w:rFonts w:ascii="Arial" w:cs="Arial" w:eastAsia="Arial" w:hAnsi="Arial"/>
          <w:sz w:val="18"/>
          <w:szCs w:val="18"/>
          <w:color w:val="auto"/>
        </w:rPr>
        <w:t>Section 9.1; (B) necessary in order for the Leased Property to be in compliance with Applicable Laws (including Environmental Laws) in all material respects; or (C) necessary or advisable to restore the Leased Property to substantially the same condition existing prior to a Casualty or Condemnation to the extent required pursuant to Article XIV (collectively, “</w:t>
      </w:r>
      <w:r>
        <w:rPr>
          <w:rFonts w:ascii="Arial" w:cs="Arial" w:eastAsia="Arial" w:hAnsi="Arial"/>
          <w:sz w:val="18"/>
          <w:szCs w:val="18"/>
          <w:i w:val="1"/>
          <w:iCs w:val="1"/>
          <w:color w:val="auto"/>
        </w:rPr>
        <w:t>Required Modifications</w:t>
      </w:r>
      <w:r>
        <w:rPr>
          <w:rFonts w:ascii="Arial" w:cs="Arial" w:eastAsia="Arial" w:hAnsi="Arial"/>
          <w:sz w:val="18"/>
          <w:szCs w:val="18"/>
          <w:color w:val="auto"/>
        </w:rPr>
        <w:t>”); and (ii) so long as no Event of Default has occurred and is continuing, Lessee or its subtenants, at Lessee’s or its subtenant’s, as applicable, sole discretion and cost and expense, may undertake other Modifications to the Leased Property so long as such Modifications comply with Applicable Laws in all material respects and with Section 9.1 and Section 10.1(b) (collectively, “</w:t>
      </w:r>
      <w:r>
        <w:rPr>
          <w:rFonts w:ascii="Arial" w:cs="Arial" w:eastAsia="Arial" w:hAnsi="Arial"/>
          <w:sz w:val="18"/>
          <w:szCs w:val="18"/>
          <w:i w:val="1"/>
          <w:iCs w:val="1"/>
          <w:color w:val="auto"/>
        </w:rPr>
        <w:t>Permitted Modifications</w:t>
      </w:r>
      <w:r>
        <w:rPr>
          <w:rFonts w:ascii="Arial" w:cs="Arial" w:eastAsia="Arial" w:hAnsi="Arial"/>
          <w:sz w:val="18"/>
          <w:szCs w:val="18"/>
          <w:color w:val="auto"/>
        </w:rPr>
        <w:t>”).</w:t>
      </w:r>
    </w:p>
    <w:p>
      <w:pPr>
        <w:spacing w:after="0" w:line="193" w:lineRule="exact"/>
        <w:rPr>
          <w:sz w:val="20"/>
          <w:szCs w:val="20"/>
          <w:color w:val="auto"/>
        </w:rPr>
      </w:pPr>
    </w:p>
    <w:p>
      <w:pPr>
        <w:ind w:left="900" w:hanging="244"/>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making of any Modifications must be in compliance with the following requirements:</w:t>
      </w:r>
    </w:p>
    <w:p>
      <w:pPr>
        <w:spacing w:after="0" w:line="225" w:lineRule="exact"/>
        <w:rPr>
          <w:rFonts w:ascii="Arial" w:cs="Arial" w:eastAsia="Arial" w:hAnsi="Arial"/>
          <w:sz w:val="18"/>
          <w:szCs w:val="18"/>
          <w:color w:val="auto"/>
        </w:rPr>
      </w:pPr>
    </w:p>
    <w:p>
      <w:pPr>
        <w:jc w:val="both"/>
        <w:ind w:left="660" w:firstLine="645"/>
        <w:spacing w:after="0" w:line="270" w:lineRule="auto"/>
        <w:tabs>
          <w:tab w:leader="none" w:pos="1537" w:val="left"/>
        </w:tabs>
        <w:numPr>
          <w:ilvl w:val="1"/>
          <w:numId w:val="166"/>
        </w:numPr>
        <w:rPr>
          <w:rFonts w:ascii="Arial" w:cs="Arial" w:eastAsia="Arial" w:hAnsi="Arial"/>
          <w:sz w:val="17"/>
          <w:szCs w:val="17"/>
          <w:color w:val="auto"/>
        </w:rPr>
      </w:pPr>
      <w:r>
        <w:rPr>
          <w:rFonts w:ascii="Arial" w:cs="Arial" w:eastAsia="Arial" w:hAnsi="Arial"/>
          <w:sz w:val="17"/>
          <w:szCs w:val="17"/>
          <w:color w:val="auto"/>
        </w:rPr>
        <w:t>No Modifications shall be undertaken without the prior written consent of the Required Participants, except for the following, each of which shall be permitted without the consent of the Required Participants: (A) any Required Modifications, (B) any Modification or series of Modifications with a cost that does not exceed $30,000,000 individually or, when added to the cost of all other Modifications (other than Required Modifications and Permitted Development Projects) during such calendar year, does not exceed $100,000,000 in the aggregate for such calendar year (the “</w:t>
      </w:r>
      <w:r>
        <w:rPr>
          <w:rFonts w:ascii="Arial" w:cs="Arial" w:eastAsia="Arial" w:hAnsi="Arial"/>
          <w:sz w:val="17"/>
          <w:szCs w:val="17"/>
          <w:i w:val="1"/>
          <w:iCs w:val="1"/>
          <w:color w:val="auto"/>
        </w:rPr>
        <w:t>Annual Modification Cap</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Modification that is in excess of the Annual Modification Cap shall only require the consent of the Required Participants if such Modification has a cost in excess of $10,000,000, (C) any Permitted Development Projects and (D) the Permitted 767 Improvements. Notwithstanding the forgoing, in no event shall any Modification to a structural element be made or undertaken without the prior written consent of the Lessor. Lessor shall respond to any consent request under this Section within fifteen (15) days of receipt of such request. The failure of the Lessor to respond shall be deemed a rejection of such consent.</w:t>
      </w:r>
    </w:p>
    <w:p>
      <w:pPr>
        <w:spacing w:after="0" w:line="181" w:lineRule="exact"/>
        <w:rPr>
          <w:rFonts w:ascii="Arial" w:cs="Arial" w:eastAsia="Arial" w:hAnsi="Arial"/>
          <w:sz w:val="17"/>
          <w:szCs w:val="17"/>
          <w:color w:val="auto"/>
        </w:rPr>
      </w:pPr>
    </w:p>
    <w:p>
      <w:pPr>
        <w:jc w:val="both"/>
        <w:ind w:left="660" w:firstLine="645"/>
        <w:spacing w:after="0" w:line="272" w:lineRule="auto"/>
        <w:tabs>
          <w:tab w:leader="none" w:pos="1626" w:val="left"/>
        </w:tabs>
        <w:numPr>
          <w:ilvl w:val="1"/>
          <w:numId w:val="166"/>
        </w:numPr>
        <w:rPr>
          <w:rFonts w:ascii="Arial" w:cs="Arial" w:eastAsia="Arial" w:hAnsi="Arial"/>
          <w:sz w:val="17"/>
          <w:szCs w:val="17"/>
          <w:color w:val="auto"/>
        </w:rPr>
      </w:pPr>
      <w:r>
        <w:rPr>
          <w:rFonts w:ascii="Arial" w:cs="Arial" w:eastAsia="Arial" w:hAnsi="Arial"/>
          <w:sz w:val="17"/>
          <w:szCs w:val="17"/>
          <w:color w:val="auto"/>
        </w:rPr>
        <w:t>No Modifications shall be undertaken (x) in violation in any material respect of the terms of any restriction (including any environmental deed restriction), easement, condition, covenant, no further action letter or other similar matter affecting title to or binding on the Leased Property or (y) until Lessee shall have procured and paid for, so far as the same may be required from time to time, all material permits and authorizations to such Modifications of all third Persons or Governmental Authorities having jurisdiction. If requested by Lessee, Lessor, at Lessee’s expense, shall join in the application for any such permit or authorization and execute and deliver any document in connection therewith, whenever such joinder is requested by Lessee and is necessary or advisable as reasonably determined by Lessee. For the avoidance of doubt, nothing in this Section 10(b)(ii) shall serve to limit or restrict the rights granted to Lessee pursuant to Section 11.2 hereof.</w:t>
      </w:r>
    </w:p>
    <w:p>
      <w:pPr>
        <w:spacing w:after="0" w:line="177" w:lineRule="exact"/>
        <w:rPr>
          <w:rFonts w:ascii="Arial" w:cs="Arial" w:eastAsia="Arial" w:hAnsi="Arial"/>
          <w:sz w:val="17"/>
          <w:szCs w:val="17"/>
          <w:color w:val="auto"/>
        </w:rPr>
      </w:pPr>
    </w:p>
    <w:p>
      <w:pPr>
        <w:ind w:left="660" w:firstLine="645"/>
        <w:spacing w:after="0" w:line="277" w:lineRule="auto"/>
        <w:tabs>
          <w:tab w:leader="none" w:pos="163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All Modifications shall be prosecuted in a diligent manner, be completed in a good and workmanlike manner and in compliance in all material respects with all Applicable Laws and Insurance Requirements then in effect.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4" w:name="page225"/>
    <w:bookmarkEnd w:id="224"/>
    <w:p>
      <w:pPr>
        <w:jc w:val="both"/>
        <w:ind w:left="660" w:firstLine="645"/>
        <w:spacing w:after="0" w:line="255" w:lineRule="auto"/>
        <w:tabs>
          <w:tab w:leader="none" w:pos="162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All Modifications shall, when completed, be of such a character as to not give rise to any material Environmental Claim or materially adversely affect the utility of the Facility. To the extent the consent of the Required Participants is required for a Modification pursuant to the terms of Section 10.1(b)(i) above, and if requested by the Required Participants, Lessor may obtain a report from a construction consultant or, at the option of the Required Participants, Lessor may engage an appraiser of nationally recognized standing, at Lessee’s sole cost and expense, to determine (by appraisal or other methods satisfactory to the Required Participants) the projected Fair Market Value of such item of the Leased Property as of the completion of the Modifications relating thereto.</w:t>
      </w:r>
    </w:p>
    <w:p>
      <w:pPr>
        <w:spacing w:after="0" w:line="193" w:lineRule="exact"/>
        <w:rPr>
          <w:rFonts w:ascii="Arial" w:cs="Arial" w:eastAsia="Arial" w:hAnsi="Arial"/>
          <w:sz w:val="18"/>
          <w:szCs w:val="18"/>
          <w:color w:val="auto"/>
        </w:rPr>
      </w:pPr>
    </w:p>
    <w:p>
      <w:pPr>
        <w:ind w:left="660" w:firstLine="645"/>
        <w:spacing w:after="0" w:line="342" w:lineRule="auto"/>
        <w:tabs>
          <w:tab w:leader="none" w:pos="157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Lessee shall have made adequate arrangements for payment of the cost of all Modifications when due so that the Leased Property shall at all times be free of Liens for labor and materials supplied or claimed to have been supplied to the Leased Property, other than Permitted Liens.</w:t>
      </w:r>
    </w:p>
    <w:p>
      <w:pPr>
        <w:spacing w:after="0" w:line="123" w:lineRule="exact"/>
        <w:rPr>
          <w:rFonts w:ascii="Arial" w:cs="Arial" w:eastAsia="Arial" w:hAnsi="Arial"/>
          <w:sz w:val="16"/>
          <w:szCs w:val="16"/>
          <w:color w:val="auto"/>
        </w:rPr>
      </w:pPr>
    </w:p>
    <w:p>
      <w:pPr>
        <w:jc w:val="both"/>
        <w:ind w:left="660" w:firstLine="645"/>
        <w:spacing w:after="0" w:line="264" w:lineRule="auto"/>
        <w:tabs>
          <w:tab w:leader="none" w:pos="16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Notwithstanding anything to the contrary herein, Lessee shall be permitted to remove and/or demolish portions of the Leased Property which are readily removable and are not required by Applicable Law for Lessee’s operation of the Facility in an aggregate amount not to exceed $20,000,000 over the Term.</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Section 10.2. Title to Modifications</w:t>
      </w:r>
      <w:r>
        <w:rPr>
          <w:rFonts w:ascii="Arial" w:cs="Arial" w:eastAsia="Arial" w:hAnsi="Arial"/>
          <w:sz w:val="18"/>
          <w:szCs w:val="18"/>
          <w:color w:val="auto"/>
        </w:rPr>
        <w:t>. (a) Title to the following described Modifications shall, without further act, vest in Lessor and shall be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part of the Leased Property and be subject to this Lease:</w:t>
      </w:r>
    </w:p>
    <w:p>
      <w:pPr>
        <w:spacing w:after="0" w:line="170" w:lineRule="exact"/>
        <w:rPr>
          <w:sz w:val="20"/>
          <w:szCs w:val="20"/>
          <w:color w:val="auto"/>
        </w:rPr>
      </w:pPr>
    </w:p>
    <w:p>
      <w:pPr>
        <w:ind w:left="1520" w:hanging="215"/>
        <w:spacing w:after="0"/>
        <w:tabs>
          <w:tab w:leader="none" w:pos="1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Modifications which are in replacement of or in substitution for a portion of any item of Leased Property;</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Required Modifications; or</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Modifications that are Nonseverable.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requested by Lessor in writing, Lessee shall execute and deliver any deeds, bills of sale, assignments or other documents of conveyance reasonably necessary to evidence the vesting of title in and to such Modifications to Lessor.</w:t>
      </w:r>
    </w:p>
    <w:p>
      <w:pPr>
        <w:spacing w:after="0" w:line="170" w:lineRule="exact"/>
        <w:rPr>
          <w:sz w:val="20"/>
          <w:szCs w:val="20"/>
          <w:color w:val="auto"/>
        </w:rPr>
      </w:pPr>
    </w:p>
    <w:p>
      <w:pPr>
        <w:ind w:right="20" w:firstLine="656"/>
        <w:spacing w:after="0" w:line="342" w:lineRule="auto"/>
        <w:tabs>
          <w:tab w:leader="none" w:pos="91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such Modifications are not within any of the categories set forth in clauses (i) through (iii) of Section 10.2(a) (each an “</w:t>
      </w:r>
      <w:r>
        <w:rPr>
          <w:rFonts w:ascii="Arial" w:cs="Arial" w:eastAsia="Arial" w:hAnsi="Arial"/>
          <w:sz w:val="16"/>
          <w:szCs w:val="16"/>
          <w:i w:val="1"/>
          <w:iCs w:val="1"/>
          <w:color w:val="auto"/>
        </w:rPr>
        <w:t>Improvement</w:t>
      </w:r>
      <w:r>
        <w:rPr>
          <w:rFonts w:ascii="Arial" w:cs="Arial" w:eastAsia="Arial" w:hAnsi="Arial"/>
          <w:sz w:val="16"/>
          <w:szCs w:val="16"/>
          <w:color w:val="auto"/>
        </w:rPr>
        <w:t>”), then title to such Improvements shall vest in Lessee and such Improvements shall not be deemed to be Modifications which are part of the Leased Property.</w:t>
      </w:r>
    </w:p>
    <w:p>
      <w:pPr>
        <w:spacing w:after="0" w:line="123" w:lineRule="exact"/>
        <w:rPr>
          <w:rFonts w:ascii="Arial" w:cs="Arial" w:eastAsia="Arial" w:hAnsi="Arial"/>
          <w:sz w:val="16"/>
          <w:szCs w:val="16"/>
          <w:color w:val="auto"/>
        </w:rPr>
      </w:pPr>
    </w:p>
    <w:p>
      <w:pPr>
        <w:jc w:val="both"/>
        <w:ind w:firstLine="656"/>
        <w:spacing w:after="0" w:line="312" w:lineRule="auto"/>
        <w:tabs>
          <w:tab w:leader="none" w:pos="90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Each Improvement to which Lessee shall have title may be removed so long as (i) removal thereof shall not (A) result in the violation of any Applicable Laws (including Environmental Laws) or (B) adversely affect the Lessee’s ability to comply with its obligations under this Lease or any other Operative Document, and (ii) no Event of Default is continuing. Other than with respect to any Improvement being temporarily removed for the purpose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5" w:name="page226"/>
    <w:bookmarkEnd w:id="225"/>
    <w:p>
      <w:pPr>
        <w:jc w:val="both"/>
        <w:spacing w:after="0" w:line="289" w:lineRule="auto"/>
        <w:rPr>
          <w:sz w:val="20"/>
          <w:szCs w:val="20"/>
          <w:color w:val="auto"/>
        </w:rPr>
      </w:pPr>
      <w:r>
        <w:rPr>
          <w:rFonts w:ascii="Arial" w:cs="Arial" w:eastAsia="Arial" w:hAnsi="Arial"/>
          <w:sz w:val="16"/>
          <w:szCs w:val="16"/>
          <w:color w:val="auto"/>
        </w:rPr>
        <w:t>upgrading such Improvement and any Improvement being removed and replaced in the ordinary course of Lessee’s business, Lessee agrees to notify Lessor in writing at least ten (10) days before it removes any such Improvement which had an original cost exceeding $30,000,000 individually or for which the consent of the Required Participants was required, and Lessee shall at its expense repair any damage to the Leased Property caused by the removal of such Improvement. Lessor (or the purchaser of the Leased Property) may purchase from Lessee any such Improvement (if not already owned by Lessor) that Lessee intends to remove from the Leased Property prior to the return of the Leased Property to Lessor or sale of the Leased Property, which purchase shall be at the Fair Market Value of such Improvement as determined by the Appraiser at the time of such purchase. Title to any such Improvement shall vest in Lessor (or the purchaser of the applicable Leased Property) if not removed from the Leased Property by Lessee prior to the return of the Leased Property to Lessor or sale of the Leased Property. Modifications, title to which are vested in Lessor, shall be made available to the Lessee or its designee without cost during the Term and thereafter if the use thereof is necessary or useful for the operation of the Leased Property.</w:t>
      </w:r>
    </w:p>
    <w:p>
      <w:pPr>
        <w:spacing w:after="0" w:line="167" w:lineRule="exact"/>
        <w:rPr>
          <w:sz w:val="20"/>
          <w:szCs w:val="20"/>
          <w:color w:val="auto"/>
        </w:rPr>
      </w:pPr>
    </w:p>
    <w:p>
      <w:pPr>
        <w:jc w:val="both"/>
        <w:ind w:firstLine="656"/>
        <w:spacing w:after="0" w:line="287" w:lineRule="auto"/>
        <w:tabs>
          <w:tab w:leader="none" w:pos="92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ownership of and title to all trade fixtures, Equipment, Improvements not transferred by Sellers to the Lessor under the Purchase Agreement, signs and other personal property owned by the Lessee and located on the Leased Property (“</w:t>
      </w:r>
      <w:r>
        <w:rPr>
          <w:rFonts w:ascii="Arial" w:cs="Arial" w:eastAsia="Arial" w:hAnsi="Arial"/>
          <w:sz w:val="16"/>
          <w:szCs w:val="16"/>
          <w:i w:val="1"/>
          <w:iCs w:val="1"/>
          <w:color w:val="auto"/>
        </w:rPr>
        <w:t>Lessee</w:t>
      </w:r>
      <w:r>
        <w:rPr>
          <w:rFonts w:ascii="Arial" w:cs="Arial" w:eastAsia="Arial" w:hAnsi="Arial"/>
          <w:sz w:val="16"/>
          <w:szCs w:val="16"/>
          <w:color w:val="auto"/>
        </w:rPr>
        <w:t xml:space="preserve"> </w:t>
      </w:r>
      <w:r>
        <w:rPr>
          <w:rFonts w:ascii="Arial" w:cs="Arial" w:eastAsia="Arial" w:hAnsi="Arial"/>
          <w:sz w:val="16"/>
          <w:szCs w:val="16"/>
          <w:i w:val="1"/>
          <w:iCs w:val="1"/>
          <w:color w:val="auto"/>
        </w:rPr>
        <w:t>Property</w:t>
      </w:r>
      <w:r>
        <w:rPr>
          <w:rFonts w:ascii="Arial" w:cs="Arial" w:eastAsia="Arial" w:hAnsi="Arial"/>
          <w:sz w:val="16"/>
          <w:szCs w:val="16"/>
          <w:color w:val="auto"/>
        </w:rPr>
        <w:t>”) shall remain in the Lessee, and the Lessee Property may be removed by the Lessee from time to time and at the expiration or termination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 so long as removal thereof shall not (A) result in the violation of any Applicable Laws in any material respect or (B) adversely affect the Lessee’s ability to comply with its obligations under this Lease or any other Operative Document. Furthermore, the Lessee shall have no obligation to remove the Lessee Property at the expiration or termination of the Term. In particular, the Lessee may opt to (i) sell, dispose or otherwise remove of any or all of the Lessee Property prior to or upon the expiration or termination of the Term or (ii) dismantle and abandon any or all of the Lessee Property. In addition, the Lessee shall have no obligation under this Lease to maintain any of the Lessee Property in its original condition. If the Lessee shall opt not to remove any or all of the Lessee Property at the expiration or termination of the Term, the Lessee Property shall be deemed abandoned and shall become the property of Lessor and Lessor agrees to accept such Lessee Property in AS-IS, WHERE-IS condition on the date of expiration or termination of this Lease. Except as otherwise expressly provided herein, Lessor shall be deemed to have waived any interest, lien or claim of any nature that Lessor, or its successors, assigns, lenders or agents may now have or hereafter obtain in the Lessee Property whether by operation of law, contract or otherwise.</w:t>
      </w:r>
    </w:p>
    <w:p>
      <w:pPr>
        <w:spacing w:after="0" w:line="16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Section 10.3. Permitted Developments. </w:t>
      </w:r>
      <w:r>
        <w:rPr>
          <w:rFonts w:ascii="Arial" w:cs="Arial" w:eastAsia="Arial" w:hAnsi="Arial"/>
          <w:sz w:val="18"/>
          <w:szCs w:val="18"/>
          <w:color w:val="auto"/>
        </w:rPr>
        <w:t>(a) Lessor hereby acknowledges receipt of the existing development plans described on Schedule A attached</w:t>
      </w:r>
      <w:r>
        <w:rPr>
          <w:rFonts w:ascii="Arial" w:cs="Arial" w:eastAsia="Arial" w:hAnsi="Arial"/>
          <w:sz w:val="18"/>
          <w:szCs w:val="18"/>
          <w:i w:val="1"/>
          <w:iCs w:val="1"/>
          <w:color w:val="auto"/>
        </w:rPr>
        <w:t xml:space="preserve"> </w:t>
      </w:r>
      <w:r>
        <w:rPr>
          <w:rFonts w:ascii="Arial" w:cs="Arial" w:eastAsia="Arial" w:hAnsi="Arial"/>
          <w:sz w:val="18"/>
          <w:szCs w:val="18"/>
          <w:color w:val="auto"/>
        </w:rPr>
        <w:t>hereto with respect to certain undeveloped portions of the Site (such portions of the Site, the “</w:t>
      </w:r>
      <w:r>
        <w:rPr>
          <w:rFonts w:ascii="Arial" w:cs="Arial" w:eastAsia="Arial" w:hAnsi="Arial"/>
          <w:sz w:val="18"/>
          <w:szCs w:val="18"/>
          <w:i w:val="1"/>
          <w:iCs w:val="1"/>
          <w:color w:val="auto"/>
        </w:rPr>
        <w:t>Undeveloped Areas</w:t>
      </w:r>
      <w:r>
        <w:rPr>
          <w:rFonts w:ascii="Arial" w:cs="Arial" w:eastAsia="Arial" w:hAnsi="Arial"/>
          <w:sz w:val="18"/>
          <w:szCs w:val="18"/>
          <w:color w:val="auto"/>
        </w:rPr>
        <w:t>”). Notwithstanding Section 10.1(b), Lessee shall be permitted to develop the Undeveloped Areas for uses that are consistent with the use of the Facility permitted hereunder (including, without limitation, wet labs, dry labs and specialty labs, as well as uses appurtenant thereto, including, without limitation, amenities relating thereto such as cafeteria, restaurant, child care, fitness centers and warehouse and storage facilities and parking) and otherwise in a manner in compliance in all material respects with Applicable Laws, and without the consent of Lessor,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6" w:name="page227"/>
    <w:bookmarkEnd w:id="226"/>
    <w:p>
      <w:pPr>
        <w:jc w:val="both"/>
        <w:spacing w:after="0" w:line="257" w:lineRule="auto"/>
        <w:rPr>
          <w:sz w:val="20"/>
          <w:szCs w:val="20"/>
          <w:color w:val="auto"/>
        </w:rPr>
      </w:pPr>
      <w:r>
        <w:rPr>
          <w:rFonts w:ascii="Arial" w:cs="Arial" w:eastAsia="Arial" w:hAnsi="Arial"/>
          <w:sz w:val="18"/>
          <w:szCs w:val="18"/>
          <w:color w:val="auto"/>
        </w:rPr>
        <w:t>Administrative Agent or any of the Participants, so long as the development is permitted under applicable zoning requirements and no Event of Default is continuing or will occur due to such development. At Lessee’s request, Lessor shall enter into a fully financeable ground lease (with nondisturbance and recognition and other customary lender protections) in form and substance reasonably satisfactory to Lessee and Lessor for the Undeveloped Area and, upon execution thereof, such Undeveloped Area subject thereto shall no longer be subject to this Lease. The ground lease shall be triple net and have fair market rent payable thereunder and shall be for a 99-year term.</w:t>
      </w:r>
    </w:p>
    <w:p>
      <w:pPr>
        <w:spacing w:after="0" w:line="188" w:lineRule="exact"/>
        <w:rPr>
          <w:sz w:val="20"/>
          <w:szCs w:val="20"/>
          <w:color w:val="auto"/>
        </w:rPr>
      </w:pPr>
    </w:p>
    <w:p>
      <w:pPr>
        <w:jc w:val="both"/>
        <w:ind w:firstLine="656"/>
        <w:spacing w:after="0" w:line="269" w:lineRule="auto"/>
        <w:tabs>
          <w:tab w:leader="none" w:pos="90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Lessor hereby acknowledges receipt of the existing development plans described on Schedule A attached hereto with respect to certain developed portions of the Site described on Schedule B attached hereto (such portions of the Site, the “</w:t>
      </w:r>
      <w:r>
        <w:rPr>
          <w:rFonts w:ascii="Arial" w:cs="Arial" w:eastAsia="Arial" w:hAnsi="Arial"/>
          <w:sz w:val="17"/>
          <w:szCs w:val="17"/>
          <w:i w:val="1"/>
          <w:iCs w:val="1"/>
          <w:color w:val="auto"/>
        </w:rPr>
        <w:t>Permitted Developed Areas</w:t>
      </w:r>
      <w:r>
        <w:rPr>
          <w:rFonts w:ascii="Arial" w:cs="Arial" w:eastAsia="Arial" w:hAnsi="Arial"/>
          <w:sz w:val="17"/>
          <w:szCs w:val="17"/>
          <w:color w:val="auto"/>
        </w:rPr>
        <w:t>”). Notwithstanding section 10.1(b), Lessee shall be permitted to develop Permitted Developed Areas for uses that are consistent with the uses of the Leased Property permitted hereunder (including, without limitation, wet labs, dry labs and specialty labs, as well as uses appurtenant thereto, including, without limitation, amenities relating thereto such as cafeteria, restaurant, child care, fitness centers and warehouse and storage facilities and parking) and otherwise in a manner in compliance in all material respects with Applicable Laws, and without the consent of Lessor, the Administrative Agent or any of the Participants, so long as the development is permitted under applicable zoning requirements, consistent with the existing use of the Facility and no Event of Default is continuing or will occur due to such development. So long as the Lessee has paid the Permitted Developed Area Release Payment to the Participants (or to the Administrative Agent for distribution to the Participants), at Lessee’s request, Lessor shall enter into a fully financeable ground lease (with nondisturbance and recognition and other customary lender protections) in form and substance reasonably satisfactory to Lessee and Lessor for the Permitted Developed Area and, upon execution thereof, such Permitted Developed Area subject thereto shall no longer be subject to this Lease. The ground lease shall be triple net and have fair market rent payable thereunder and shall be for a 99-year term.</w:t>
      </w:r>
    </w:p>
    <w:p>
      <w:pPr>
        <w:spacing w:after="0" w:line="179" w:lineRule="exact"/>
        <w:rPr>
          <w:rFonts w:ascii="Arial" w:cs="Arial" w:eastAsia="Arial" w:hAnsi="Arial"/>
          <w:sz w:val="17"/>
          <w:szCs w:val="17"/>
          <w:color w:val="auto"/>
        </w:rPr>
      </w:pPr>
    </w:p>
    <w:p>
      <w:pPr>
        <w:jc w:val="both"/>
        <w:ind w:firstLine="656"/>
        <w:spacing w:after="0" w:line="255" w:lineRule="auto"/>
        <w:tabs>
          <w:tab w:leader="none" w:pos="90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Lessor hereby conditionally assigns to Lessee or its designee the right to receive ground lease rent under any ground lease executed pursuant to Section 10.3(a) or 10.3(b) hereof. The assignment hereunder shall terminate upon the occurrence of (i) an Event of Default or (ii) the exercise by the Lessee of the Sale Option. If the assignment under this paragraph (c) is terminated, Lessor is authorized to notify the party paying the ground lease rent that all such ground lease rent shall be payable to the Lessor. To the extent permitted by law for applicable tax purposes, Lessor and Lessee acknowledge and agree that Lessee or its designee, as applicable, intends to disregard the amount of any ground lease rent received from Lessor pursuant to such assignment for U.S. income tax purposes.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OVENANTS WITH</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ESPECT TO</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IENS AND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ASEMENTS</w:t>
      </w:r>
    </w:p>
    <w:p>
      <w:pPr>
        <w:spacing w:after="0" w:line="19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11.1. Covenants with Respect to Liens</w:t>
      </w:r>
      <w:r>
        <w:rPr>
          <w:rFonts w:ascii="Arial" w:cs="Arial" w:eastAsia="Arial" w:hAnsi="Arial"/>
          <w:sz w:val="18"/>
          <w:szCs w:val="18"/>
          <w:color w:val="auto"/>
        </w:rPr>
        <w:t>. (a) During the Term, Lessee will not directly or indirectly create, incur, assume or suffer to exist any</w:t>
      </w:r>
      <w:r>
        <w:rPr>
          <w:rFonts w:ascii="Arial" w:cs="Arial" w:eastAsia="Arial" w:hAnsi="Arial"/>
          <w:sz w:val="18"/>
          <w:szCs w:val="18"/>
          <w:i w:val="1"/>
          <w:iCs w:val="1"/>
          <w:color w:val="auto"/>
        </w:rPr>
        <w:t xml:space="preserve"> </w:t>
      </w:r>
      <w:r>
        <w:rPr>
          <w:rFonts w:ascii="Arial" w:cs="Arial" w:eastAsia="Arial" w:hAnsi="Arial"/>
          <w:sz w:val="18"/>
          <w:szCs w:val="18"/>
          <w:color w:val="auto"/>
        </w:rPr>
        <w:t>Lien (other than Permitted Liens) on or with respect to any portion of the Leased Property, Lessor’s title thereto, or any interest therein. Lessee, at its own expense, will promptly pay, satisfy and otherwise take such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7" w:name="page228"/>
    <w:bookmarkEnd w:id="227"/>
    <w:p>
      <w:pPr>
        <w:ind w:right="20"/>
        <w:spacing w:after="0" w:line="277" w:lineRule="auto"/>
        <w:rPr>
          <w:sz w:val="20"/>
          <w:szCs w:val="20"/>
          <w:color w:val="auto"/>
        </w:rPr>
      </w:pPr>
      <w:r>
        <w:rPr>
          <w:rFonts w:ascii="Arial" w:cs="Arial" w:eastAsia="Arial" w:hAnsi="Arial"/>
          <w:sz w:val="18"/>
          <w:szCs w:val="18"/>
          <w:color w:val="auto"/>
        </w:rPr>
        <w:t>actions as may be necessary to keep the Leased Property free and clear of, and duly to discharge, eliminate or bond in a manner reasonably satisfactory to Lessor and the Administrative Agent, any such Lien (other than Permitted Liens) if the same shall arise at any time.</w:t>
      </w:r>
    </w:p>
    <w:p>
      <w:pPr>
        <w:spacing w:after="0" w:line="170" w:lineRule="exact"/>
        <w:rPr>
          <w:sz w:val="20"/>
          <w:szCs w:val="20"/>
          <w:color w:val="auto"/>
        </w:rPr>
      </w:pPr>
    </w:p>
    <w:p>
      <w:pPr>
        <w:jc w:val="both"/>
        <w:ind w:firstLine="656"/>
        <w:spacing w:after="0" w:line="288" w:lineRule="auto"/>
        <w:tabs>
          <w:tab w:leader="none" w:pos="90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Nothing contained in this Lease shall be construed as constituting the consent or request of Lessor, express or implied, to or for the performance by any contractor, mechanic, laborer, materialman, supplier or vendor of any labor or services or for the furnishing of any materials for any construction, alteration, addition, repair, restoration or demolition of or to the Leased Property or any part thereof. N</w:t>
      </w:r>
      <w:r>
        <w:rPr>
          <w:rFonts w:ascii="Arial" w:cs="Arial" w:eastAsia="Arial" w:hAnsi="Arial"/>
          <w:sz w:val="11"/>
          <w:szCs w:val="11"/>
          <w:color w:val="auto"/>
        </w:rPr>
        <w:t>OTICE IS HEREBY GIVEN THAT NONE OF</w:t>
      </w:r>
      <w:r>
        <w:rPr>
          <w:rFonts w:ascii="Arial" w:cs="Arial" w:eastAsia="Arial" w:hAnsi="Arial"/>
          <w:sz w:val="16"/>
          <w:szCs w:val="16"/>
          <w:color w:val="auto"/>
        </w:rPr>
        <w:t xml:space="preserve"> L</w:t>
      </w:r>
      <w:r>
        <w:rPr>
          <w:rFonts w:ascii="Arial" w:cs="Arial" w:eastAsia="Arial" w:hAnsi="Arial"/>
          <w:sz w:val="11"/>
          <w:szCs w:val="11"/>
          <w:color w:val="auto"/>
        </w:rPr>
        <w:t>ESSOR</w:t>
      </w:r>
      <w:r>
        <w:rPr>
          <w:rFonts w:ascii="Arial" w:cs="Arial" w:eastAsia="Arial" w:hAnsi="Arial"/>
          <w:sz w:val="16"/>
          <w:szCs w:val="16"/>
          <w:color w:val="auto"/>
        </w:rPr>
        <w:t xml:space="preserve">, </w:t>
      </w:r>
      <w:r>
        <w:rPr>
          <w:rFonts w:ascii="Arial" w:cs="Arial" w:eastAsia="Arial" w:hAnsi="Arial"/>
          <w:sz w:val="11"/>
          <w:szCs w:val="11"/>
          <w:color w:val="auto"/>
        </w:rPr>
        <w:t>THE</w:t>
      </w:r>
    </w:p>
    <w:p>
      <w:pPr>
        <w:spacing w:after="0"/>
        <w:rPr>
          <w:rFonts w:ascii="Arial" w:cs="Arial" w:eastAsia="Arial" w:hAnsi="Arial"/>
          <w:sz w:val="16"/>
          <w:szCs w:val="16"/>
          <w:color w:val="auto"/>
        </w:rPr>
      </w:pPr>
      <w:r>
        <w:rPr>
          <w:rFonts w:ascii="Arial" w:cs="Arial" w:eastAsia="Arial" w:hAnsi="Arial"/>
          <w:sz w:val="18"/>
          <w:szCs w:val="18"/>
          <w:color w:val="auto"/>
        </w:rPr>
        <w:t>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 OR ANY OF THE</w:t>
      </w:r>
      <w:r>
        <w:rPr>
          <w:rFonts w:ascii="Arial" w:cs="Arial" w:eastAsia="Arial" w:hAnsi="Arial"/>
          <w:sz w:val="18"/>
          <w:szCs w:val="18"/>
          <w:color w:val="auto"/>
        </w:rPr>
        <w:t xml:space="preserve"> P</w:t>
      </w:r>
      <w:r>
        <w:rPr>
          <w:rFonts w:ascii="Arial" w:cs="Arial" w:eastAsia="Arial" w:hAnsi="Arial"/>
          <w:sz w:val="12"/>
          <w:szCs w:val="12"/>
          <w:color w:val="auto"/>
        </w:rPr>
        <w:t>ARTICIPANTS IS OR SHALL BE LIABLE FOR ANY LABOR</w:t>
      </w:r>
      <w:r>
        <w:rPr>
          <w:rFonts w:ascii="Arial" w:cs="Arial" w:eastAsia="Arial" w:hAnsi="Arial"/>
          <w:sz w:val="18"/>
          <w:szCs w:val="18"/>
          <w:color w:val="auto"/>
        </w:rPr>
        <w:t xml:space="preserve">, </w:t>
      </w:r>
      <w:r>
        <w:rPr>
          <w:rFonts w:ascii="Arial" w:cs="Arial" w:eastAsia="Arial" w:hAnsi="Arial"/>
          <w:sz w:val="12"/>
          <w:szCs w:val="12"/>
          <w:color w:val="auto"/>
        </w:rPr>
        <w:t>SERVICES OR MATERIALS FURNISHED OR TO BE FURNISHED TO THE</w:t>
      </w:r>
      <w:r>
        <w:rPr>
          <w:rFonts w:ascii="Arial" w:cs="Arial" w:eastAsia="Arial" w:hAnsi="Arial"/>
          <w:sz w:val="18"/>
          <w:szCs w:val="18"/>
          <w:color w:val="auto"/>
        </w:rPr>
        <w:t xml:space="preserve"> L</w:t>
      </w:r>
      <w:r>
        <w:rPr>
          <w:rFonts w:ascii="Arial" w:cs="Arial" w:eastAsia="Arial" w:hAnsi="Arial"/>
          <w:sz w:val="12"/>
          <w:szCs w:val="12"/>
          <w:color w:val="auto"/>
        </w:rPr>
        <w:t>ESSEE</w:t>
      </w:r>
      <w:r>
        <w:rPr>
          <w:rFonts w:ascii="Arial" w:cs="Arial" w:eastAsia="Arial" w:hAnsi="Arial"/>
          <w:sz w:val="18"/>
          <w:szCs w:val="18"/>
          <w:color w:val="auto"/>
        </w:rPr>
        <w:t xml:space="preserve">, </w:t>
      </w:r>
      <w:r>
        <w:rPr>
          <w:rFonts w:ascii="Arial" w:cs="Arial" w:eastAsia="Arial" w:hAnsi="Arial"/>
          <w:sz w:val="12"/>
          <w:szCs w:val="12"/>
          <w:color w:val="auto"/>
        </w:rPr>
        <w:t>OR TO</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ANYONE HOLDING THE </w:t>
      </w:r>
      <w:r>
        <w:rPr>
          <w:rFonts w:ascii="Arial" w:cs="Arial" w:eastAsia="Arial" w:hAnsi="Arial"/>
          <w:sz w:val="18"/>
          <w:szCs w:val="18"/>
          <w:color w:val="auto"/>
        </w:rPr>
        <w:t>L</w:t>
      </w:r>
      <w:r>
        <w:rPr>
          <w:rFonts w:ascii="Arial" w:cs="Arial" w:eastAsia="Arial" w:hAnsi="Arial"/>
          <w:sz w:val="12"/>
          <w:szCs w:val="12"/>
          <w:color w:val="auto"/>
        </w:rPr>
        <w:t xml:space="preserve">EASED </w:t>
      </w:r>
      <w:r>
        <w:rPr>
          <w:rFonts w:ascii="Arial" w:cs="Arial" w:eastAsia="Arial" w:hAnsi="Arial"/>
          <w:sz w:val="18"/>
          <w:szCs w:val="18"/>
          <w:color w:val="auto"/>
        </w:rPr>
        <w:t>P</w:t>
      </w:r>
      <w:r>
        <w:rPr>
          <w:rFonts w:ascii="Arial" w:cs="Arial" w:eastAsia="Arial" w:hAnsi="Arial"/>
          <w:sz w:val="12"/>
          <w:szCs w:val="12"/>
          <w:color w:val="auto"/>
        </w:rPr>
        <w:t xml:space="preserve">ROPERTY OR ANY PART THEREOF THROUGH OR UNDER THE </w:t>
      </w:r>
      <w:r>
        <w:rPr>
          <w:rFonts w:ascii="Arial" w:cs="Arial" w:eastAsia="Arial" w:hAnsi="Arial"/>
          <w:sz w:val="18"/>
          <w:szCs w:val="18"/>
          <w:color w:val="auto"/>
        </w:rPr>
        <w:t>L</w:t>
      </w:r>
      <w:r>
        <w:rPr>
          <w:rFonts w:ascii="Arial" w:cs="Arial" w:eastAsia="Arial" w:hAnsi="Arial"/>
          <w:sz w:val="12"/>
          <w:szCs w:val="12"/>
          <w:color w:val="auto"/>
        </w:rPr>
        <w:t>ESSEE</w:t>
      </w:r>
      <w:r>
        <w:rPr>
          <w:rFonts w:ascii="Arial" w:cs="Arial" w:eastAsia="Arial" w:hAnsi="Arial"/>
          <w:sz w:val="18"/>
          <w:szCs w:val="18"/>
          <w:color w:val="auto"/>
        </w:rPr>
        <w:t>,</w:t>
      </w:r>
      <w:r>
        <w:rPr>
          <w:rFonts w:ascii="Arial" w:cs="Arial" w:eastAsia="Arial" w:hAnsi="Arial"/>
          <w:sz w:val="12"/>
          <w:szCs w:val="12"/>
          <w:color w:val="auto"/>
        </w:rPr>
        <w:t xml:space="preserve"> AND THAT NO MECHANIC</w:t>
      </w:r>
      <w:r>
        <w:rPr>
          <w:rFonts w:ascii="Arial" w:cs="Arial" w:eastAsia="Arial" w:hAnsi="Arial"/>
          <w:sz w:val="18"/>
          <w:szCs w:val="18"/>
          <w:color w:val="auto"/>
        </w:rPr>
        <w:t>’</w:t>
      </w:r>
      <w:r>
        <w:rPr>
          <w:rFonts w:ascii="Arial" w:cs="Arial" w:eastAsia="Arial" w:hAnsi="Arial"/>
          <w:sz w:val="12"/>
          <w:szCs w:val="12"/>
          <w:color w:val="auto"/>
        </w:rPr>
        <w:t xml:space="preserve">S OR OTHER </w:t>
      </w:r>
      <w:r>
        <w:rPr>
          <w:rFonts w:ascii="Arial" w:cs="Arial" w:eastAsia="Arial" w:hAnsi="Arial"/>
          <w:sz w:val="18"/>
          <w:szCs w:val="18"/>
          <w:color w:val="auto"/>
        </w:rPr>
        <w:t>L</w:t>
      </w:r>
      <w:r>
        <w:rPr>
          <w:rFonts w:ascii="Arial" w:cs="Arial" w:eastAsia="Arial" w:hAnsi="Arial"/>
          <w:sz w:val="12"/>
          <w:szCs w:val="12"/>
          <w:color w:val="auto"/>
        </w:rPr>
        <w:t>IENS FOR ANY SUCH LABOR</w:t>
      </w:r>
      <w:r>
        <w:rPr>
          <w:rFonts w:ascii="Arial" w:cs="Arial" w:eastAsia="Arial" w:hAnsi="Arial"/>
          <w:sz w:val="18"/>
          <w:szCs w:val="18"/>
          <w:color w:val="auto"/>
        </w:rPr>
        <w:t>,</w:t>
      </w:r>
      <w:r>
        <w:rPr>
          <w:rFonts w:ascii="Arial" w:cs="Arial" w:eastAsia="Arial" w:hAnsi="Arial"/>
          <w:sz w:val="12"/>
          <w:szCs w:val="12"/>
          <w:color w:val="auto"/>
        </w:rPr>
        <w:t xml:space="preserve"> SERVICES OR MATERIALS SHALL ATTACH TO OR AFFECT THE INTEREST OF </w:t>
      </w:r>
      <w:r>
        <w:rPr>
          <w:rFonts w:ascii="Arial" w:cs="Arial" w:eastAsia="Arial" w:hAnsi="Arial"/>
          <w:sz w:val="18"/>
          <w:szCs w:val="18"/>
          <w:color w:val="auto"/>
        </w:rPr>
        <w:t>L</w:t>
      </w:r>
      <w:r>
        <w:rPr>
          <w:rFonts w:ascii="Arial" w:cs="Arial" w:eastAsia="Arial" w:hAnsi="Arial"/>
          <w:sz w:val="12"/>
          <w:szCs w:val="12"/>
          <w:color w:val="auto"/>
        </w:rPr>
        <w:t>ESSOR</w:t>
      </w:r>
      <w:r>
        <w:rPr>
          <w:rFonts w:ascii="Arial" w:cs="Arial" w:eastAsia="Arial" w:hAnsi="Arial"/>
          <w:sz w:val="18"/>
          <w:szCs w:val="18"/>
          <w:color w:val="auto"/>
        </w:rPr>
        <w:t>,</w:t>
      </w:r>
      <w:r>
        <w:rPr>
          <w:rFonts w:ascii="Arial" w:cs="Arial" w:eastAsia="Arial" w:hAnsi="Arial"/>
          <w:sz w:val="12"/>
          <w:szCs w:val="12"/>
          <w:color w:val="auto"/>
        </w:rPr>
        <w:t xml:space="preserve"> THE </w:t>
      </w:r>
      <w:r>
        <w:rPr>
          <w:rFonts w:ascii="Arial" w:cs="Arial" w:eastAsia="Arial" w:hAnsi="Arial"/>
          <w:sz w:val="18"/>
          <w:szCs w:val="18"/>
          <w:color w:val="auto"/>
        </w:rPr>
        <w:t>A</w:t>
      </w:r>
      <w:r>
        <w:rPr>
          <w:rFonts w:ascii="Arial" w:cs="Arial" w:eastAsia="Arial" w:hAnsi="Arial"/>
          <w:sz w:val="12"/>
          <w:szCs w:val="12"/>
          <w:color w:val="auto"/>
        </w:rPr>
        <w:t xml:space="preserve">DMINISTRATIVE </w:t>
      </w:r>
      <w:r>
        <w:rPr>
          <w:rFonts w:ascii="Arial" w:cs="Arial" w:eastAsia="Arial" w:hAnsi="Arial"/>
          <w:sz w:val="18"/>
          <w:szCs w:val="18"/>
          <w:color w:val="auto"/>
        </w:rPr>
        <w:t>A</w:t>
      </w:r>
      <w:r>
        <w:rPr>
          <w:rFonts w:ascii="Arial" w:cs="Arial" w:eastAsia="Arial" w:hAnsi="Arial"/>
          <w:sz w:val="12"/>
          <w:szCs w:val="12"/>
          <w:color w:val="auto"/>
        </w:rPr>
        <w:t xml:space="preserve">GENT OR ANY </w:t>
      </w:r>
      <w:r>
        <w:rPr>
          <w:rFonts w:ascii="Arial" w:cs="Arial" w:eastAsia="Arial" w:hAnsi="Arial"/>
          <w:sz w:val="18"/>
          <w:szCs w:val="18"/>
          <w:color w:val="auto"/>
        </w:rPr>
        <w:t>P</w:t>
      </w:r>
      <w:r>
        <w:rPr>
          <w:rFonts w:ascii="Arial" w:cs="Arial" w:eastAsia="Arial" w:hAnsi="Arial"/>
          <w:sz w:val="12"/>
          <w:szCs w:val="12"/>
          <w:color w:val="auto"/>
        </w:rPr>
        <w:t xml:space="preserve">ARTICIPANT IN AND TO THE </w:t>
      </w:r>
      <w:r>
        <w:rPr>
          <w:rFonts w:ascii="Arial" w:cs="Arial" w:eastAsia="Arial" w:hAnsi="Arial"/>
          <w:sz w:val="18"/>
          <w:szCs w:val="18"/>
          <w:color w:val="auto"/>
        </w:rPr>
        <w:t>L</w:t>
      </w:r>
      <w:r>
        <w:rPr>
          <w:rFonts w:ascii="Arial" w:cs="Arial" w:eastAsia="Arial" w:hAnsi="Arial"/>
          <w:sz w:val="12"/>
          <w:szCs w:val="12"/>
          <w:color w:val="auto"/>
        </w:rPr>
        <w:t xml:space="preserve">EASED </w:t>
      </w:r>
      <w:r>
        <w:rPr>
          <w:rFonts w:ascii="Arial" w:cs="Arial" w:eastAsia="Arial" w:hAnsi="Arial"/>
          <w:sz w:val="18"/>
          <w:szCs w:val="18"/>
          <w:color w:val="auto"/>
        </w:rPr>
        <w:t>P</w:t>
      </w:r>
      <w:r>
        <w:rPr>
          <w:rFonts w:ascii="Arial" w:cs="Arial" w:eastAsia="Arial" w:hAnsi="Arial"/>
          <w:sz w:val="12"/>
          <w:szCs w:val="12"/>
          <w:color w:val="auto"/>
        </w:rPr>
        <w:t xml:space="preserve">ROPERTY AND THE OTHER </w:t>
      </w:r>
      <w:r>
        <w:rPr>
          <w:rFonts w:ascii="Arial" w:cs="Arial" w:eastAsia="Arial" w:hAnsi="Arial"/>
          <w:sz w:val="18"/>
          <w:szCs w:val="18"/>
          <w:color w:val="auto"/>
        </w:rPr>
        <w:t>C</w:t>
      </w:r>
      <w:r>
        <w:rPr>
          <w:rFonts w:ascii="Arial" w:cs="Arial" w:eastAsia="Arial" w:hAnsi="Arial"/>
          <w:sz w:val="12"/>
          <w:szCs w:val="12"/>
          <w:color w:val="auto"/>
        </w:rPr>
        <w:t>OLLATERAL</w:t>
      </w:r>
      <w:r>
        <w:rPr>
          <w:rFonts w:ascii="Arial" w:cs="Arial" w:eastAsia="Arial" w:hAnsi="Arial"/>
          <w:sz w:val="18"/>
          <w:szCs w:val="18"/>
          <w:color w:val="auto"/>
        </w:rPr>
        <w:t>.</w:t>
      </w:r>
    </w:p>
    <w:p>
      <w:pPr>
        <w:spacing w:after="0" w:line="19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i w:val="1"/>
          <w:iCs w:val="1"/>
          <w:color w:val="auto"/>
        </w:rPr>
        <w:t>Section 11.2. Lessee’s Grants and Releases of Easements; Lessor’s Waivers</w:t>
      </w:r>
      <w:r>
        <w:rPr>
          <w:rFonts w:ascii="Arial" w:cs="Arial" w:eastAsia="Arial" w:hAnsi="Arial"/>
          <w:sz w:val="17"/>
          <w:szCs w:val="17"/>
          <w:color w:val="auto"/>
        </w:rPr>
        <w:t>. Following the Base Term Commencement Date and</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no Event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Default shall have occurred and be continuing at the time of the applicable action by the Lessee, and subject to the provisions of Articles VII, IX and X and Section 8.2, and without the requirement of any further instrument or action of Lessor, Lessor hereby consents in each instance to the following actions by the Lessee in the name and stead of Lessor and as the true and lawful attorney-in-fact of Lessor with full power and authority to execute documents on behalf of Lessor for the following purposes, but at the Lessee’s sole cost and expense: (a) the granting of, or entry into agreements in connection with, easements, licenses, rights-of-way, building and use restrictions and covenants and other rights and privileges in the nature of easements or similar interests and burdens reasonably necessary or desirable for the use, repair, maintenance or protection of the Leased Property as herein provided; (b) the release of existing easements or other rights in the nature of easements which are for the benefit of, or burden to, the Leased Property; (c) the execution of amendments to, or waivers or releases of, any easements, licenses or covenants and restrictions affecting the Site; (d) the exercise of all rights under any redevelopment agreement or document contemplated thereby affecting the Site and (e) the procurement, continuance, renewal and replacement of all licenses, permits and other authorizations required under Applicable Law to use, operate, maintain and develop the Leased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each case (i) such grant, release, dedication, transfer, amendment, agreement or other action does not materially impair the Fair Market Value, utility, residual value or remaining useful life of the Leased Property; (ii) such grant, release, dedication, transfer, amendment, agreement or other action in the Lessee’s judgment is reasonably necessary in connection with the use, maintenance, alteration or improvement of the Leased Property; (iii) such grant, release, dedication, transfer, amendment, agreement or other action will not cause the Leased Property or any portion thereof to fail to comply with the provisions of this Lease or any other Operative Documents or any Applicable Laws (including, without limitation, all applicable Environmental Laws, zoning, planning, building and subdivision ordinances, any applicable restrictive covenants and any applicable architectural approval requirements); (iv) all governmental consents or approvals required prior to such grant, release, dedication, transfer, amendment, agreement or other action have been obtained, and all filings with any Governmental Authorities required prior to such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8" w:name="page229"/>
    <w:bookmarkEnd w:id="228"/>
    <w:p>
      <w:pPr>
        <w:jc w:val="both"/>
        <w:spacing w:after="0" w:line="288" w:lineRule="auto"/>
        <w:rPr>
          <w:sz w:val="20"/>
          <w:szCs w:val="20"/>
          <w:color w:val="auto"/>
        </w:rPr>
      </w:pPr>
      <w:r>
        <w:rPr>
          <w:rFonts w:ascii="Arial" w:cs="Arial" w:eastAsia="Arial" w:hAnsi="Arial"/>
          <w:sz w:val="16"/>
          <w:szCs w:val="16"/>
          <w:color w:val="auto"/>
        </w:rPr>
        <w:t xml:space="preserve">action have been made; (v) the Lessee shall remain obligated under this Lease and under any instrument executed by the Lessee consenting to the assignment of Lessor’s interest in this Lease as security for indebtedness, in each such case in accordance with their terms, as though such grant, release, dedication, transfer, amendment, agreement or other action had not been effected; (vi) during the Term, the Lessee shall timely pay and perform any obligations of Lessor under such grant, release, dedication, transfer, amendment, agreement or other action and (vii) with respect to any action described in Section 11.2(a) through Section 11.2(d), inclusive, no such action described in such sections could reasonably be expected to have a Material Adverse Effect. Without limiting the effectiveness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Event of Default shall have occurred and be continuing, Lessor shall, upon the request of the Lessee, and at the Lessee’s sole cost and expense, execute and deliver any instruments necessary or appropriate to confirm any such grant, release, dedication, transfer, amendment, agreement or other action to any Person permitted under this Section. By undertaking any of the acts described in clauses (a) through (e) above, Lessee shall be deemed to have represented and warranted to each of the Participants that each such grant, release, dedication, transfer, amendment, agreement or other action complies with and Lessee has satisfied each of the requirements listed in clauses (i) through (vii) in the proviso above.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ERMITTED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ONTESTS</w:t>
      </w:r>
    </w:p>
    <w:p>
      <w:pPr>
        <w:spacing w:after="0" w:line="19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Section 12.1. Permitted Contests in Respect of Applicable Laws</w:t>
      </w:r>
      <w:r>
        <w:rPr>
          <w:rFonts w:ascii="Arial" w:cs="Arial" w:eastAsia="Arial" w:hAnsi="Arial"/>
          <w:sz w:val="16"/>
          <w:szCs w:val="16"/>
          <w:color w:val="auto"/>
        </w:rPr>
        <w:t>. Notwithstanding anything contained herein or in any Operative Document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contrary (but subject to the last sentence of this paragraph), if, to the extent and for so long as (x) a test, challenge, contest, appeal or proceeding for review of</w:t>
      </w:r>
    </w:p>
    <w:p>
      <w:pPr>
        <w:jc w:val="both"/>
        <w:ind w:firstLine="8"/>
        <w:spacing w:after="0" w:line="267" w:lineRule="auto"/>
        <w:tabs>
          <w:tab w:leader="none" w:pos="25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any Applicable Laws relating to the Leased Property or any part thereof or the obligation to comply therewith or (b) any Supplemental Rent payable to any Person other than Lessor, Administrative Agent or any Lender, shall be prosecuted diligently and in good faith in appropriate proceedings by the Lessee or (y) compliance with such Applicable Laws shall have been excused or exempted by a valid nonconforming use, variance, permit, waiver, extension or forbearance, during the Term, Lessee shall not be required to comply with such Applicable Laws or to make such payment but only if and so long as any such test, challenge, contest, appeal, proceeding, waiver, extension, forbearance or noncompliance shall not, in the reasonable opinion of Lessor and the Administrative Agent, or, in the case of (A) (B)(2) or (B)(5) below, in the reasonable opinion of any affected Participant, involve (A) any risk of criminal liability being imposed on Lessor, Administrative Agent or any Participant or (B) any material risk of (1) the foreclosure, forfeiture or loss of the Leased Property, or any material part thereof, (2) the nonpayment, reduction or abatement of Rent to Lessor, Administrative Agent or any Lender, (3) the interruption or cancellation of any insurance coverage required to be maintained by the Lessee pursuant to Article XIII, (4) any sale of, or the creation of any Lien (other than a Permitted Lien) on, any material part of the Leased Property (</w:t>
      </w:r>
      <w:r>
        <w:rPr>
          <w:rFonts w:ascii="Arial" w:cs="Arial" w:eastAsia="Arial" w:hAnsi="Arial"/>
          <w:sz w:val="17"/>
          <w:szCs w:val="17"/>
          <w:i w:val="1"/>
          <w:iCs w:val="1"/>
          <w:color w:val="auto"/>
        </w:rPr>
        <w:t>provided, however</w:t>
      </w:r>
      <w:r>
        <w:rPr>
          <w:rFonts w:ascii="Arial" w:cs="Arial" w:eastAsia="Arial" w:hAnsi="Arial"/>
          <w:sz w:val="17"/>
          <w:szCs w:val="17"/>
          <w:color w:val="auto"/>
        </w:rPr>
        <w:t>, nothing herein shall be deemed to reduce or diminish Lessee’s obligations under Section 11.1), (5) civil liability being imposed on Lessor, the Administrative Agent or any Participant for which the Lessee is not obligated, or has not otherwise agreed, to fully indemnify such parties under the Operative Documents, or (6) enjoinment of, or interference with, the use, possession or disposition of the Leased Property in any material respect. Subject to Article XIII of the Participation Agreement, Lessee shall also have a right to contest and appeal any Taxes or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t>Impositions.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Lessor will not be required to join in any proceedings pursuant to this Section 12.1 unless a provision of any Applicable Laws requires that such proceedings be brought by or in the name of Lessor; and in that event Lessor will join in the proceedings or permit them or any part thereof to be brought in its name if and so long as (i) the Lessee has not elected the Sale Option and (ii) the Lessee agrees in writing to pay, and pays, all related out-of-pocket expenses and agrees in writing to indemnify Lessor, the Administrative Agent and the Participants, in form and substance reasonably satisfactory to each of the respective Indemnitees, in respect of any claim relating thereto (it being agreed that exceptions and/or limitations to any such indemnity of the type set forth in Article XIII of the Participation Agreement shall be deemed to be satisfactory to each of the respective Indemnitees).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NSURANCE</w:t>
      </w:r>
    </w:p>
    <w:p>
      <w:pPr>
        <w:spacing w:after="0" w:line="19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Section 13.1. Required Coverages</w:t>
      </w:r>
      <w:r>
        <w:rPr>
          <w:rFonts w:ascii="Arial" w:cs="Arial" w:eastAsia="Arial" w:hAnsi="Arial"/>
          <w:sz w:val="18"/>
          <w:szCs w:val="18"/>
          <w:color w:val="auto"/>
        </w:rPr>
        <w:t>. During the Term, Lessee will provide or cause to be provided insurance with respect to the Leased Property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coverages and amounts:</w:t>
      </w:r>
    </w:p>
    <w:p>
      <w:pPr>
        <w:spacing w:after="0" w:line="170" w:lineRule="exact"/>
        <w:rPr>
          <w:sz w:val="20"/>
          <w:szCs w:val="20"/>
          <w:color w:val="auto"/>
        </w:rPr>
      </w:pPr>
    </w:p>
    <w:p>
      <w:pPr>
        <w:jc w:val="both"/>
        <w:ind w:left="660" w:firstLine="645"/>
        <w:spacing w:after="0" w:line="302" w:lineRule="auto"/>
        <w:tabs>
          <w:tab w:leader="none" w:pos="1566"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General Liability Insurance</w:t>
      </w:r>
      <w:r>
        <w:rPr>
          <w:rFonts w:ascii="Arial" w:cs="Arial" w:eastAsia="Arial" w:hAnsi="Arial"/>
          <w:sz w:val="16"/>
          <w:szCs w:val="16"/>
          <w:color w:val="auto"/>
        </w:rPr>
        <w:t>. Combined single limit insurance against claims for third-party bodily injury, including death, and third-party property damage occurring as a result of the ownership, use, maintenance or operation of the Leased Property in an amount, at least equal to $1,000,000 per occurrence and $2,000,000 annual aggregate. Such coverage may be subject to deductibles up to an amount that is consistent with Lessee’s insurance program for similar property owned or leased by Lessee. Any such deductible shall be for the sole account of Lessee.</w:t>
      </w:r>
    </w:p>
    <w:p>
      <w:pPr>
        <w:spacing w:after="0" w:line="154" w:lineRule="exact"/>
        <w:rPr>
          <w:rFonts w:ascii="Arial" w:cs="Arial" w:eastAsia="Arial" w:hAnsi="Arial"/>
          <w:sz w:val="16"/>
          <w:szCs w:val="16"/>
          <w:color w:val="auto"/>
        </w:rPr>
      </w:pPr>
    </w:p>
    <w:p>
      <w:pPr>
        <w:ind w:left="660" w:firstLine="645"/>
        <w:spacing w:after="0" w:line="277" w:lineRule="auto"/>
        <w:tabs>
          <w:tab w:leader="none" w:pos="1563"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Property Insurance</w:t>
      </w:r>
      <w:r>
        <w:rPr>
          <w:rFonts w:ascii="Arial" w:cs="Arial" w:eastAsia="Arial" w:hAnsi="Arial"/>
          <w:sz w:val="18"/>
          <w:szCs w:val="18"/>
          <w:color w:val="auto"/>
        </w:rPr>
        <w:t>. Insurance against all-risk of physical loss of or damage to the Leased Property or any portion thereof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insurable peril in an amount equivalent to the replacement cost of the Leased Property.</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53"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Builder’s Risk</w:t>
      </w:r>
      <w:r>
        <w:rPr>
          <w:rFonts w:ascii="Arial" w:cs="Arial" w:eastAsia="Arial" w:hAnsi="Arial"/>
          <w:sz w:val="18"/>
          <w:szCs w:val="18"/>
          <w:color w:val="auto"/>
        </w:rPr>
        <w:t>. Lessee shall during the construction of any Modifications maintain, for the benefit of the Participants, all risk Builders’</w:t>
      </w:r>
      <w:r>
        <w:rPr>
          <w:rFonts w:ascii="Arial" w:cs="Arial" w:eastAsia="Arial" w:hAnsi="Arial"/>
          <w:sz w:val="18"/>
          <w:szCs w:val="18"/>
          <w:i w:val="1"/>
          <w:iCs w:val="1"/>
          <w:color w:val="auto"/>
        </w:rPr>
        <w:t xml:space="preserve"> </w:t>
      </w:r>
      <w:r>
        <w:rPr>
          <w:rFonts w:ascii="Arial" w:cs="Arial" w:eastAsia="Arial" w:hAnsi="Arial"/>
          <w:sz w:val="18"/>
          <w:szCs w:val="18"/>
          <w:color w:val="auto"/>
        </w:rPr>
        <w:t>Risk Insurance in an amount at least equal to the replacement value of the Facility or Modifications, as applicable. The Builder’s risk insurance coverage required herein may be included in Lessee’s property insurance.</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563"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Workers’ Compensation and Employers Liability. </w:t>
      </w:r>
      <w:r>
        <w:rPr>
          <w:rFonts w:ascii="Arial" w:cs="Arial" w:eastAsia="Arial" w:hAnsi="Arial"/>
          <w:sz w:val="18"/>
          <w:szCs w:val="18"/>
          <w:color w:val="auto"/>
        </w:rPr>
        <w:t>Lessee shall maintain during the Term of this Lease, including during construction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Modifications and the operation of the Leased Property, statutory workers’ compensation insurance in compliance with the Applicable Laws and employer’s liability insurance in an amount of $1,000,000 bodily injury for each accident, bodily injury for each employee by disease and policy limit by disease.</w:t>
      </w:r>
    </w:p>
    <w:p>
      <w:pPr>
        <w:spacing w:after="0" w:line="186" w:lineRule="exact"/>
        <w:rPr>
          <w:rFonts w:ascii="Arial" w:cs="Arial" w:eastAsia="Arial" w:hAnsi="Arial"/>
          <w:sz w:val="18"/>
          <w:szCs w:val="18"/>
          <w:color w:val="auto"/>
        </w:rPr>
      </w:pPr>
    </w:p>
    <w:p>
      <w:pPr>
        <w:ind w:left="660" w:right="20" w:firstLine="645"/>
        <w:spacing w:after="0" w:line="277" w:lineRule="auto"/>
        <w:tabs>
          <w:tab w:leader="none" w:pos="1553"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Flood Insurance. </w:t>
      </w:r>
      <w:r>
        <w:rPr>
          <w:rFonts w:ascii="Arial" w:cs="Arial" w:eastAsia="Arial" w:hAnsi="Arial"/>
          <w:sz w:val="18"/>
          <w:szCs w:val="18"/>
          <w:color w:val="auto"/>
        </w:rPr>
        <w:t>Lessee shall, at any time, if any portion of the Site, Facility, any Improvements or Modifications are located in an area</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by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30" w:name="page231"/>
    <w:bookmarkEnd w:id="230"/>
    <w:p>
      <w:pPr>
        <w:ind w:left="660"/>
        <w:spacing w:after="0" w:line="308" w:lineRule="auto"/>
        <w:rPr>
          <w:sz w:val="20"/>
          <w:szCs w:val="20"/>
          <w:color w:val="auto"/>
        </w:rPr>
      </w:pPr>
      <w:r>
        <w:rPr>
          <w:rFonts w:ascii="Arial" w:cs="Arial" w:eastAsia="Arial" w:hAnsi="Arial"/>
          <w:sz w:val="17"/>
          <w:szCs w:val="17"/>
          <w:color w:val="auto"/>
        </w:rPr>
        <w:t>Federal Emergency Management Agency of the United States of America or other applicable Governmental Authority as having special flood and mudslide hazards, obtain flood insurance on such portion of the Site, Facility, any Improvements or Modifications, as applicable.</w:t>
      </w:r>
    </w:p>
    <w:p>
      <w:pPr>
        <w:spacing w:after="0" w:line="147" w:lineRule="exact"/>
        <w:rPr>
          <w:sz w:val="20"/>
          <w:szCs w:val="20"/>
          <w:color w:val="auto"/>
        </w:rPr>
      </w:pPr>
    </w:p>
    <w:p>
      <w:pPr>
        <w:jc w:val="both"/>
        <w:ind w:left="660" w:firstLine="645"/>
        <w:spacing w:after="0" w:line="264" w:lineRule="auto"/>
        <w:tabs>
          <w:tab w:leader="none" w:pos="1533"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Excess/Umbrella Liability</w:t>
      </w:r>
      <w:r>
        <w:rPr>
          <w:rFonts w:ascii="Arial" w:cs="Arial" w:eastAsia="Arial" w:hAnsi="Arial"/>
          <w:sz w:val="18"/>
          <w:szCs w:val="18"/>
          <w:color w:val="auto"/>
        </w:rPr>
        <w:t>. Excess/Umbrella insurance providing coverage in excess of the insurance coverage required in paragraph (a)</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employer’s liability insurance required in paragraph (d) herein with a limit of $10,000,000 per occurrence and $10,000,000 in the annual aggregate.</w:t>
      </w:r>
    </w:p>
    <w:p>
      <w:pPr>
        <w:spacing w:after="0" w:line="181"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i w:val="1"/>
          <w:iCs w:val="1"/>
          <w:color w:val="auto"/>
        </w:rPr>
        <w:t>Section 13.2. Insurance Coverage</w:t>
      </w:r>
      <w:r>
        <w:rPr>
          <w:rFonts w:ascii="Arial" w:cs="Arial" w:eastAsia="Arial" w:hAnsi="Arial"/>
          <w:sz w:val="16"/>
          <w:szCs w:val="16"/>
          <w:color w:val="auto"/>
        </w:rPr>
        <w:t>. The insurance coverage required in Section 13.1 shall be written by reputable insurance companies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financially sound and solvent and otherwise reasonably appropriate considering the amount and type of insurance being provided by such companies. Any insurance company selected by Lessee shall be rated in A.M. Best’s Insurance Guide or any successor thereto (or if there be none, an organization having a similar national reputation) and shall have a general policyholder rating of “A-” (or comparable rating for a rating by an organization other than A.M. Best) and a financial rating of at least “VIII” (or comparable rating for a rating by an organization other than A.M. Best) or be otherwise reasonably acceptable to the Required Participants. All policies of insurance required herein, with the exception of workers compensation, shall name Lessor, the Administrative Agent and each Participant, as additional insureds and, in the case of property insurance maintained by Lessee, it shall name the Administrative Agent, as mortgagee and sole loss payee with respect to the Leased Property (but subject to the obligations of Administrative Agent under Section 14.1 of this Lease). Each policy referred to in Section 13.1 shall provide that: (i) it will not be canceled or its limits reduced, or allowed to lapse without renewal, except after not less than thirty (30) days’ prior written notice to Lessor and Administrative Agent (and after not less than ten (10) days for nonpayment of premium); (ii) the interests of Lessor, the Administrative Agent and any Participant shall not be invalidated by any act or negligence of or breach of warranty or representation by Lessee or any other Person having an interest in the Leased Property; (iii) such insurance is primary with respect to any other insurance carried by or available to Lessor, the Administrative Agent or any Participant; (iv) the insurer shall waive any right of subrogation against the Participants and Administrative Agent; and (v) any such liability policy shall contain a cross-liability/separation of insureds clause providing for coverage of Lessor, the Administrative Agent and each Participant, as if separate policies had been issued to each of them. Lessee will promptly provide Lessor with prior written notice of any policy modification or amendment that will result in the applicable insurance policy no longer satisfying with the requirements of Section 13.1 hereof.</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Section 13.3. Delivery of Insurance Certificates</w:t>
      </w:r>
      <w:r>
        <w:rPr>
          <w:rFonts w:ascii="Arial" w:cs="Arial" w:eastAsia="Arial" w:hAnsi="Arial"/>
          <w:sz w:val="17"/>
          <w:szCs w:val="17"/>
          <w:color w:val="auto"/>
        </w:rPr>
        <w:t>. On or before the Original Closing Date, Lessee delivered to Administrative Agent and Lessor</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certificates of insurance evidencing the existence of all insurance required to be maintained hereunder and setting forth the respective coverages, limits of liability, carrier, policy number and period of coverage. Throughout the Term, at the time each of Lessee’s insurance policies is renewed (but in no event less frequently than once each year) or upon written request by Lessor following an Event of Default, Lessee shall deliver to Administrative Agent and Lessor certificates of insurance evidencing that all insurance required by Sections 13.1 and 13.2 to be maintained by Lessee is in effect.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31" w:name="page232"/>
    <w:bookmarkEnd w:id="231"/>
    <w:p>
      <w:pPr>
        <w:jc w:val="both"/>
        <w:ind w:firstLine="432"/>
        <w:spacing w:after="0" w:line="259" w:lineRule="auto"/>
        <w:rPr>
          <w:sz w:val="20"/>
          <w:szCs w:val="20"/>
          <w:color w:val="auto"/>
        </w:rPr>
      </w:pPr>
      <w:r>
        <w:rPr>
          <w:rFonts w:ascii="Arial" w:cs="Arial" w:eastAsia="Arial" w:hAnsi="Arial"/>
          <w:sz w:val="18"/>
          <w:szCs w:val="18"/>
          <w:i w:val="1"/>
          <w:iCs w:val="1"/>
          <w:color w:val="auto"/>
        </w:rPr>
        <w:t>Section 13.4. Insurance by Lessor, Administrative Agent or any Participant</w:t>
      </w:r>
      <w:r>
        <w:rPr>
          <w:rFonts w:ascii="Arial" w:cs="Arial" w:eastAsia="Arial" w:hAnsi="Arial"/>
          <w:sz w:val="18"/>
          <w:szCs w:val="18"/>
          <w:color w:val="auto"/>
        </w:rPr>
        <w:t>. Lessor, the Administrative Agent or any Participant may at its own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carry insurance with respect to its interest in the Leased Property, and any insurance payments received from policies maintained by Lessor, the Administrative Agent or any Participant shall be retained by Lessor, the Administrative Agent or such Participant, as the case may be, without reducing or otherwise affecting Lessee’s obligations hereunder.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ASUALTY AND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ONDEMNATION</w:t>
      </w:r>
    </w:p>
    <w:p>
      <w:pPr>
        <w:spacing w:after="0" w:line="195"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i w:val="1"/>
          <w:iCs w:val="1"/>
          <w:color w:val="auto"/>
        </w:rPr>
        <w:t>Section 14.1. Casualty and Condemnation</w:t>
      </w:r>
      <w:r>
        <w:rPr>
          <w:rFonts w:ascii="Arial" w:cs="Arial" w:eastAsia="Arial" w:hAnsi="Arial"/>
          <w:sz w:val="16"/>
          <w:szCs w:val="16"/>
          <w:color w:val="auto"/>
        </w:rPr>
        <w:t>. (a) Subject to the provisions of this Article XIV, if all or any portion of the Leased Property suffers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Casualty during the Term (other than a Significant Casualty as to which a Termination Notice has been given), Lessee shall give notice thereof to Lessor promptly after Lessee has knowledge thereof and Lessee shall control the negotiations with the relevant insurer (unless an Event of Default exists in which case Lessor shall be entitled to control such negotiations) and, except as otherwise provided in this Section 14.1, and any insurance proceeds payable by an insurer with respect to such Casualty up to $50,000,000 individually and $100,000,000 in the aggregate per annum shall be paid directly to the Lessee, or if received by Lessor, the Administrative Agent or the Lenders, shall be paid over to the Lessee and shall be used by Lessee solely for the reconstruction, restoration and repair of such Leased Property, and if the use of, access to, occupancy of or title to the Leased Property or any part thereof is the subject of a Condemnation (other than a Significant Condemnation as to which a Termination Notice has been given), then any award or compensation relating thereto up to $50,000,000 individually and $100,000,000 in the aggregate per annum shall be paid to the Lessee and shall be used by Lessee solely for the restoration of the Leased Property. Notwithstanding the foregoing, if any Event of Default shall have occurred and be continuing, such award, compensation or insurance proceeds payable by an insurer shall be paid directly to the Administrative Agent or, if received by the Lessee, shall be held in trust for the Participants and shall be paid over by the Lessee to the Administrative Agent. All amounts held by Lessor or Administrative Agent on account of any award, compensation or insurance proceeds either paid directly to Lessor or Administrative Agent or turned over to Lessor or Administrative Agent, to the extent not otherwise required to be paid to the Lessee, shall be held in trust in a segregated account and applied to reimburse the Lessee from time to time during the course of the Lessee’s reconstruction, restoration and/or repair of the Leased Property and compliance with the provisions of Article IX hereof (or to otherwise make payments for any costs and expenses thereof as directed by the Lessee);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each case after the occurrence and during the continuance of an Event of Default such proceeds shall at the option of Lessor (at the direction of the Required Participants) either be (A) paid to the Lessee for the reconstruction, restoration and/or repair of such Leased Property subject to such Casualty or Condemnation in accordance with this clause (A), or (B) applied to the Lease Balance and any other amounts owed by Lessee under the Operative Documents in accordance with Article XVI.</w:t>
      </w:r>
    </w:p>
    <w:p>
      <w:pPr>
        <w:spacing w:after="0" w:line="171" w:lineRule="exact"/>
        <w:rPr>
          <w:sz w:val="20"/>
          <w:szCs w:val="20"/>
          <w:color w:val="auto"/>
        </w:rPr>
      </w:pPr>
    </w:p>
    <w:p>
      <w:pPr>
        <w:jc w:val="both"/>
        <w:ind w:firstLine="656"/>
        <w:spacing w:after="0" w:line="264" w:lineRule="auto"/>
        <w:tabs>
          <w:tab w:leader="none" w:pos="92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event any part of the Leased Property becomes subject to condemnation or requisition proceedings during the Term, Lessee shall give notice thereof to Lessor promptly after Lessee has knowledge thereof and, to the extent permitted by Applicable Laws, Lessee shall control the negotiations with the relevant Governmental Authority unless an Event of Default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32" w:name="page233"/>
    <w:bookmarkEnd w:id="232"/>
    <w:p>
      <w:pPr>
        <w:jc w:val="both"/>
        <w:spacing w:after="0" w:line="254" w:lineRule="auto"/>
        <w:rPr>
          <w:sz w:val="20"/>
          <w:szCs w:val="20"/>
          <w:color w:val="auto"/>
        </w:rPr>
      </w:pPr>
      <w:r>
        <w:rPr>
          <w:rFonts w:ascii="Arial" w:cs="Arial" w:eastAsia="Arial" w:hAnsi="Arial"/>
          <w:sz w:val="18"/>
          <w:szCs w:val="18"/>
          <w:color w:val="auto"/>
        </w:rPr>
        <w:t xml:space="preserve">exists or such condemnation or requisition could result in a Significant Condemnation in which case Lessor shall be entitled to control such negotiations; </w:t>
      </w:r>
      <w:r>
        <w:rPr>
          <w:rFonts w:ascii="Arial" w:cs="Arial" w:eastAsia="Arial" w:hAnsi="Arial"/>
          <w:sz w:val="18"/>
          <w:szCs w:val="18"/>
          <w:i w:val="1"/>
          <w:iCs w:val="1"/>
          <w:color w:val="auto"/>
        </w:rPr>
        <w:t>provided</w:t>
      </w:r>
      <w:r>
        <w:rPr>
          <w:rFonts w:ascii="Arial" w:cs="Arial" w:eastAsia="Arial" w:hAnsi="Arial"/>
          <w:sz w:val="18"/>
          <w:szCs w:val="18"/>
          <w:color w:val="auto"/>
        </w:rPr>
        <w:t>, that in any event, Lessor may participate at Lessor’s expense (or, if an Event of Default exists, Lessor may control or participate at Lessee’s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expense) in such negotiations;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all cases, that no settlement will be made without Lessor’s prior written consent (which consent shall not be unreasonably withheld, conditioned or delayed). Lessee shall give to Lessor such information, and copies of such documents, which relate to such proceedings, or which relate to the settlement of amounts due under insurance policies required by Article XIII, and are in the possession of Lessee, as are reasonably requested by Lessor. If the proceedings relate to a Significant Condemnation, Lessee shall act diligently in connection therewith. Nothing contained in this Section 14.1(b) shall diminish Lessor’s rights with respect to condemnation awards and property insurance proceeds under Articles XIII or XIV.</w:t>
      </w:r>
    </w:p>
    <w:p>
      <w:pPr>
        <w:spacing w:after="0" w:line="192" w:lineRule="exact"/>
        <w:rPr>
          <w:sz w:val="20"/>
          <w:szCs w:val="20"/>
          <w:color w:val="auto"/>
        </w:rPr>
      </w:pPr>
    </w:p>
    <w:p>
      <w:pPr>
        <w:ind w:firstLine="656"/>
        <w:spacing w:after="0" w:line="277" w:lineRule="auto"/>
        <w:tabs>
          <w:tab w:leader="none" w:pos="8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no event shall a Casualty or Condemnation affect the Lessee’s obligations to pay Rent pursuant to Section 3.1 or to perform its obligations and pay any amounts due on the Expiration Date or pursuant to Articles XVIII and XXI.</w:t>
      </w:r>
    </w:p>
    <w:p>
      <w:pPr>
        <w:spacing w:after="0" w:line="170" w:lineRule="exact"/>
        <w:rPr>
          <w:rFonts w:ascii="Arial" w:cs="Arial" w:eastAsia="Arial" w:hAnsi="Arial"/>
          <w:sz w:val="18"/>
          <w:szCs w:val="18"/>
          <w:color w:val="auto"/>
        </w:rPr>
      </w:pPr>
    </w:p>
    <w:p>
      <w:pPr>
        <w:jc w:val="both"/>
        <w:ind w:firstLine="656"/>
        <w:spacing w:after="0" w:line="287" w:lineRule="auto"/>
        <w:tabs>
          <w:tab w:leader="none" w:pos="90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If, pursuant to this Article XIV, this Lease shall continue in full force and effect following a Casualty or Condemnation,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of the Administrative Agent and the Participants releases and remits to Lessee all award, compensation or insurance proceeds held by the Administrative Agent or Lessor, as applicable, the Lessee shall, at its sole cost and expense (and, without limitation, if any award, compensation or insurance payment is not sufficient to restore the Leased Property in accordance with this clause (d), Lessee shall pay the shortfall), promptly and diligently repair any damage to the Leased Property caused by such Casualty or Condemnation in conformity with the requirements of Sections 9.1 and 10.1 so as to restore, to the extent practicable, the Leased Property to at least substantially the same condition and value, in each case in all material respects, as existed immediately prior to such Casualty or Condemnation or to another use permitted under Section 8.1;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following completion of such changes and restorations, the value of the Leased Property is not substantially less than the value of the Leased Property immediately prior to such Casualty or Condemnation. In such event, title to the Leased Property shall remain with Lessor subject to the terms of this Lease. Upon completion of restorations with costs in excess of $5,000,000, upon the request of Lessor, the Lessee shall furnish to Lessor a Responsible Officer’s Certificate confirming that such restoration has been completed pursuant to this Lease. Any proceeds remaining after completion of such restoration shall be paid to, or retained by, as applicable, the Lessee.</w:t>
      </w:r>
    </w:p>
    <w:p>
      <w:pPr>
        <w:spacing w:after="0" w:line="17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Section 14.2. Environmental Matters</w:t>
      </w:r>
      <w:r>
        <w:rPr>
          <w:rFonts w:ascii="Arial" w:cs="Arial" w:eastAsia="Arial" w:hAnsi="Arial"/>
          <w:sz w:val="17"/>
          <w:szCs w:val="17"/>
          <w:color w:val="auto"/>
        </w:rPr>
        <w:t>. During the Term, at Lessee’s sole cost and expense, Lessee shall in a reasonably prompt and diligent manner</w:t>
      </w:r>
      <w:r>
        <w:rPr>
          <w:rFonts w:ascii="Arial" w:cs="Arial" w:eastAsia="Arial" w:hAnsi="Arial"/>
          <w:sz w:val="17"/>
          <w:szCs w:val="17"/>
          <w:i w:val="1"/>
          <w:iCs w:val="1"/>
          <w:color w:val="auto"/>
        </w:rPr>
        <w:t xml:space="preserve"> </w:t>
      </w:r>
      <w:r>
        <w:rPr>
          <w:rFonts w:ascii="Arial" w:cs="Arial" w:eastAsia="Arial" w:hAnsi="Arial"/>
          <w:sz w:val="17"/>
          <w:szCs w:val="17"/>
          <w:color w:val="auto"/>
        </w:rPr>
        <w:t>undertake or cause to be undertaken any investigation, response, clean up, remedial restoration or other action necessary to investigate, remove, clean up, remediate or otherwise address any Environmental Violation to the extent required by Applicable Laws with respect to the Leased Property or at any off-site location impacted by any environmental condition or activities at, on or from the Leased Property.</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Section 14.3. Notice of Environmental Matters</w:t>
      </w:r>
      <w:r>
        <w:rPr>
          <w:rFonts w:ascii="Arial" w:cs="Arial" w:eastAsia="Arial" w:hAnsi="Arial"/>
          <w:sz w:val="18"/>
          <w:szCs w:val="18"/>
          <w:color w:val="auto"/>
        </w:rPr>
        <w:t>. (a) Lessee shall provide to Lessor written notice of any pending or threatened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Claim, action or proceeding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33" w:name="page234"/>
    <w:bookmarkEnd w:id="233"/>
    <w:p>
      <w:pPr>
        <w:jc w:val="both"/>
        <w:spacing w:after="0" w:line="253" w:lineRule="auto"/>
        <w:rPr>
          <w:sz w:val="20"/>
          <w:szCs w:val="20"/>
          <w:color w:val="auto"/>
        </w:rPr>
      </w:pPr>
      <w:r>
        <w:rPr>
          <w:rFonts w:ascii="Arial" w:cs="Arial" w:eastAsia="Arial" w:hAnsi="Arial"/>
          <w:sz w:val="18"/>
          <w:szCs w:val="18"/>
          <w:color w:val="auto"/>
        </w:rPr>
        <w:t>involving any Environmental Violation or any Release on, at, under or from the Leased Property, from which violation or Release could reasonably be expected to require in excess of $500,000 in remediation costs, or which could reasonably be expected to result in the imposition of material civil liability or criminal penalties upon Lessor, the Administrative Agent or any Participant (any such Environmental Violation or Release, a “</w:t>
      </w:r>
      <w:r>
        <w:rPr>
          <w:rFonts w:ascii="Arial" w:cs="Arial" w:eastAsia="Arial" w:hAnsi="Arial"/>
          <w:sz w:val="18"/>
          <w:szCs w:val="18"/>
          <w:i w:val="1"/>
          <w:iCs w:val="1"/>
          <w:color w:val="auto"/>
        </w:rPr>
        <w:t>Material Environmental</w:t>
      </w:r>
      <w:r>
        <w:rPr>
          <w:rFonts w:ascii="Arial" w:cs="Arial" w:eastAsia="Arial" w:hAnsi="Arial"/>
          <w:sz w:val="18"/>
          <w:szCs w:val="18"/>
          <w:color w:val="auto"/>
        </w:rPr>
        <w:t xml:space="preserve"> </w:t>
      </w:r>
      <w:r>
        <w:rPr>
          <w:rFonts w:ascii="Arial" w:cs="Arial" w:eastAsia="Arial" w:hAnsi="Arial"/>
          <w:sz w:val="18"/>
          <w:szCs w:val="18"/>
          <w:i w:val="1"/>
          <w:iCs w:val="1"/>
          <w:color w:val="auto"/>
        </w:rPr>
        <w:t>Violation</w:t>
      </w:r>
      <w:r>
        <w:rPr>
          <w:rFonts w:ascii="Arial" w:cs="Arial" w:eastAsia="Arial" w:hAnsi="Arial"/>
          <w:sz w:val="18"/>
          <w:szCs w:val="18"/>
          <w:color w:val="auto"/>
        </w:rPr>
        <w:t>”), as promptly as reasonably practicable after becoming aware of such pending or threatened Environmental Claims. All such notices shall describe</w:t>
      </w:r>
      <w:r>
        <w:rPr>
          <w:rFonts w:ascii="Arial" w:cs="Arial" w:eastAsia="Arial" w:hAnsi="Arial"/>
          <w:sz w:val="18"/>
          <w:szCs w:val="18"/>
          <w:i w:val="1"/>
          <w:iCs w:val="1"/>
          <w:color w:val="auto"/>
        </w:rPr>
        <w:t xml:space="preserve"> </w:t>
      </w:r>
      <w:r>
        <w:rPr>
          <w:rFonts w:ascii="Arial" w:cs="Arial" w:eastAsia="Arial" w:hAnsi="Arial"/>
          <w:sz w:val="18"/>
          <w:szCs w:val="18"/>
          <w:color w:val="auto"/>
        </w:rPr>
        <w:t>in reasonable detail the nature of the Material Environmental Violation, including any Environmental Claims, actions or proceedings in respect thereof, and Lessee’s proposed response thereto. In addition, Lessee shall provide to Lessor and Administrative Agent, within ten (10) Business Days of receipt, copies of all material communications with any Governmental Authority relating to any such Material Environmental Violation. Lessee shall also as promptly as reasonably practicable provide such detailed reports of any such Material Environmental Violations as may reasonably be requested by Lessor or Administrative Agent.</w:t>
      </w:r>
    </w:p>
    <w:p>
      <w:pPr>
        <w:spacing w:after="0" w:line="197" w:lineRule="exact"/>
        <w:rPr>
          <w:sz w:val="20"/>
          <w:szCs w:val="20"/>
          <w:color w:val="auto"/>
        </w:rPr>
      </w:pPr>
    </w:p>
    <w:p>
      <w:pPr>
        <w:jc w:val="both"/>
        <w:ind w:firstLine="656"/>
        <w:spacing w:after="0" w:line="285" w:lineRule="auto"/>
        <w:tabs>
          <w:tab w:leader="none" w:pos="91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In the event that any Material Environmental Violation (x) could reasonably be expected to require remediation costs of $1,000,000 or more as determined by Lessor acting in its reasonable discretion, or (y) could reasonably be expected to result in the imposition of material civil liability or criminal penalties upon Lessor, the Administrative Agent or any Participant, of $1,000,000 or more, as determined by such party acting in its reasonable discretion (such a Material Environmental Violation shall be referred to herein as a “</w:t>
      </w:r>
      <w:r>
        <w:rPr>
          <w:rFonts w:ascii="Arial" w:cs="Arial" w:eastAsia="Arial" w:hAnsi="Arial"/>
          <w:sz w:val="16"/>
          <w:szCs w:val="16"/>
          <w:i w:val="1"/>
          <w:iCs w:val="1"/>
          <w:color w:val="auto"/>
        </w:rPr>
        <w:t>Specified Material Environmental Violation</w:t>
      </w:r>
      <w:r>
        <w:rPr>
          <w:rFonts w:ascii="Arial" w:cs="Arial" w:eastAsia="Arial" w:hAnsi="Arial"/>
          <w:sz w:val="16"/>
          <w:szCs w:val="16"/>
          <w:color w:val="auto"/>
        </w:rPr>
        <w:t>”), Lessee shall (1) promptly cause a report by an environmental consultant selected by Lessee and reasonably acceptable to Lessor to be delivered to Lessor, which report shall (i) describe the Specified Material Environmental Violation and the remedial actions to be taken by Lessee (or its agents) in response to such Specified Material Environmental Violation (and including the anticipated time period in which such Specified Material Environmental Violation is capable of being remedied assuming Lessee (or its agents) are diligently performing such remediation), (ii) contain an estimate for all remediation expenses (including any fines and/or related costs) and the duration of such remedial actions and (iii) contain a statement by such consultant that such Specified Material Environmental Violation would be remedied in compliance in all material respects with applicable Environmental Law after the completion of such remedial actions described in such report and (2) provide evidence, reasonably satisfactory to Lessor, of sufficient financial means to pay for (i) all remediation expenses (including any fines and/or related costs) in the amounts set forth in such consultant’s report and (ii) all indemnification obligations of Lessee arising under this Lease or any other Operative Documents (including, without limitation, any legal defense costs of a pending, threatened, and/or anticipated civil or criminal proceeding), or, if not reasonably satisfactory to Lessor, Lessee shall post collateral in such amount as reasonably determined by the Lessor. Lessor shall have the right to terminate this Lease due to such Specified Material Environmental Violation, pursuant to the terms of Article XV hereof, if (x) Lessor reasonably determines that such environmental consultant’s report delivered in connection with such Specified Material Environmental Violation contains manifest error and based upon such error, Lessor determines that the remedial actions described in such report would not result in such Specified Material Environmental Violation being remedied (1) in compliance in all material respects with applicable Environmental Law, (2) for the costs set forth in such consultant’s report or (3) within the time period set forth in such consultant’s report or (y) the Lessee has failed to provide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34" w:name="page235"/>
    <w:bookmarkEnd w:id="234"/>
    <w:p>
      <w:pPr>
        <w:jc w:val="both"/>
        <w:spacing w:after="0" w:line="293" w:lineRule="auto"/>
        <w:rPr>
          <w:sz w:val="20"/>
          <w:szCs w:val="20"/>
          <w:color w:val="auto"/>
        </w:rPr>
      </w:pPr>
      <w:r>
        <w:rPr>
          <w:rFonts w:ascii="Arial" w:cs="Arial" w:eastAsia="Arial" w:hAnsi="Arial"/>
          <w:sz w:val="16"/>
          <w:szCs w:val="16"/>
          <w:color w:val="auto"/>
        </w:rPr>
        <w:t xml:space="preserve">evidence (or, in the alternative, the posting of collateral), reasonably satisfactory to Lessor, of sufficient financial means to pay for (i) all remediation expenses (including any fines and/or related costs) and (ii) all indemnification obligations of Lessee arising under this Lease or any other Operative Documents (including, without limitation, any legal defense costs of a pending, threatened, and/or anticipated civil or criminal proceeding), in each case, in such amounts as have been reasonably determined by the Required Participants, after consultation, at Lessee’s sole cost and expense, with such environmental consultant;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subclause (y), only if such failure continues beyond a period to be agreed after written notification to the Lessee of such amounts so determined by the Required Participants and, if applicable, that previously delivered evidence is not reasonably satisfactory to Lessor.</w:t>
      </w:r>
    </w:p>
    <w:p>
      <w:pPr>
        <w:spacing w:after="0" w:line="165" w:lineRule="exact"/>
        <w:rPr>
          <w:sz w:val="20"/>
          <w:szCs w:val="20"/>
          <w:color w:val="auto"/>
        </w:rPr>
      </w:pPr>
    </w:p>
    <w:p>
      <w:pPr>
        <w:jc w:val="both"/>
        <w:ind w:firstLine="656"/>
        <w:spacing w:after="0" w:line="297" w:lineRule="auto"/>
        <w:tabs>
          <w:tab w:leader="none" w:pos="903" w:val="left"/>
        </w:tabs>
        <w:numPr>
          <w:ilvl w:val="0"/>
          <w:numId w:val="179"/>
        </w:numPr>
        <w:rPr>
          <w:rFonts w:ascii="Arial" w:cs="Arial" w:eastAsia="Arial" w:hAnsi="Arial"/>
          <w:sz w:val="16"/>
          <w:szCs w:val="16"/>
          <w:color w:val="auto"/>
        </w:rPr>
      </w:pPr>
      <w:r>
        <w:rPr>
          <w:rFonts w:ascii="Arial" w:cs="Arial" w:eastAsia="Arial" w:hAnsi="Arial"/>
          <w:sz w:val="16"/>
          <w:szCs w:val="16"/>
          <w:color w:val="auto"/>
        </w:rPr>
        <w:t>Lessee shall diligently perform, or cause to be diligently performed, all investigative and remedial actions to cause any Material Environmental Violation to be remediated in compliance in all material respects with applicable Environmental Law and, upon completion of remedial action of any Material Environmental Violation by Lessee, Lessee shall cause to be prepared by an environmental consultant reasonably acceptable to Lessor a report describing the Material Environmental Violation and the actions taken by Lessee (or its agents) in response to such Material Environmental Violation, and a statement by the consultant that the Material Environmental Violation has been remedied in compliance in all material respects with applicable Environmental Law.</w:t>
      </w:r>
    </w:p>
    <w:p>
      <w:pPr>
        <w:spacing w:after="0" w:line="158" w:lineRule="exact"/>
        <w:rPr>
          <w:rFonts w:ascii="Arial" w:cs="Arial" w:eastAsia="Arial" w:hAnsi="Arial"/>
          <w:sz w:val="16"/>
          <w:szCs w:val="16"/>
          <w:color w:val="auto"/>
        </w:rPr>
      </w:pPr>
    </w:p>
    <w:p>
      <w:pPr>
        <w:jc w:val="both"/>
        <w:ind w:firstLine="656"/>
        <w:spacing w:after="0" w:line="264" w:lineRule="auto"/>
        <w:tabs>
          <w:tab w:leader="none" w:pos="90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Each such Material Environmental Violation shall be remedied prior to the Expiration Date unless all, but not less than all, of the Leased Property has been purchased by Lessee in accordance with Article XV or Article XVIII. Nothing in this Article XIV shall reduce or limit Lessee’s obligations elsewhere in this Lease or under the Participation Agreement.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ERMINATION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EASE</w:t>
      </w:r>
    </w:p>
    <w:p>
      <w:pPr>
        <w:spacing w:after="0" w:line="19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Section 15.1. Termination upon Certain Events</w:t>
      </w:r>
      <w:r>
        <w:rPr>
          <w:rFonts w:ascii="Arial" w:cs="Arial" w:eastAsia="Arial" w:hAnsi="Arial"/>
          <w:sz w:val="18"/>
          <w:szCs w:val="18"/>
          <w:color w:val="auto"/>
        </w:rPr>
        <w:t>. (a) If an Event of Loss or Specified Significant Environmental Event occurs during the Term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Leased Property, then Lessor may elect to terminate this Lease by giving written notice (a “</w:t>
      </w:r>
      <w:r>
        <w:rPr>
          <w:rFonts w:ascii="Arial" w:cs="Arial" w:eastAsia="Arial" w:hAnsi="Arial"/>
          <w:sz w:val="18"/>
          <w:szCs w:val="18"/>
          <w:i w:val="1"/>
          <w:iCs w:val="1"/>
          <w:color w:val="auto"/>
        </w:rPr>
        <w:t>Termination Notice</w:t>
      </w:r>
      <w:r>
        <w:rPr>
          <w:rFonts w:ascii="Arial" w:cs="Arial" w:eastAsia="Arial" w:hAnsi="Arial"/>
          <w:sz w:val="18"/>
          <w:szCs w:val="18"/>
          <w:color w:val="auto"/>
        </w:rPr>
        <w:t>”) to the Lessee (within sixty (60) days of Lessor obtaining actual knowledge of the Event of Loss or Specified Significant Environmental Event), with such termination to be effective on the Payment Date specified in Section 15.1(b). If Lessor fails to elect to terminate this Lease as provided in this Section 15.1(a), Lessor shall be deemed to have elected to require Lessee to restore, rebuild or remediate the Leased Property pursuant to Section 14.1(d) or Section 14.3, as applicable, and Lessee shall undertake and diligently pursue such restoration, rebuilding or remediation.</w:t>
      </w:r>
    </w:p>
    <w:p>
      <w:pPr>
        <w:spacing w:after="0" w:line="193" w:lineRule="exact"/>
        <w:rPr>
          <w:sz w:val="20"/>
          <w:szCs w:val="20"/>
          <w:color w:val="auto"/>
        </w:rPr>
      </w:pPr>
    </w:p>
    <w:p>
      <w:pPr>
        <w:jc w:val="both"/>
        <w:ind w:firstLine="656"/>
        <w:spacing w:after="0" w:line="264" w:lineRule="auto"/>
        <w:tabs>
          <w:tab w:leader="none" w:pos="90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Following Lessee’s receipt of the Termination Notice, the Lessee shall be obligated to purchase Lessor’s interest in all, but not less than all, of the Leased Property on the date occurring ninety (90) days from the date Lessee receives the Termination Notice (or the next occurring Business Day) by paying an amount equal to the Purchase Amount to the Administrative Agent.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35" w:name="page236"/>
    <w:bookmarkEnd w:id="235"/>
    <w:p>
      <w:pPr>
        <w:ind w:firstLine="432"/>
        <w:spacing w:after="0" w:line="342" w:lineRule="auto"/>
        <w:rPr>
          <w:sz w:val="20"/>
          <w:szCs w:val="20"/>
          <w:color w:val="auto"/>
        </w:rPr>
      </w:pPr>
      <w:r>
        <w:rPr>
          <w:rFonts w:ascii="Arial" w:cs="Arial" w:eastAsia="Arial" w:hAnsi="Arial"/>
          <w:sz w:val="16"/>
          <w:szCs w:val="16"/>
          <w:i w:val="1"/>
          <w:iCs w:val="1"/>
          <w:color w:val="auto"/>
        </w:rPr>
        <w:t>Section 15.2. Termination Procedures</w:t>
      </w:r>
      <w:r>
        <w:rPr>
          <w:rFonts w:ascii="Arial" w:cs="Arial" w:eastAsia="Arial" w:hAnsi="Arial"/>
          <w:sz w:val="16"/>
          <w:szCs w:val="16"/>
          <w:color w:val="auto"/>
        </w:rPr>
        <w:t>. On the date of the payment by the Lessee of the Purchase Amount in accordance with Section 15.1(b) (such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w:t>
      </w:r>
      <w:r>
        <w:rPr>
          <w:rFonts w:ascii="Arial" w:cs="Arial" w:eastAsia="Arial" w:hAnsi="Arial"/>
          <w:sz w:val="16"/>
          <w:szCs w:val="16"/>
          <w:i w:val="1"/>
          <w:iCs w:val="1"/>
          <w:color w:val="auto"/>
        </w:rPr>
        <w:t>Termination Date</w:t>
      </w:r>
      <w:r>
        <w:rPr>
          <w:rFonts w:ascii="Arial" w:cs="Arial" w:eastAsia="Arial" w:hAnsi="Arial"/>
          <w:sz w:val="16"/>
          <w:szCs w:val="16"/>
          <w:color w:val="auto"/>
        </w:rPr>
        <w:t>”), this Lease shall terminate and, concurrent with the Administrative Agent’s (or, as applicable, Lessor’s) receipt of such payment:</w:t>
      </w:r>
    </w:p>
    <w:p>
      <w:pPr>
        <w:spacing w:after="0" w:line="124" w:lineRule="exact"/>
        <w:rPr>
          <w:sz w:val="20"/>
          <w:szCs w:val="20"/>
          <w:color w:val="auto"/>
        </w:rPr>
      </w:pPr>
    </w:p>
    <w:p>
      <w:pPr>
        <w:ind w:left="1520" w:hanging="215"/>
        <w:spacing w:after="0"/>
        <w:tabs>
          <w:tab w:leader="none" w:pos="15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Lessor and Lessee shall comply with the provisions of Sections 21.1(i) through 21.1(iv); and</w:t>
      </w:r>
    </w:p>
    <w:p>
      <w:pPr>
        <w:spacing w:after="0" w:line="225" w:lineRule="exact"/>
        <w:rPr>
          <w:rFonts w:ascii="Arial" w:cs="Arial" w:eastAsia="Arial" w:hAnsi="Arial"/>
          <w:sz w:val="18"/>
          <w:szCs w:val="18"/>
          <w:color w:val="auto"/>
        </w:rPr>
      </w:pPr>
    </w:p>
    <w:p>
      <w:pPr>
        <w:jc w:val="both"/>
        <w:ind w:left="660" w:firstLine="645"/>
        <w:spacing w:after="0" w:line="255" w:lineRule="auto"/>
        <w:tabs>
          <w:tab w:leader="none" w:pos="158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Lessor, the Administrative Agent and each of the Participants shall convey to the Lessee any net proceeds (that is, after deducting all reasonable and documented costs and expenses incurred by Lessor, Administrative Agent or any Participant incident to collecting any such proceeds of the Event of Loss or Specified Significant Environmental Event, including, without limitation, reasonable fees and expenses for counsel, subject to the limitations set forth in Section 15.17 of the Participation Agreement) with respect to the Event of Loss or Specified Significant Environmental Event giving rise to the termination of this Lease theretofore received by Lessor, the Administrative Agent or such Participant, as applicable, or, at the request of the Lessee, to the extent actually received and if acceptable to Lessor in its sole judgment, Lessor shall apply such amounts against sums due hereunder.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VENTS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EFAULT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Section 16.1. Events of Default</w:t>
      </w:r>
      <w:r>
        <w:rPr>
          <w:rFonts w:ascii="Arial" w:cs="Arial" w:eastAsia="Arial" w:hAnsi="Arial"/>
          <w:sz w:val="17"/>
          <w:szCs w:val="17"/>
          <w:color w:val="auto"/>
        </w:rPr>
        <w:t>. The occurrence and continuation of any one or more of the following events shall constitute an “</w:t>
      </w:r>
      <w:r>
        <w:rPr>
          <w:rFonts w:ascii="Arial" w:cs="Arial" w:eastAsia="Arial" w:hAnsi="Arial"/>
          <w:sz w:val="17"/>
          <w:szCs w:val="17"/>
          <w:i w:val="1"/>
          <w:iCs w:val="1"/>
          <w:color w:val="auto"/>
        </w:rPr>
        <w:t>Event of Default</w:t>
      </w:r>
      <w:r>
        <w:rPr>
          <w:rFonts w:ascii="Arial" w:cs="Arial" w:eastAsia="Arial" w:hAnsi="Arial"/>
          <w:sz w:val="17"/>
          <w:szCs w:val="17"/>
          <w:color w:val="auto"/>
        </w:rPr>
        <w:t>”:</w:t>
      </w:r>
    </w:p>
    <w:p>
      <w:pPr>
        <w:spacing w:after="0" w:line="237" w:lineRule="exact"/>
        <w:rPr>
          <w:sz w:val="20"/>
          <w:szCs w:val="20"/>
          <w:color w:val="auto"/>
        </w:rPr>
      </w:pPr>
    </w:p>
    <w:p>
      <w:pPr>
        <w:ind w:left="1540" w:hanging="235"/>
        <w:spacing w:after="0"/>
        <w:tabs>
          <w:tab w:leader="none" w:pos="1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occurrence of a Payment Default;</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Lessee shall fail to maintain insurance as required by Section 13.1 and Section 13.2 of this Lease;</w:t>
      </w:r>
    </w:p>
    <w:p>
      <w:pPr>
        <w:spacing w:after="0" w:line="225" w:lineRule="exact"/>
        <w:rPr>
          <w:rFonts w:ascii="Arial" w:cs="Arial" w:eastAsia="Arial" w:hAnsi="Arial"/>
          <w:sz w:val="18"/>
          <w:szCs w:val="18"/>
          <w:color w:val="auto"/>
        </w:rPr>
      </w:pPr>
    </w:p>
    <w:p>
      <w:pPr>
        <w:jc w:val="both"/>
        <w:ind w:left="660" w:firstLine="645"/>
        <w:spacing w:after="0" w:line="255" w:lineRule="auto"/>
        <w:tabs>
          <w:tab w:leader="none" w:pos="156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the Lessee shall fail to observe or perform any covenant, condition or agreement applicable to it (or its Subsidiaries, to the extent applicable) contained in Sections 9.1 of the Participation Agreement (solely with respect to Lessee’s existence) or (ii) any Guarantor shall fail to observe or perform any covenant, condition or agreement applicable to it (or its Subsidiaries, to the extent applicable) contained in Sections 8(b)(i) of the Guaranty, 8(c) of the Guaranty (solely with respect to the existence of Lessee, the Parent Guarantor or any other Guarantor that is also a borrower under the Bank Credit Agreement), 8(h) of the Guaranty or Section 9 of the Guaranty (other than clause (y) of Section 9(b) of the Guaranty);</w:t>
      </w:r>
    </w:p>
    <w:p>
      <w:pPr>
        <w:spacing w:after="0" w:line="193" w:lineRule="exact"/>
        <w:rPr>
          <w:rFonts w:ascii="Arial" w:cs="Arial" w:eastAsia="Arial" w:hAnsi="Arial"/>
          <w:sz w:val="18"/>
          <w:szCs w:val="18"/>
          <w:color w:val="auto"/>
        </w:rPr>
      </w:pPr>
    </w:p>
    <w:p>
      <w:pPr>
        <w:jc w:val="both"/>
        <w:ind w:left="660" w:firstLine="645"/>
        <w:spacing w:after="0" w:line="312" w:lineRule="auto"/>
        <w:tabs>
          <w:tab w:leader="none" w:pos="156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representation, warranty or statement made or deemed to be made by or on behalf of Lessee or any Guarantor, as applicable, in or in connection with any Operative Document to which it is a party or in any report, certificate, financial statement or other document furnished pursuant to or in connection with this Lease or any other Operative Document (including any amendment or modification thereof or waiver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36" w:name="page237"/>
    <w:bookmarkEnd w:id="236"/>
    <w:p>
      <w:pPr>
        <w:ind w:left="4"/>
        <w:spacing w:after="0"/>
        <w:rPr>
          <w:sz w:val="20"/>
          <w:szCs w:val="20"/>
          <w:color w:val="auto"/>
        </w:rPr>
      </w:pPr>
      <w:r>
        <w:rPr>
          <w:rFonts w:ascii="Arial" w:cs="Arial" w:eastAsia="Arial" w:hAnsi="Arial"/>
          <w:sz w:val="18"/>
          <w:szCs w:val="18"/>
          <w:color w:val="auto"/>
        </w:rPr>
        <w:t>thereunder) shall prove to have been incorrect in any material respect when made or deemed made;</w:t>
      </w:r>
    </w:p>
    <w:p>
      <w:pPr>
        <w:spacing w:after="0" w:line="225" w:lineRule="exact"/>
        <w:rPr>
          <w:sz w:val="20"/>
          <w:szCs w:val="20"/>
          <w:color w:val="auto"/>
        </w:rPr>
      </w:pPr>
    </w:p>
    <w:p>
      <w:pPr>
        <w:jc w:val="both"/>
        <w:ind w:left="4" w:firstLine="645"/>
        <w:spacing w:after="0" w:line="293" w:lineRule="auto"/>
        <w:tabs>
          <w:tab w:leader="none" w:pos="903" w:val="left"/>
        </w:tabs>
        <w:numPr>
          <w:ilvl w:val="1"/>
          <w:numId w:val="183"/>
        </w:numPr>
        <w:rPr>
          <w:rFonts w:ascii="Arial" w:cs="Arial" w:eastAsia="Arial" w:hAnsi="Arial"/>
          <w:sz w:val="16"/>
          <w:szCs w:val="16"/>
          <w:color w:val="auto"/>
        </w:rPr>
      </w:pPr>
      <w:r>
        <w:rPr>
          <w:rFonts w:ascii="Arial" w:cs="Arial" w:eastAsia="Arial" w:hAnsi="Arial"/>
          <w:sz w:val="16"/>
          <w:szCs w:val="16"/>
          <w:color w:val="auto"/>
        </w:rPr>
        <w:t xml:space="preserve">Lessee or any Guarantor, as applicable, shall fail to observe or perform any covenant, condition or agreement applicable to it contained in the Operative Documents (other than those specified in clause (a), (b) or (c) of this Section 16.1) or any other Operative Document, and such failure shall continue unremedied for a period of thirty (30) days after notice thereof from the Administrative Agent or the Lessor to the Lessee;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such failure is capable of cure but cannot be cured by diligent efforts within such thirty (30) day period but such diligent</w:t>
      </w:r>
      <w:r>
        <w:rPr>
          <w:rFonts w:ascii="Arial" w:cs="Arial" w:eastAsia="Arial" w:hAnsi="Arial"/>
          <w:sz w:val="16"/>
          <w:szCs w:val="16"/>
          <w:i w:val="1"/>
          <w:iCs w:val="1"/>
          <w:color w:val="auto"/>
        </w:rPr>
        <w:t xml:space="preserve"> </w:t>
      </w:r>
      <w:r>
        <w:rPr>
          <w:rFonts w:ascii="Arial" w:cs="Arial" w:eastAsia="Arial" w:hAnsi="Arial"/>
          <w:sz w:val="16"/>
          <w:szCs w:val="16"/>
          <w:color w:val="auto"/>
        </w:rPr>
        <w:t>efforts shall be properly commenced within such thirty (30) day cure period and the Lessee is diligently pursuing, and shall continue to pursue diligently, remedy of such failure, the cure period shall be extended for an additional ninety (90) days, but not to extend beyond the Expiration Date;</w:t>
      </w:r>
    </w:p>
    <w:p>
      <w:pPr>
        <w:spacing w:after="0" w:line="164" w:lineRule="exact"/>
        <w:rPr>
          <w:rFonts w:ascii="Arial" w:cs="Arial" w:eastAsia="Arial" w:hAnsi="Arial"/>
          <w:sz w:val="16"/>
          <w:szCs w:val="16"/>
          <w:color w:val="auto"/>
        </w:rPr>
      </w:pPr>
    </w:p>
    <w:p>
      <w:pPr>
        <w:jc w:val="both"/>
        <w:ind w:left="4" w:firstLine="645"/>
        <w:spacing w:after="0" w:line="264" w:lineRule="auto"/>
        <w:tabs>
          <w:tab w:leader="none" w:pos="89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Lessee, any Guarantor or any Material Subsidiary shall fail to make any payment (whether of principal or interest and regardless of amount) in respect of any Material Indebtedness of Lessee, such Guarantor or Material Subsidiary, as applicable, when and as the same shall become due and payable, which is not cured within any applicable grace period therefor;</w:t>
      </w:r>
    </w:p>
    <w:p>
      <w:pPr>
        <w:spacing w:after="0" w:line="181" w:lineRule="exact"/>
        <w:rPr>
          <w:rFonts w:ascii="Arial" w:cs="Arial" w:eastAsia="Arial" w:hAnsi="Arial"/>
          <w:sz w:val="18"/>
          <w:szCs w:val="18"/>
          <w:color w:val="auto"/>
        </w:rPr>
      </w:pPr>
    </w:p>
    <w:p>
      <w:pPr>
        <w:jc w:val="both"/>
        <w:ind w:left="4" w:firstLine="645"/>
        <w:spacing w:after="0" w:line="283" w:lineRule="auto"/>
        <w:tabs>
          <w:tab w:leader="none" w:pos="916" w:val="left"/>
        </w:tabs>
        <w:numPr>
          <w:ilvl w:val="1"/>
          <w:numId w:val="183"/>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after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(g)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the Operative Documents), (ii) any Material Indebtedness that becomes due as a result of a refinancing or replacement thereof not otherwise prohibited by Section 9(a) of the Guaranty, (iii) any reimbursement obligation in respect of a letter of credit, bankers acceptance or similar obligation as a result of a drawing thereunder by a beneficiary thereunder in accordance with its terms,</w:t>
      </w:r>
    </w:p>
    <w:p>
      <w:pPr>
        <w:spacing w:after="0" w:line="6" w:lineRule="exact"/>
        <w:rPr>
          <w:rFonts w:ascii="Arial" w:cs="Arial" w:eastAsia="Arial" w:hAnsi="Arial"/>
          <w:sz w:val="16"/>
          <w:szCs w:val="16"/>
          <w:color w:val="auto"/>
        </w:rPr>
      </w:pPr>
    </w:p>
    <w:p>
      <w:pPr>
        <w:jc w:val="both"/>
        <w:ind w:left="4" w:hanging="4"/>
        <w:spacing w:after="0" w:line="290" w:lineRule="auto"/>
        <w:tabs>
          <w:tab w:leader="none" w:pos="333"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repurchase, conversion or settlement with respect to any Permitted Convertible Notes pursuant to their terms unless such redemption, repurchase, conversion or settlement results from a default thereunder or an event of the type that constitutes an Event of Default and (vi) any</w:t>
      </w:r>
    </w:p>
    <w:p>
      <w:pPr>
        <w:spacing w:after="0" w:line="13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152400</wp:posOffset>
            </wp:positionV>
            <wp:extent cx="724662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9" w:right="239" w:bottom="1440" w:gutter="0" w:footer="0" w:header="0"/>
        </w:sectPr>
      </w:pPr>
    </w:p>
    <w:bookmarkStart w:id="237" w:name="page238"/>
    <w:bookmarkEnd w:id="237"/>
    <w:p>
      <w:pPr>
        <w:ind w:left="4"/>
        <w:spacing w:after="0"/>
        <w:rPr>
          <w:sz w:val="20"/>
          <w:szCs w:val="20"/>
          <w:color w:val="auto"/>
        </w:rPr>
      </w:pPr>
      <w:r>
        <w:rPr>
          <w:rFonts w:ascii="Arial" w:cs="Arial" w:eastAsia="Arial" w:hAnsi="Arial"/>
          <w:sz w:val="18"/>
          <w:szCs w:val="18"/>
          <w:color w:val="auto"/>
        </w:rPr>
        <w:t>early payment requirement or unwinding or termination with respect to any Permitted Call Spread Swap Agreement;</w:t>
      </w:r>
    </w:p>
    <w:p>
      <w:pPr>
        <w:spacing w:after="0" w:line="225" w:lineRule="exact"/>
        <w:rPr>
          <w:sz w:val="20"/>
          <w:szCs w:val="20"/>
          <w:color w:val="auto"/>
        </w:rPr>
      </w:pPr>
    </w:p>
    <w:p>
      <w:pPr>
        <w:jc w:val="both"/>
        <w:ind w:left="4" w:firstLine="645"/>
        <w:spacing w:after="0" w:line="273" w:lineRule="auto"/>
        <w:tabs>
          <w:tab w:leader="none" w:pos="957" w:val="left"/>
        </w:tabs>
        <w:numPr>
          <w:ilvl w:val="1"/>
          <w:numId w:val="185"/>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 (i) liquidation, examinership, reorganization or other relief in respect of Lessee, any Guarantor or any Material Subsidiary or any of their debts, or of a substantial part of any of their assets, under any federal, state or foreign bankruptcy, insolvency, examinership, receivership or similar law now or hereafter in effect or (ii) the appointment of a receiver, trustee, custodian, examiner, sequestrator, conservator or similar official for Lessee, any Guarantor or any Material Subsidiary or for a substantial part of its assets, and, in any such case, such proceeding or petition shall continue undismissed, undischarged or unstayed for sixty (60) days or an order or decree approving or ordering any of the foregoing shall be entered;</w:t>
      </w:r>
    </w:p>
    <w:p>
      <w:pPr>
        <w:spacing w:after="0" w:line="178" w:lineRule="exact"/>
        <w:rPr>
          <w:rFonts w:ascii="Arial" w:cs="Arial" w:eastAsia="Arial" w:hAnsi="Arial"/>
          <w:sz w:val="17"/>
          <w:szCs w:val="17"/>
          <w:color w:val="auto"/>
        </w:rPr>
      </w:pPr>
    </w:p>
    <w:p>
      <w:pPr>
        <w:jc w:val="both"/>
        <w:ind w:left="4" w:firstLine="645"/>
        <w:spacing w:after="0" w:line="288" w:lineRule="auto"/>
        <w:tabs>
          <w:tab w:leader="none" w:pos="87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Lessee, any Guarantor or any Material Subsidiary shall (i) voluntarily commence any proceeding or file any petition seeking liquidation, reorganization or other relief under any federal, state or foreign bankruptcy, insolvency, examinership, receivership or similar law now or hereafter in effect, (ii) consent to the institution of, or fail to contest in a timely and appropriate manner, any proceeding or petition described in Section 16.1(h),</w:t>
      </w:r>
    </w:p>
    <w:p>
      <w:pPr>
        <w:jc w:val="both"/>
        <w:ind w:left="4" w:hanging="4"/>
        <w:spacing w:after="0" w:line="254" w:lineRule="auto"/>
        <w:tabs>
          <w:tab w:leader="none" w:pos="33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apply for or consent to the appointment of a receiver, trustee, custodian, examiner, sequestrator, conservator or similar official for Lessee, any Subsidiary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9" w:lineRule="exact"/>
        <w:rPr>
          <w:rFonts w:ascii="Arial" w:cs="Arial" w:eastAsia="Arial" w:hAnsi="Arial"/>
          <w:sz w:val="18"/>
          <w:szCs w:val="18"/>
          <w:color w:val="auto"/>
        </w:rPr>
      </w:pPr>
    </w:p>
    <w:p>
      <w:pPr>
        <w:ind w:left="4" w:right="20" w:firstLine="645"/>
        <w:spacing w:after="0" w:line="277" w:lineRule="auto"/>
        <w:tabs>
          <w:tab w:leader="none" w:pos="86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Lessee, any Guarantor or any Material Subsidiary shall become unable, admit in writing its inability or fail generally to pay its debts as they become due;</w:t>
      </w:r>
    </w:p>
    <w:p>
      <w:pPr>
        <w:spacing w:after="0" w:line="170" w:lineRule="exact"/>
        <w:rPr>
          <w:rFonts w:ascii="Arial" w:cs="Arial" w:eastAsia="Arial" w:hAnsi="Arial"/>
          <w:sz w:val="18"/>
          <w:szCs w:val="18"/>
          <w:color w:val="auto"/>
        </w:rPr>
      </w:pPr>
    </w:p>
    <w:p>
      <w:pPr>
        <w:jc w:val="both"/>
        <w:ind w:left="4" w:firstLine="645"/>
        <w:spacing w:after="0" w:line="255" w:lineRule="auto"/>
        <w:tabs>
          <w:tab w:leader="none" w:pos="93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$100,000,000 (to the extent not paid, fully bonded or covered by an unaffiliated insurer that has not denied coverage) shall be rendered against Lessee, any Guarantor, any Material Subsidiary or any combination thereof and the same shall remain unpaid, undischarged, unvacated or undismissed for a period of sixty (60) consecutive days during which execution shall not be effectively stayed (by reason of pending appeal or otherwise), or any action shall be legally taken by a judgment creditor to attach or levy upon any assets of Lessee, any Guarantor or any Material Subsidiary to enforce any such judgment and such action shall not have been effectively stayed;</w:t>
      </w:r>
    </w:p>
    <w:p>
      <w:pPr>
        <w:spacing w:after="0" w:line="193" w:lineRule="exact"/>
        <w:rPr>
          <w:rFonts w:ascii="Arial" w:cs="Arial" w:eastAsia="Arial" w:hAnsi="Arial"/>
          <w:sz w:val="18"/>
          <w:szCs w:val="18"/>
          <w:color w:val="auto"/>
        </w:rPr>
      </w:pPr>
    </w:p>
    <w:p>
      <w:pPr>
        <w:ind w:left="4" w:firstLine="645"/>
        <w:spacing w:after="0" w:line="277" w:lineRule="auto"/>
        <w:tabs>
          <w:tab w:leader="none" w:pos="88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w:t>
      </w:r>
    </w:p>
    <w:p>
      <w:pPr>
        <w:spacing w:after="0" w:line="170" w:lineRule="exact"/>
        <w:rPr>
          <w:rFonts w:ascii="Arial" w:cs="Arial" w:eastAsia="Arial" w:hAnsi="Arial"/>
          <w:sz w:val="18"/>
          <w:szCs w:val="18"/>
          <w:color w:val="auto"/>
        </w:rPr>
      </w:pPr>
    </w:p>
    <w:p>
      <w:pPr>
        <w:ind w:left="944" w:hanging="295"/>
        <w:spacing w:after="0"/>
        <w:tabs>
          <w:tab w:leader="none" w:pos="94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ind w:left="904" w:hanging="255"/>
        <w:spacing w:after="0"/>
        <w:tabs>
          <w:tab w:leader="none" w:pos="90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(i) any Operative Document to which Lessee or a Guarantor is a party,</w:t>
      </w:r>
    </w:p>
    <w:p>
      <w:pPr>
        <w:spacing w:after="0" w:line="19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152400</wp:posOffset>
            </wp:positionV>
            <wp:extent cx="724662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9" w:right="239" w:bottom="1440" w:gutter="0" w:footer="0" w:header="0"/>
        </w:sectPr>
      </w:pPr>
    </w:p>
    <w:bookmarkStart w:id="238" w:name="page239"/>
    <w:bookmarkEnd w:id="238"/>
    <w:p>
      <w:pPr>
        <w:jc w:val="both"/>
        <w:ind w:left="660"/>
        <w:spacing w:after="0" w:line="291" w:lineRule="auto"/>
        <w:rPr>
          <w:sz w:val="20"/>
          <w:szCs w:val="20"/>
          <w:color w:val="auto"/>
        </w:rPr>
      </w:pPr>
      <w:r>
        <w:rPr>
          <w:rFonts w:ascii="Arial" w:cs="Arial" w:eastAsia="Arial" w:hAnsi="Arial"/>
          <w:sz w:val="16"/>
          <w:szCs w:val="16"/>
          <w:color w:val="auto"/>
        </w:rPr>
        <w:t>after execution thereof and for any reason other than as expressly permitted hereunder or thereunder or in satisfaction in full of the Obligations, ceases to be valid, binding and enforceable against the Lessee or any Guarantors party thereto in accordance with its terms in all material respects (or Lessee or any Guarantor shall challenge the enforceability of any Operative Document or shall assert in writing, or engage in any action or inaction based on any such assertion, that any material provision of any of the Operative Documents has ceased to be or otherwise is not valid, binding and enforceable in accordance with its terms in any material respect, other than as expressly permitted hereunder or thereunder or in satisfaction in full in cash of the Obligations then due and payable) or (ii) the security interest and lien securing Lessee’s obligations under the Operative Documents, in whole or in part, ceases to be a perfected first priority security interest and lien (subject only to Permitted Liens);</w:t>
      </w:r>
    </w:p>
    <w:p>
      <w:pPr>
        <w:spacing w:after="0" w:line="167" w:lineRule="exact"/>
        <w:rPr>
          <w:sz w:val="20"/>
          <w:szCs w:val="20"/>
          <w:color w:val="auto"/>
        </w:rPr>
      </w:pPr>
    </w:p>
    <w:p>
      <w:pPr>
        <w:jc w:val="both"/>
        <w:ind w:left="660" w:firstLine="645"/>
        <w:spacing w:after="0" w:line="259" w:lineRule="auto"/>
        <w:tabs>
          <w:tab w:leader="none" w:pos="156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authorization or approval or other action by any Governmental Authority or regulatory body required for the execution, delivery or performance of the Participation Agreement or any other Operative Document by Lessee or any Guarantor shall fail to have been obtained or be terminated, revoked or rescinded or shall otherwise no longer be in full force and effect, to the extent the foregoing could reasonably be expected to have a Material Adverse Effect; or</w:t>
      </w:r>
    </w:p>
    <w:p>
      <w:pPr>
        <w:spacing w:after="0" w:line="186" w:lineRule="exact"/>
        <w:rPr>
          <w:rFonts w:ascii="Arial" w:cs="Arial" w:eastAsia="Arial" w:hAnsi="Arial"/>
          <w:sz w:val="18"/>
          <w:szCs w:val="18"/>
          <w:color w:val="auto"/>
        </w:rPr>
      </w:pPr>
    </w:p>
    <w:p>
      <w:pPr>
        <w:jc w:val="both"/>
        <w:ind w:left="660" w:firstLine="645"/>
        <w:spacing w:after="0" w:line="293" w:lineRule="auto"/>
        <w:tabs>
          <w:tab w:leader="none" w:pos="156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a judicial or nonjudicial forfeiture or seizure proceeding is commenced by a Governmental Authority and remains pending with respect to the Leased Property, on the grounds that the Leased Property or any part thereof had been used to commit or facilitate the commission of a criminal offense by any Person, including any tenant, pursuant to any Law, including under the Controlled Substances Act or the Civil Asset Forfeiture Reform Act, regardless of whether or not the Leased Property or the Assignment of Leases shall become subject to forfeiture or seizure in connection therewith;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Event of Default shall occur under this Section 16.1(p) unless Lessee fails to have the enforcement action stayed (so long as such stay is not lifted) or resolved within sixty (60) days after the commencement of such proceedings.</w:t>
      </w:r>
    </w:p>
    <w:p>
      <w:pPr>
        <w:spacing w:after="0" w:line="1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16.2. Remedies</w:t>
      </w:r>
      <w:r>
        <w:rPr>
          <w:rFonts w:ascii="Arial" w:cs="Arial" w:eastAsia="Arial" w:hAnsi="Arial"/>
          <w:sz w:val="18"/>
          <w:szCs w:val="18"/>
          <w:color w:val="auto"/>
        </w:rPr>
        <w:t>. Upon the occurrence of any Event of Default and at any time thereafter, Lessor may, so long as such Event of Default is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do one or more of the following as Lessor in its sole discretion shall determine, without limiting any other right or remedy Lessor may have on account of such Event of Default, but subject to the rights of the Lessee to purchase the Leased Property pursuant to the terms and within the time periods as set forth in Section 18.1:</w:t>
      </w:r>
    </w:p>
    <w:p>
      <w:pPr>
        <w:spacing w:after="0" w:line="187" w:lineRule="exact"/>
        <w:rPr>
          <w:sz w:val="20"/>
          <w:szCs w:val="20"/>
          <w:color w:val="auto"/>
        </w:rPr>
      </w:pPr>
    </w:p>
    <w:p>
      <w:pPr>
        <w:jc w:val="both"/>
        <w:ind w:left="660" w:firstLine="645"/>
        <w:spacing w:after="0" w:line="257" w:lineRule="auto"/>
        <w:tabs>
          <w:tab w:leader="none" w:pos="156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Lessor may, by notice to the Lessee, rescind or terminate this Lease as to any or all of the Leased Property as of the date specified in such notice;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 no reletting or taking of possession of the Leased Property (or any portion thereof) by Lessor will be construed as an election on Lessor’s part to terminate this Lease unless a written notice of such intention is given to the Lessee, (ii) notwithstanding any reletting or taking of possession, Lessor may at any time thereafter elect to terminate this Lease for a continuing Event of Default and (iii) no act or thing done by Lessor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39" w:name="page240"/>
    <w:bookmarkEnd w:id="239"/>
    <w:p>
      <w:pPr>
        <w:spacing w:after="0" w:line="277" w:lineRule="auto"/>
        <w:rPr>
          <w:sz w:val="20"/>
          <w:szCs w:val="20"/>
          <w:color w:val="auto"/>
        </w:rPr>
      </w:pPr>
      <w:r>
        <w:rPr>
          <w:rFonts w:ascii="Arial" w:cs="Arial" w:eastAsia="Arial" w:hAnsi="Arial"/>
          <w:sz w:val="18"/>
          <w:szCs w:val="18"/>
          <w:color w:val="auto"/>
        </w:rPr>
        <w:t>any of its agents, representatives or employees and no agreement accepting a surrender of the Leased Property shall be valid unless the same be made in writing and executed by Lessor;</w:t>
      </w:r>
    </w:p>
    <w:p>
      <w:pPr>
        <w:spacing w:after="0" w:line="170" w:lineRule="exact"/>
        <w:rPr>
          <w:sz w:val="20"/>
          <w:szCs w:val="20"/>
          <w:color w:val="auto"/>
        </w:rPr>
      </w:pPr>
    </w:p>
    <w:p>
      <w:pPr>
        <w:jc w:val="both"/>
        <w:ind w:firstLine="645"/>
        <w:spacing w:after="0" w:line="286" w:lineRule="auto"/>
        <w:tabs>
          <w:tab w:leader="none" w:pos="90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Lessor may (i) demand that the Lessee, and the Lessee shall upon the written demand of Lessor, return the Leased Property promptly to Lessor in the manner and condition required by, and otherwise in accordance with all of the provisions of the Participation Agreement and Article IX and Sections 8.2 and 14.2 hereof, and Lessee shall comply with the requirements of Section 15.2 to the extent requested by Lessor, as if the Leased Property were being returned at the end of the Term, and Lessor shall not be liable for the reimbursement of the Lessee for any costs and expenses incurred by the Lessee in connection therewith and (ii) without prejudice to any other remedy which Lessor may have for possession of the Leased Property, and to the extent and in the manner permitted by Applicable Laws, enter upon the Site and take immediate possession of (to the exclusion of the Lessee) the Leased Property or any part thereof and expel or remove the Lessee, by summary proceedings or otherwise, all without liability to the Lessee for or by reason of such entry or taking of possession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Lessor shall remain liable for actual damages caused by its gross negligence or willful misconduct), whether for the restoration of damage to property caused by such taking or otherwise and, in addition to Lessor’s other damages, the Lessee shall be responsible for all actual and documented costs and expenses (which costs and expenses shall be reasonable if within the control of Lessor) incurred by Lessor and the Participants in connection with any reletting, including, without limitation, reasonable brokers’ fees and all actual costs of any reasonable alterations or repairs made by Lessor that are required to maintain the Leased Property in the condition required by this Lease;</w:t>
      </w:r>
    </w:p>
    <w:p>
      <w:pPr>
        <w:spacing w:after="0" w:line="174" w:lineRule="exact"/>
        <w:rPr>
          <w:rFonts w:ascii="Arial" w:cs="Arial" w:eastAsia="Arial" w:hAnsi="Arial"/>
          <w:sz w:val="16"/>
          <w:szCs w:val="16"/>
          <w:color w:val="auto"/>
        </w:rPr>
      </w:pPr>
    </w:p>
    <w:p>
      <w:pPr>
        <w:jc w:val="both"/>
        <w:ind w:firstLine="645"/>
        <w:spacing w:after="0" w:line="286" w:lineRule="auto"/>
        <w:tabs>
          <w:tab w:leader="none" w:pos="89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Lessor may sell all or any part of the Leased Property at public or private sale, as Lessor may determine, free and clear of any rights of the Lessee with respect thereto (except to the extent required below if Lessor shall elect to exercise its rights thereunder) in which event the Lessee’s obligation to pay Basic Rent hereunder for periods commencing after the date of such sale shall be terminated;</w:t>
      </w:r>
    </w:p>
    <w:p>
      <w:pPr>
        <w:spacing w:after="0" w:line="165" w:lineRule="exact"/>
        <w:rPr>
          <w:rFonts w:ascii="Arial" w:cs="Arial" w:eastAsia="Arial" w:hAnsi="Arial"/>
          <w:sz w:val="17"/>
          <w:szCs w:val="17"/>
          <w:color w:val="auto"/>
        </w:rPr>
      </w:pPr>
    </w:p>
    <w:p>
      <w:pPr>
        <w:jc w:val="both"/>
        <w:ind w:firstLine="645"/>
        <w:spacing w:after="0" w:line="270" w:lineRule="auto"/>
        <w:tabs>
          <w:tab w:leader="none" w:pos="90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Lessor may, at its option, (i) elect not to terminate this Lease with respect to the Leased Property and continue to collect all Basic Rent, Supplemental Rent and all other amounts due Lessor (together with all costs of collection) and enforce the Lessee’s obligations under this Lease as and when the same become due, or are to be performed, and (ii) upon any abandonment of the Leased Property by the Lessee, Lessor may, in its sole and absolute discretion, elect not to terminate this Lease and may make the necessary repairs (and the Lessee shall pay the reasonable costs of such repairs) in order to relet the Leased Property, and relet the Leased Property or any part thereof (in place, if so elected by Lessor) for such term or terms (which may be for a term extending beyond the Term of this Lease) and at such rental or rentals and upon such other terms and conditions as Lessor in its reasonable discretion may deem advisable; and upon each such reletting all rentals actually received by Lessor from such reletting shall be applied to the Lessee’s obligations hereunder and the other Operative Documents in such order, proportion and priority as Lessor may elect in Lessor’s sole and absolute discretion. If</w:t>
      </w:r>
    </w:p>
    <w:p>
      <w:pPr>
        <w:spacing w:after="0" w:line="15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152400</wp:posOffset>
            </wp:positionV>
            <wp:extent cx="724662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9" w:right="239" w:bottom="1440" w:gutter="0" w:footer="0" w:header="0"/>
        </w:sectPr>
      </w:pPr>
    </w:p>
    <w:bookmarkStart w:id="240" w:name="page241"/>
    <w:bookmarkEnd w:id="240"/>
    <w:p>
      <w:pPr>
        <w:spacing w:after="0" w:line="308" w:lineRule="auto"/>
        <w:rPr>
          <w:sz w:val="20"/>
          <w:szCs w:val="20"/>
          <w:color w:val="auto"/>
        </w:rPr>
      </w:pPr>
      <w:r>
        <w:rPr>
          <w:rFonts w:ascii="Arial" w:cs="Arial" w:eastAsia="Arial" w:hAnsi="Arial"/>
          <w:sz w:val="17"/>
          <w:szCs w:val="17"/>
          <w:color w:val="auto"/>
        </w:rPr>
        <w:t>such rentals received from such reletting during any period are less than the Rent with respect to the Leased Property to be paid during that period by the Lessee hereunder, the Lessee shall pay any deficiency, as calculated by Lessor, to Lessor on the next Payment Date;</w:t>
      </w:r>
    </w:p>
    <w:p>
      <w:pPr>
        <w:spacing w:after="0" w:line="147" w:lineRule="exact"/>
        <w:rPr>
          <w:sz w:val="20"/>
          <w:szCs w:val="20"/>
          <w:color w:val="auto"/>
        </w:rPr>
      </w:pPr>
    </w:p>
    <w:p>
      <w:pPr>
        <w:jc w:val="both"/>
        <w:ind w:firstLine="645"/>
        <w:spacing w:after="0" w:line="254" w:lineRule="auto"/>
        <w:tabs>
          <w:tab w:leader="none" w:pos="90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Lessor may demand, by written notice to the Lessee, that the Lessee pay to Lessor within ten (10) Business Days after receipt of such notice an amount equal to the Lease Balance and all other amounts owing by Lessee to the Administrative Agent, if any, and/or the Participants under the Operative Documents (including, but without duplication, accrued and unpaid Rent), then upon Lessor’s receipt of the Lease Balance and all other amounts owing by Lessee to the Administrative Agent, if any, and/or the Participants under the Operative Documents (including, but without duplication, accrued and unpaid Rent), Lessor shall convey the Leased Property to the Lessee in accordance with Article XXI. Lessor acknowledges and agrees that upon the declaration of an Event of Default, to the maximum extent permitted by law, the Lessee waives any right to contest that the payment of the amount described in the preceding sentence constitutes the correct liquidated recourse sum due upon acceleration of this instrument;</w:t>
      </w:r>
    </w:p>
    <w:p>
      <w:pPr>
        <w:spacing w:after="0" w:line="192" w:lineRule="exact"/>
        <w:rPr>
          <w:rFonts w:ascii="Arial" w:cs="Arial" w:eastAsia="Arial" w:hAnsi="Arial"/>
          <w:sz w:val="18"/>
          <w:szCs w:val="18"/>
          <w:color w:val="auto"/>
        </w:rPr>
      </w:pPr>
    </w:p>
    <w:p>
      <w:pPr>
        <w:jc w:val="both"/>
        <w:ind w:firstLine="645"/>
        <w:spacing w:after="0" w:line="257" w:lineRule="auto"/>
        <w:tabs>
          <w:tab w:leader="none" w:pos="87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Lessor may exercise any other right or remedy that may be available to it under Applicable Laws, or proceed by appropriate court action (legal or equitable) to enforce the terms hereof or to recover damages for the breach hereof. Separate suits may be brought to collect any such damages for any period(s), and such suits shall not in any manner prejudice Lessor’s right to collect any such damages for any subsequent period(s), or Lessor may defer any such suit until after the expiration of the Term, in which event such suit shall be deemed not to have accrued until the expiration of the Term;</w:t>
      </w:r>
    </w:p>
    <w:p>
      <w:pPr>
        <w:spacing w:after="0" w:line="188" w:lineRule="exact"/>
        <w:rPr>
          <w:rFonts w:ascii="Arial" w:cs="Arial" w:eastAsia="Arial" w:hAnsi="Arial"/>
          <w:sz w:val="18"/>
          <w:szCs w:val="18"/>
          <w:color w:val="auto"/>
        </w:rPr>
      </w:pPr>
    </w:p>
    <w:p>
      <w:pPr>
        <w:jc w:val="both"/>
        <w:ind w:firstLine="645"/>
        <w:spacing w:after="0" w:line="257" w:lineRule="auto"/>
        <w:tabs>
          <w:tab w:leader="none" w:pos="93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Lessor may retain and apply against the Lease Balance and all other amounts due and owing by the Lessee under the Operative Documents, in accordance with Section 5.3 of the Participation Agreement, all sums which Lessor would, absent such Event of Default, be required to pay to, or turn over to, the Lessee pursuant to the terms of this Lease and upon payment in full of the Lease Balance and all such amounts described above in this clause (g), the Leased Property shall be conveyed to Lessee in accordance with Section 21.1 of this Lease (except to the extent the Leased Property has been sold pursuant to this Section 16.2);</w:t>
      </w:r>
    </w:p>
    <w:p>
      <w:pPr>
        <w:spacing w:after="0" w:line="188" w:lineRule="exact"/>
        <w:rPr>
          <w:rFonts w:ascii="Arial" w:cs="Arial" w:eastAsia="Arial" w:hAnsi="Arial"/>
          <w:sz w:val="18"/>
          <w:szCs w:val="18"/>
          <w:color w:val="auto"/>
        </w:rPr>
      </w:pPr>
    </w:p>
    <w:p>
      <w:pPr>
        <w:jc w:val="both"/>
        <w:ind w:firstLine="645"/>
        <w:spacing w:after="0" w:line="255" w:lineRule="auto"/>
        <w:tabs>
          <w:tab w:leader="none" w:pos="91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an Event of Default pursuant to Section 16.1(h) or (i) shall have occurred and be continuing with respect to the Lessee or the Parent Guarantor, Lessor, as a matter of right and with notice to the Lessee, shall have the right to apply to any court having jurisdiction to appoint a receiver or receivers of the Leased Property, and the Lessee hereby irrevocably consents to any such appointment. Any such receiver(s) shall have all of the usual powers and duties of receivers in like or similar cases and all of the powers and duties of Lessor in case of entry onto the Site, and shall continue as such and exercise such powers until the date of confirmation of the sale of the Leased Property or the other Collateral unless such receivership is sooner terminated; or</w:t>
      </w: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152400</wp:posOffset>
            </wp:positionV>
            <wp:extent cx="72466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9" w:right="239" w:bottom="1440" w:gutter="0" w:footer="0" w:header="0"/>
        </w:sectPr>
      </w:pPr>
    </w:p>
    <w:bookmarkStart w:id="241" w:name="page242"/>
    <w:bookmarkEnd w:id="241"/>
    <w:p>
      <w:pPr>
        <w:jc w:val="both"/>
        <w:ind w:left="660" w:firstLine="645"/>
        <w:spacing w:after="0" w:line="255" w:lineRule="auto"/>
        <w:tabs>
          <w:tab w:leader="none" w:pos="154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upon the occurrence of the Event of Default described in Section 16.1(h) or (i) with respect to the Lessee or the Parent Guarantor, whether or not another Event of Default described in one or more other clauses of Section 16.1 shall have been or thereafter is declared, this Lease shall terminate immediately without notice and Lessee shall immediately pay to the Administrative Agent, on behalf of Lessor, as and for liquidated damages and without limitation on any other remedies provided for herein, an amount equal to the Lease Balance and all other amounts owing by Lessee to the Administrative Agent, if any, and/or the Participants under the Operative Documents (including, but without duplication, accrued and unpaid Rent).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maximum extent permitted by law, the Lessee hereby waives (x) the benefit of any appraisement, valuation, stay, extension, reinstatement and redemption laws now or hereafter in force and all rights of marshaling in the event of any sale of the Leased Property or the other Collateral or any interest therein and (y) any rights now or in the future conferred by statute or otherwise which may require Lessor to sell, lease or otherwise use the Leased Property in mitigation of Lessor’s damages or which may otherwise limit or modify any remedy of damages.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Lessor shall be entitled to enforce payment and the performance of the obligations secured hereby and to exercise all rights and powers under this instrument or under any of the other Operative Documents or other agreements or any laws now or hereafter in force, notwithstanding some or all of the obligations secured hereby may now or hereafter be otherwise secured, whether by mortgage, security agreement, pledge, lien, assignment or otherwise. Neither the acceptance of this instrument nor its enforcement, shall prejudice or in any manner affect Lessor’s right to realize upon or enforce any other security now or hereafter held by Lessor, it being agreed that Lessor shall be entitled to enforce this instrument and any other security now or hereafter held by Lessor in such order and manner as Lessor may determine in its absolute discretion. No remedy herein conferred upon or reserved to Lessor is intended to be exclusive of any other remedy herein or by law provided or permitted, but each shall be cumulative and shall be in addition to every other remedy given hereunder or now or hereafter existing at law or in equity or by statute. Every power or remedy given by any of the Operative Documents to Lessor or to which it may otherwise be entitled, may be exercised, concurrently or independently, from time to time and as often as may be deemed expedient by Lessor. Without limiting the foregoing, each of the powers, rights and remedies as set forth or otherwise permitted pursuant to this Article XVI are independent of the provisions of Article XIII of the Participation Agreement and shall not be affected by any exclusion set forth in Section 13.1(b) of the Participation Agreement.</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proceeds derived from any sale of Leased Property and other amounts recovered pursuant to the foregoing remedies after an Event of Default shall be distributed pursuant to Section 5.3(f) of the Participation Agreement. The amount realized by Lessor upon a sale of the Leased Property shall be net of Lessor’s sale expenses and other expenses reasonably and customarily incurred by Lessor in connection with Lessor holding and owning such Leased Property until such time as the Leased Property is sold. The obligations in Section 5.3(f) of the Participation Agreement shall survive the termination of this Lease.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anything herein to the contrary, and except for Lessee’s obligation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42" w:name="page243"/>
    <w:bookmarkEnd w:id="242"/>
    <w:p>
      <w:pPr>
        <w:jc w:val="both"/>
        <w:spacing w:after="0" w:line="291" w:lineRule="auto"/>
        <w:rPr>
          <w:sz w:val="20"/>
          <w:szCs w:val="20"/>
          <w:color w:val="auto"/>
        </w:rPr>
      </w:pPr>
      <w:r>
        <w:rPr>
          <w:rFonts w:ascii="Arial" w:cs="Arial" w:eastAsia="Arial" w:hAnsi="Arial"/>
          <w:sz w:val="16"/>
          <w:szCs w:val="16"/>
          <w:color w:val="auto"/>
        </w:rPr>
        <w:t xml:space="preserve">pay Nonconformance Amounts, there shall not be any personal recourse against the Lessee (and Lessor shall have recourse only against the Leased Property) pursuant to this Section 16.2 for any amount in excess of the Lease Balance and all other amounts owing by Lessee to the Administrative Agent, if any, and/or the Participants under the Operative Documents (including, but without duplication, accrued and unpaid 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Lessee does not pay the Lease Balance and all other amounts owing by Lessee to the Administrative Agent, if any, and/or the Participants under the Operative Documents (including, but without duplication, accrued and unpaid Rent) in full, Lessee shall not be entitled to the Leased Property and Lessor shall be entitled to receive the outstanding Lease Balance and all other amounts owing by Lessee to the Administrative Agent, if any, and/or the Participants under the Operative Documents (including, but without duplication, accrued and unpaid Rent) from the sale, lease or other disposition of the Leased Property.</w:t>
      </w:r>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16.3. Waiver of Certain Rights</w:t>
      </w:r>
      <w:r>
        <w:rPr>
          <w:rFonts w:ascii="Arial" w:cs="Arial" w:eastAsia="Arial" w:hAnsi="Arial"/>
          <w:sz w:val="18"/>
          <w:szCs w:val="18"/>
          <w:color w:val="auto"/>
        </w:rPr>
        <w:t>. If this Lease shall be terminated pursuant to Section 16.2, the Lessee waives, to the fullest extent permitted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law, (a) any notice of legal proceedings to obtain possession; (b) any right of redemption or repossession; (c) the benefit of any laws now or hereafter in force exempting property from liability for rent or for debt or limiting Lessor with respect to the election of remedies; and (d) any other rights which might otherwise limit or modify any of Lessor’s rights or remedies under this Article XVI.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ESSOR</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 TO</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URE</w:t>
      </w:r>
    </w:p>
    <w:p>
      <w:pPr>
        <w:spacing w:after="0" w:line="19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Section 17.1. The Lessor’s Right to Cure the Lessee’s Defaults</w:t>
      </w:r>
      <w:r>
        <w:rPr>
          <w:rFonts w:ascii="Arial" w:cs="Arial" w:eastAsia="Arial" w:hAnsi="Arial"/>
          <w:sz w:val="16"/>
          <w:szCs w:val="16"/>
          <w:color w:val="auto"/>
        </w:rPr>
        <w:t>. Lessor, without waiving or releasing any obligation or Event of Default, may (but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under no obligation to), upon five (5) Business Days’ prior notice to the Lessee, remedy any Event of Default for the account and at the sole cost and expense of the Lessee, including the failure by the Lessee to maintain the insurance required by Article XIII, and may, to the fullest extent permitted by law, and notwithstanding any right of quiet enjoyment in favor of the Lessee, enter upon the Leased Property and the Site, for such purpose and take all such action thereon as may be necessary or appropriate therefor. No such entry shall be deemed an eviction of Lessee. All reasonable out-of-pocket costs and expenses so incurred by the Lessor (including reasonable and documented fees and expenses of counsel), together with interest thereon at the Overdue Rate from the date on which such sums or expenses are paid by Lessor, shall be paid by the Lessee to Lessor on demand as Supplemental Rent.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URCHASE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ROVISIONS</w:t>
      </w:r>
    </w:p>
    <w:p>
      <w:pPr>
        <w:spacing w:after="0" w:line="19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Section 18.1. Early and End of Term Purchase Options</w:t>
      </w:r>
      <w:r>
        <w:rPr>
          <w:rFonts w:ascii="Arial" w:cs="Arial" w:eastAsia="Arial" w:hAnsi="Arial"/>
          <w:sz w:val="17"/>
          <w:szCs w:val="17"/>
          <w:color w:val="auto"/>
        </w:rPr>
        <w:t>. Subject to the conditions contained herein, on (a) (i) any Business Day during the Term and (ii)</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the Expiration Date in accordance with Section 19.1(b);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Lessee has not elected the Sale Option, or (b) any Business Day after the occurrence of an Event of Default (other than an Insolvency Event), Lessee may, at its option, purchase (or cause a designee to purchase) all, but not less than all, of the Leased Property (the “</w:t>
      </w:r>
      <w:r>
        <w:rPr>
          <w:rFonts w:ascii="Arial" w:cs="Arial" w:eastAsia="Arial" w:hAnsi="Arial"/>
          <w:sz w:val="17"/>
          <w:szCs w:val="17"/>
          <w:i w:val="1"/>
          <w:iCs w:val="1"/>
          <w:color w:val="auto"/>
        </w:rPr>
        <w:t>Early Termination Option</w:t>
      </w:r>
      <w:r>
        <w:rPr>
          <w:rFonts w:ascii="Arial" w:cs="Arial" w:eastAsia="Arial" w:hAnsi="Arial"/>
          <w:sz w:val="17"/>
          <w:szCs w:val="17"/>
          <w:color w:val="auto"/>
        </w:rPr>
        <w:t>”) at a price equal to the Purchase Amount.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43" w:name="page244"/>
    <w:bookmarkEnd w:id="243"/>
    <w:p>
      <w:pPr>
        <w:jc w:val="both"/>
        <w:spacing w:after="0" w:line="268" w:lineRule="auto"/>
        <w:rPr>
          <w:sz w:val="20"/>
          <w:szCs w:val="20"/>
          <w:color w:val="auto"/>
        </w:rPr>
      </w:pPr>
      <w:r>
        <w:rPr>
          <w:rFonts w:ascii="Arial" w:cs="Arial" w:eastAsia="Arial" w:hAnsi="Arial"/>
          <w:sz w:val="17"/>
          <w:szCs w:val="17"/>
          <w:color w:val="auto"/>
        </w:rPr>
        <w:t>Lessee’s right to purchase all of the Leased Property pursuant to this Section 18.1 shall terminate automatically and without notice upon the occurrence of an Event of Default arising as a result of an Insolvency Event. After the occurrence and during the continuance of any other Event of Default, unless the Leased Property has been sold, or is subject to a binding commitment to be sold, in its entirety pursuant to Section 16.2, Lessee shall be permitted to purchase the Leased Property (or, as applicable, all remaining Leased Property not yet sold pursuant to Section 16.2(c)), so long as Lessee (i) delivers a written Purchase Notice irrevocably electing to exercise the Early Termination Option not more than thirty (30) days after the occurrence of such Event of Default and (ii) pays the Administrative Agent or Lessor the Purchase Amount and executes such documents as are necessary to consummate such purchase within ten (10) Business Days after the date of such Purchase Notice. In order to exercise its option to purchase the Leased Property pursuant to this Section 18.1 and except as otherwise provided above in connection with an Event of Default, Lessee shall give to Lessor not less than thirty (30) days’ prior written notice of such election to exercise, which election shall be irrevocable when made. If the Lessee exercises its option pursuant to this Section 18.1, then, upon Administrative Agent’s (or if the Loans are no longer outstanding, Lessor’s) receipt of all amounts due in connection therewith, Lessor shall transfer to the Lessee all of Lessor’s right, title and interest in and to the Leased Property in accordance with the procedures set forth in Section 21.1, such transfer to be effective as of the date specified in the Purchase Notice. Lessor agrees that it shall cooperate with the Lessee in effecting any transfer to a designee of the Lessee pursuant to this Section 18.1.</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XIX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ND OF</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w:t>
      </w:r>
    </w:p>
    <w:p>
      <w:pPr>
        <w:spacing w:after="0" w:line="19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19.1. End of Term Options</w:t>
      </w:r>
      <w:r>
        <w:rPr>
          <w:rFonts w:ascii="Arial" w:cs="Arial" w:eastAsia="Arial" w:hAnsi="Arial"/>
          <w:sz w:val="18"/>
          <w:szCs w:val="18"/>
          <w:color w:val="auto"/>
        </w:rPr>
        <w:t>. At least one hundred eighty (180) days before the Expiration Date of the Term, but not more than three hundred and</w:t>
      </w:r>
      <w:r>
        <w:rPr>
          <w:rFonts w:ascii="Arial" w:cs="Arial" w:eastAsia="Arial" w:hAnsi="Arial"/>
          <w:sz w:val="18"/>
          <w:szCs w:val="18"/>
          <w:i w:val="1"/>
          <w:iCs w:val="1"/>
          <w:color w:val="auto"/>
        </w:rPr>
        <w:t xml:space="preserve"> </w:t>
      </w:r>
      <w:r>
        <w:rPr>
          <w:rFonts w:ascii="Arial" w:cs="Arial" w:eastAsia="Arial" w:hAnsi="Arial"/>
          <w:sz w:val="18"/>
          <w:szCs w:val="18"/>
          <w:color w:val="auto"/>
        </w:rPr>
        <w:t>sixty-five (365) days prior to the Expiration Date of the Term, Lessee shall, by delivery of written notice to Lessor and the Administrative Agent, exercise one of the following options:</w:t>
      </w:r>
    </w:p>
    <w:p>
      <w:pPr>
        <w:spacing w:after="0" w:line="181" w:lineRule="exact"/>
        <w:rPr>
          <w:sz w:val="20"/>
          <w:szCs w:val="20"/>
          <w:color w:val="auto"/>
        </w:rPr>
      </w:pPr>
    </w:p>
    <w:p>
      <w:pPr>
        <w:jc w:val="both"/>
        <w:ind w:left="660" w:firstLine="645"/>
        <w:spacing w:after="0" w:line="257" w:lineRule="auto"/>
        <w:tabs>
          <w:tab w:leader="none" w:pos="155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Request to renew this Lease with respect to the Leased Property for an additional five-year Lease Renewal Term (the “</w:t>
      </w:r>
      <w:r>
        <w:rPr>
          <w:rFonts w:ascii="Arial" w:cs="Arial" w:eastAsia="Arial" w:hAnsi="Arial"/>
          <w:sz w:val="18"/>
          <w:szCs w:val="18"/>
          <w:i w:val="1"/>
          <w:iCs w:val="1"/>
          <w:color w:val="auto"/>
        </w:rPr>
        <w:t>Renewal Option</w:t>
      </w:r>
      <w:r>
        <w:rPr>
          <w:rFonts w:ascii="Arial" w:cs="Arial" w:eastAsia="Arial" w:hAnsi="Arial"/>
          <w:sz w:val="18"/>
          <w:szCs w:val="18"/>
          <w:color w:val="auto"/>
        </w:rPr>
        <w:t xml:space="preserve">”) on the terms and conditions set forth herein and in the other Operative Documents to which Lessee or an Affiliate of Lessee is a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Renewal Option shall be available at the end of the Base Term only if the conditions to the Renewal Option set forth herein and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Section 4.7 of the Participation Agreement are satisfied;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Renewal Option shall not be exercisable for a total of more than one (1) Lease Renewal Term;</w:t>
      </w:r>
    </w:p>
    <w:p>
      <w:pPr>
        <w:spacing w:after="0" w:line="188" w:lineRule="exact"/>
        <w:rPr>
          <w:rFonts w:ascii="Arial" w:cs="Arial" w:eastAsia="Arial" w:hAnsi="Arial"/>
          <w:sz w:val="18"/>
          <w:szCs w:val="18"/>
          <w:color w:val="auto"/>
        </w:rPr>
      </w:pPr>
    </w:p>
    <w:p>
      <w:pPr>
        <w:jc w:val="both"/>
        <w:ind w:left="660" w:firstLine="645"/>
        <w:spacing w:after="0" w:line="276" w:lineRule="auto"/>
        <w:tabs>
          <w:tab w:leader="none" w:pos="1563" w:val="left"/>
        </w:tabs>
        <w:numPr>
          <w:ilvl w:val="0"/>
          <w:numId w:val="192"/>
        </w:numPr>
        <w:rPr>
          <w:rFonts w:ascii="Arial" w:cs="Arial" w:eastAsia="Arial" w:hAnsi="Arial"/>
          <w:sz w:val="17"/>
          <w:szCs w:val="17"/>
          <w:color w:val="auto"/>
        </w:rPr>
      </w:pPr>
      <w:r>
        <w:rPr>
          <w:rFonts w:ascii="Arial" w:cs="Arial" w:eastAsia="Arial" w:hAnsi="Arial"/>
          <w:sz w:val="17"/>
          <w:szCs w:val="17"/>
          <w:color w:val="auto"/>
        </w:rPr>
        <w:t>Purchase for an amount in immediately available funds equal to the Purchase Amount all, but not less than all, of the Leased Property on or before the last day of the Term (the “</w:t>
      </w:r>
      <w:r>
        <w:rPr>
          <w:rFonts w:ascii="Arial" w:cs="Arial" w:eastAsia="Arial" w:hAnsi="Arial"/>
          <w:sz w:val="17"/>
          <w:szCs w:val="17"/>
          <w:i w:val="1"/>
          <w:iCs w:val="1"/>
          <w:color w:val="auto"/>
        </w:rPr>
        <w:t>Purchase Option</w:t>
      </w:r>
      <w:r>
        <w:rPr>
          <w:rFonts w:ascii="Arial" w:cs="Arial" w:eastAsia="Arial" w:hAnsi="Arial"/>
          <w:sz w:val="17"/>
          <w:szCs w:val="17"/>
          <w:color w:val="auto"/>
        </w:rPr>
        <w:t xml:space="preserve">”); and if Lessee shall have elected to purchase the Leased Property, (1) Lessee may (A) assign its right to purchase the Leased Property hereunder to a third party, in which case such third party shall consummate the purchase of the Leased Property on or before the last day of the Term;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third party fails to consummate the purchase of the Leased Property on or before the last day of the Term, Lessee shall consummate the purchase of the Leased Property 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44" w:name="page245"/>
    <w:bookmarkEnd w:id="244"/>
    <w:p>
      <w:pPr>
        <w:jc w:val="both"/>
        <w:ind w:left="660" w:right="20"/>
        <w:spacing w:after="0" w:line="259" w:lineRule="auto"/>
        <w:rPr>
          <w:sz w:val="20"/>
          <w:szCs w:val="20"/>
          <w:color w:val="auto"/>
        </w:rPr>
      </w:pPr>
      <w:r>
        <w:rPr>
          <w:rFonts w:ascii="Arial" w:cs="Arial" w:eastAsia="Arial" w:hAnsi="Arial"/>
          <w:sz w:val="18"/>
          <w:szCs w:val="18"/>
          <w:color w:val="auto"/>
        </w:rPr>
        <w:t>the last day of the Term or (B) designate a third party to acquire title to the Leased Property, without assigning Lessee’s rights to purchase the Leased Property hereunder and (2) Lessor shall, upon the payment to Administrative Agent (or if the Loans are no longer outstanding, Lessor) of the Purchase Amount then due and payable by Lessee under the Operative Documents, transfer all of Lessor’s right, title and interest in and to the Leased Property to Lessee or such other party designated by Lessee pursuant to Section 21.1; or</w:t>
      </w:r>
    </w:p>
    <w:p>
      <w:pPr>
        <w:spacing w:after="0" w:line="187" w:lineRule="exact"/>
        <w:rPr>
          <w:sz w:val="20"/>
          <w:szCs w:val="20"/>
          <w:color w:val="auto"/>
        </w:rPr>
      </w:pPr>
    </w:p>
    <w:p>
      <w:pPr>
        <w:jc w:val="both"/>
        <w:ind w:left="660" w:firstLine="645"/>
        <w:spacing w:after="0" w:line="270" w:lineRule="auto"/>
        <w:tabs>
          <w:tab w:leader="none" w:pos="155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Commit to sell on behalf of Lessor for cash to a single purchaser not in any way affiliated with Lessee or any of its Subsidiaries all, but not less than all, of the Leased Property on the last day of the Term (the “</w:t>
      </w:r>
      <w:r>
        <w:rPr>
          <w:rFonts w:ascii="Arial" w:cs="Arial" w:eastAsia="Arial" w:hAnsi="Arial"/>
          <w:sz w:val="17"/>
          <w:szCs w:val="17"/>
          <w:i w:val="1"/>
          <w:iCs w:val="1"/>
          <w:color w:val="auto"/>
        </w:rPr>
        <w:t>Sale Option</w:t>
      </w:r>
      <w:r>
        <w:rPr>
          <w:rFonts w:ascii="Arial" w:cs="Arial" w:eastAsia="Arial" w:hAnsi="Arial"/>
          <w:sz w:val="17"/>
          <w:szCs w:val="17"/>
          <w:color w:val="auto"/>
        </w:rPr>
        <w:t>”). Lessee’s right to sell the Leased Property pursuant to the Sale Option shall be conditioned upon and subject to the fulfillment by Lessee of each of the terms and conditions applicable to Lessee set forth in Article XX (unless waived in accordance with the terms set forth therein). In addition, such sale shall be subject to all subleases with respect to the Leased Property to Persons who are not Affiliates or Subsidiaries of Parent Guarantor. Lessee shall not enter into any additional subleases or renew any subleases (other than on market terms or otherwise pursuant to express rights therefor under the existing subleases) with respect to the Leased Property following Lessee’s election of the Sale Option. Following Lessee’s election of the Sale Option, Lessee shall not remove any Modifications or commence any voluntary Modifications under Section 10.1(a)(ii) (other than Required Modifications) without the consent of the Required Participants (which consent shall not be unreasonably withheld, conditioned or delayed) unless required to comply with Applicable Laws or avoid or address an emergency.</w:t>
      </w:r>
    </w:p>
    <w:p>
      <w:pPr>
        <w:spacing w:after="0" w:line="17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i w:val="1"/>
          <w:iCs w:val="1"/>
          <w:color w:val="auto"/>
        </w:rPr>
        <w:t>Section 19.2. Election of Options</w:t>
      </w:r>
      <w:r>
        <w:rPr>
          <w:rFonts w:ascii="Arial" w:cs="Arial" w:eastAsia="Arial" w:hAnsi="Arial"/>
          <w:sz w:val="16"/>
          <w:szCs w:val="16"/>
          <w:color w:val="auto"/>
        </w:rPr>
        <w:t>. Unless (i) Lessee shall have affirmatively elected the Sale Option within the time period provided for in Section 19.1</w:t>
      </w:r>
      <w:r>
        <w:rPr>
          <w:rFonts w:ascii="Arial" w:cs="Arial" w:eastAsia="Arial" w:hAnsi="Arial"/>
          <w:sz w:val="16"/>
          <w:szCs w:val="16"/>
          <w:i w:val="1"/>
          <w:iCs w:val="1"/>
          <w:color w:val="auto"/>
        </w:rPr>
        <w:t xml:space="preserve"> </w:t>
      </w:r>
      <w:r>
        <w:rPr>
          <w:rFonts w:ascii="Arial" w:cs="Arial" w:eastAsia="Arial" w:hAnsi="Arial"/>
          <w:sz w:val="16"/>
          <w:szCs w:val="16"/>
          <w:color w:val="auto"/>
        </w:rPr>
        <w:t>and satisfied each of the requirements in Articles XX and XXI (unless waived in accordance with the terms set forth therein), (ii) Lessee shall have elected to purchase all, but not less than all, of the Leased Property pursuant to Article XVIII or (iii) Lessee shall have elected the Renewal Option and a renewal pursuant to such Renewal Option shall have become effective in accordance with Section 4.7 of the Participation Agreement and all other conditions to such renewal set forth in Section 4.7 of the Participation Agreement and Section 19.3 hereof have been satisfied, Lessee shall be deemed to have elected the Purchase Option. In addition, the Sale Option shall automatically be revoked if there exists an Event of Default, Significant Environmental Event or an Event of Loss at any time after the Sale Option is properly elected or the Lessee fails to pay the Sale Option Recourse Amount to the Administrative Agent by not later than the last day of the Base Term (unless the Lease is renewed for the Lease Renewal Term in accordance with the terms hereof). In the event of any such automatic revocation of the Sale Option (i) as a result of an Event of Default, Lessor shall be entitled to exercise all rights and remedies provided in Article XVI (subject to the Lessee’s rights set forth in Section 18.1), and (ii) as a result of an Event of Loss or Specified Significant Environmental Event, Lessor shall be entitled to exercise all rights and remedies provided in Article XV. Lessee may not elect the Sale Option or the Renewal Option if there exists on the date the election is made an Event of Default, Significant Environmental Event or an Event of Loss. Any election by Lessee of the Purchase Option pursuant to Section 19.1(b) shall be irrevocable at the time made. The election of the Sale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t>Option shall not limit any remedies of Lessor under Article XVI.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19.3. Renewal Options</w:t>
      </w:r>
      <w:r>
        <w:rPr>
          <w:rFonts w:ascii="Arial" w:cs="Arial" w:eastAsia="Arial" w:hAnsi="Arial"/>
          <w:sz w:val="18"/>
          <w:szCs w:val="18"/>
          <w:color w:val="auto"/>
        </w:rPr>
        <w:t>. The exercise of any Renewal Option by Lessee shall be subject to satisfaction of the following conditions:</w:t>
      </w:r>
    </w:p>
    <w:p>
      <w:pPr>
        <w:spacing w:after="0" w:line="225" w:lineRule="exact"/>
        <w:rPr>
          <w:sz w:val="20"/>
          <w:szCs w:val="20"/>
          <w:color w:val="auto"/>
        </w:rPr>
      </w:pPr>
    </w:p>
    <w:p>
      <w:pPr>
        <w:ind w:left="660" w:firstLine="645"/>
        <w:spacing w:after="0" w:line="277" w:lineRule="auto"/>
        <w:tabs>
          <w:tab w:leader="none" w:pos="152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on the Expiration Date then in effect no Default or Event of Default shall have occurred and be continuing, and on the date Lessee gives written notice of its exercise of the Renewal Option, no Default or Event of Default shall have occurred and be continuing;</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Lessee shall not have exercised the Sale Option or the Purchase Option and</w:t>
      </w:r>
    </w:p>
    <w:p>
      <w:pPr>
        <w:spacing w:after="0" w:line="225" w:lineRule="exact"/>
        <w:rPr>
          <w:rFonts w:ascii="Arial" w:cs="Arial" w:eastAsia="Arial" w:hAnsi="Arial"/>
          <w:sz w:val="18"/>
          <w:szCs w:val="18"/>
          <w:color w:val="auto"/>
        </w:rPr>
      </w:pPr>
    </w:p>
    <w:p>
      <w:pPr>
        <w:ind w:left="660" w:firstLine="645"/>
        <w:spacing w:after="0" w:line="277" w:lineRule="auto"/>
        <w:tabs>
          <w:tab w:leader="none" w:pos="163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of the other conditions for the Renewal Option set forth in Section 4.7(a) of the Participation Agreement and in Section 19.2(iii) hereof have been satisfied.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Lessee’s exercise of a Renewal Option shall be deemed to be a representation by Lessee that on both the Expiration Date then in effect and the date Lessee gives notice of its exercise of the Renewal Option, no Default or Event of Default shall have occurred and be continuing.</w:t>
      </w:r>
    </w:p>
    <w:p>
      <w:pPr>
        <w:spacing w:after="0" w:line="157"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XX</w:t>
      </w:r>
    </w:p>
    <w:p>
      <w:pPr>
        <w:spacing w:after="0" w:line="14"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ALE</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p>
    <w:p>
      <w:pPr>
        <w:spacing w:after="0" w:line="195"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i w:val="1"/>
          <w:iCs w:val="1"/>
          <w:color w:val="auto"/>
        </w:rPr>
        <w:t>Section 20.1. Sale Option Procedures</w:t>
      </w:r>
      <w:r>
        <w:rPr>
          <w:rFonts w:ascii="Arial" w:cs="Arial" w:eastAsia="Arial" w:hAnsi="Arial"/>
          <w:sz w:val="17"/>
          <w:szCs w:val="17"/>
          <w:color w:val="auto"/>
        </w:rPr>
        <w:t>. The Lessee’s effective exercise and consummation of the Sale Option with respect to the Leased Property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 subject to the due and timely fulfillment of each of the following provisions as to the Leased Property as of the dates set forth below.</w:t>
      </w:r>
    </w:p>
    <w:p>
      <w:pPr>
        <w:spacing w:after="0" w:line="147" w:lineRule="exact"/>
        <w:rPr>
          <w:sz w:val="20"/>
          <w:szCs w:val="20"/>
          <w:color w:val="auto"/>
        </w:rPr>
      </w:pPr>
    </w:p>
    <w:p>
      <w:pPr>
        <w:ind w:firstLine="656"/>
        <w:spacing w:after="0" w:line="277" w:lineRule="auto"/>
        <w:tabs>
          <w:tab w:leader="none" w:pos="90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Lessee shall have given to Lessor and Administrative Agent written notice of the Lessee’s exercise of the Sale Option in accordance with Section 19.1.</w:t>
      </w:r>
    </w:p>
    <w:p>
      <w:pPr>
        <w:spacing w:after="0" w:line="170" w:lineRule="exact"/>
        <w:rPr>
          <w:rFonts w:ascii="Arial" w:cs="Arial" w:eastAsia="Arial" w:hAnsi="Arial"/>
          <w:sz w:val="18"/>
          <w:szCs w:val="18"/>
          <w:color w:val="auto"/>
        </w:rPr>
      </w:pPr>
    </w:p>
    <w:p>
      <w:pPr>
        <w:jc w:val="both"/>
        <w:ind w:firstLine="656"/>
        <w:spacing w:after="0" w:line="270" w:lineRule="auto"/>
        <w:tabs>
          <w:tab w:leader="none" w:pos="90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Prior to the Expiration Date, Lessee shall furnish to Lessor and the Administrative Agent (who shall promptly distribute the same to the Lenders) and, if the Leased Property is to be sold on the Expiration Date, the independent purchaser hereunder a reasonably current Environmental Audit dated no earlier than one hundred twenty (120) days prior to the Expiration Date and addressed to the Lessor (or accompanied by a letter from the consultant performing such Environmental Audit which allows the Lessor to rely on such report). Such Environmental Audit shall be prepared by an environmental consultant selected by Lessee subject to Lessor’s reasonable approval and shall contain conclusions reasonably satisfactory to the Lessor, the Participants and such purchaser as to the environmental status of the Leased Property. If any such Environmental Audit indicates any recognized environmental conditions with respect to the Leased Property not rising to the level of a Significant Environmental Event, Lessee shall take (at Lessee’s sole cost and expense) such investigative, remedial or other actions as shall be necessary to cure any such recognized environmental condition to the extent required by Environmental Laws and this Lease, and Lessee shall cause to be delivered (at Lessee’s sole cost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46" w:name="page247"/>
    <w:bookmarkEnd w:id="246"/>
    <w:p>
      <w:pPr>
        <w:jc w:val="both"/>
        <w:spacing w:after="0" w:line="264" w:lineRule="auto"/>
        <w:rPr>
          <w:sz w:val="20"/>
          <w:szCs w:val="20"/>
          <w:color w:val="auto"/>
        </w:rPr>
      </w:pPr>
      <w:r>
        <w:rPr>
          <w:rFonts w:ascii="Arial" w:cs="Arial" w:eastAsia="Arial" w:hAnsi="Arial"/>
          <w:sz w:val="18"/>
          <w:szCs w:val="18"/>
          <w:color w:val="auto"/>
        </w:rPr>
        <w:t>and expense) prior to the Expiration Date for the Leased Property a written statement by such environmental consultant detailing all such actions and indicating in his or her opinion that, to the extent required by this Lease, all remedial actions indicated in such Environmental Audit have been undertaken and completed in compliance with Applicable Laws.</w:t>
      </w:r>
    </w:p>
    <w:p>
      <w:pPr>
        <w:spacing w:after="0" w:line="181" w:lineRule="exact"/>
        <w:rPr>
          <w:sz w:val="20"/>
          <w:szCs w:val="20"/>
          <w:color w:val="auto"/>
        </w:rPr>
      </w:pPr>
    </w:p>
    <w:p>
      <w:pPr>
        <w:ind w:firstLine="656"/>
        <w:spacing w:after="0" w:line="277" w:lineRule="auto"/>
        <w:tabs>
          <w:tab w:leader="none" w:pos="90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 Event of Default, Significant Environmental Event or Event of Loss shall have occurred and be continuing on or at any time following the date of Lessee’s notice of exercise of the Sale Option.</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1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Upon surrender of the Leased Property, (i) the Leased Property shall be in the condition required by Section 9.1, (ii) there shall be no deferred maintenance in respect of the Leased Property, and (iii) Lessee shall have remediated any Environmental Violation, and taken all other actions necessary to fully address any outstanding Environmental Claim with respect to the Leased Property, each in accordance with the terms of this Lease and at Lessee’s sole cost and expense.</w:t>
      </w:r>
    </w:p>
    <w:p>
      <w:pPr>
        <w:spacing w:after="0" w:line="186" w:lineRule="exact"/>
        <w:rPr>
          <w:rFonts w:ascii="Arial" w:cs="Arial" w:eastAsia="Arial" w:hAnsi="Arial"/>
          <w:sz w:val="18"/>
          <w:szCs w:val="18"/>
          <w:color w:val="auto"/>
        </w:rPr>
      </w:pPr>
    </w:p>
    <w:p>
      <w:pPr>
        <w:jc w:val="both"/>
        <w:ind w:firstLine="656"/>
        <w:spacing w:after="0" w:line="273" w:lineRule="auto"/>
        <w:tabs>
          <w:tab w:leader="none" w:pos="89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The Lessee shall, as nonexclusive agent for Lessor, use commercially reasonable efforts to obtain the highest cash purchase price for the Leased Property. The Lessee will be responsible for hiring brokers and making the Leased Property available for inspection by prospective purchasers. The Lessee shall (i) upon reasonable notice during normal business hours (subject to Lessee’s customary security and safety measures), upon request, permit inspection of the Leased Property and any Leased Property Records by Lessor, the Administrative Agent and any potential purchasers;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limitations on inspections and the rights of the Lessee set forth in Section 4.2 shall apply to this Section 20.1, </w:t>
      </w:r>
      <w:r>
        <w:rPr>
          <w:rFonts w:ascii="Arial" w:cs="Arial" w:eastAsia="Arial" w:hAnsi="Arial"/>
          <w:sz w:val="17"/>
          <w:szCs w:val="17"/>
          <w:i w:val="1"/>
          <w:iCs w:val="1"/>
          <w:color w:val="auto"/>
        </w:rPr>
        <w:t>mutatis mutandis</w:t>
      </w:r>
      <w:r>
        <w:rPr>
          <w:rFonts w:ascii="Arial" w:cs="Arial" w:eastAsia="Arial" w:hAnsi="Arial"/>
          <w:sz w:val="17"/>
          <w:szCs w:val="17"/>
          <w:color w:val="auto"/>
        </w:rPr>
        <w:t>, and (ii) otherwise do all things reasonably necessary to sell and deliver possession of the Leased Property to any purchaser.</w:t>
      </w:r>
    </w:p>
    <w:p>
      <w:pPr>
        <w:spacing w:after="0" w:line="178" w:lineRule="exact"/>
        <w:rPr>
          <w:rFonts w:ascii="Arial" w:cs="Arial" w:eastAsia="Arial" w:hAnsi="Arial"/>
          <w:sz w:val="17"/>
          <w:szCs w:val="17"/>
          <w:color w:val="auto"/>
        </w:rPr>
      </w:pPr>
    </w:p>
    <w:p>
      <w:pPr>
        <w:jc w:val="both"/>
        <w:ind w:firstLine="656"/>
        <w:spacing w:after="0" w:line="264" w:lineRule="auto"/>
        <w:tabs>
          <w:tab w:leader="none" w:pos="87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Lessee shall use commercially reasonable efforts to procure bids from one or more bona fide prospective purchasers to purchase the Leased Property, which shall include Lessor and its Affiliates. No such purchaser shall be the Lessee or any Subsidiary of the Lessee (except as set forth in the last paragraph of this Section 20.1).</w:t>
      </w:r>
    </w:p>
    <w:p>
      <w:pPr>
        <w:spacing w:after="0" w:line="181" w:lineRule="exact"/>
        <w:rPr>
          <w:rFonts w:ascii="Arial" w:cs="Arial" w:eastAsia="Arial" w:hAnsi="Arial"/>
          <w:sz w:val="18"/>
          <w:szCs w:val="18"/>
          <w:color w:val="auto"/>
        </w:rPr>
      </w:pPr>
    </w:p>
    <w:p>
      <w:pPr>
        <w:jc w:val="both"/>
        <w:ind w:firstLine="656"/>
        <w:spacing w:after="0" w:line="270" w:lineRule="auto"/>
        <w:tabs>
          <w:tab w:leader="none" w:pos="903"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Lessee shall submit all bids to Lessor and the Administrative Agent (who shall promptly distribute the same to the Lenders), and Lessor will have the right to review the same and to submit any one or more bids. All bids shall be on an all-cash basis unless Lessor and the Participants shall otherwise agree in their sole discretion. The Lessee shall use commercially reasonable efforts to deliver to Lessor and the Required Participants not less than ninety (90) days prior to the Expiration Date a binding written unconditional (except as set forth below), irrevocable offer by such purchaser or purchasers offering the highest all-cash bid to purchase all, but not less than all, of the Leased Property (unless otherwise agreed to by Lessor and the Required Participants). If Lessor in the exercise of its reasonable judgment believes that the Gross Proceeds to be paid to Lessor pursuant to clause (l) below from a proposed bid which the Lessee desires to accept is less than the Fair Market Value, then Lessor shall promptly provide written notice thereof to Lessee and Lessee’s rights hereunder shall be further conditioned upon Lessor’s receipt of an appraisal demonstrating that such proposed bid is for an amount at least equal to the Fair Market Value of the Leased Property as established by such appraisal. In such</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47" w:name="page248"/>
    <w:bookmarkEnd w:id="247"/>
    <w:p>
      <w:pPr>
        <w:jc w:val="both"/>
        <w:spacing w:after="0" w:line="288" w:lineRule="auto"/>
        <w:rPr>
          <w:sz w:val="20"/>
          <w:szCs w:val="20"/>
          <w:color w:val="auto"/>
        </w:rPr>
      </w:pPr>
      <w:r>
        <w:rPr>
          <w:rFonts w:ascii="Arial" w:cs="Arial" w:eastAsia="Arial" w:hAnsi="Arial"/>
          <w:sz w:val="16"/>
          <w:szCs w:val="16"/>
          <w:color w:val="auto"/>
        </w:rPr>
        <w:t>case then Lessor shall, promptly following the receipt of such notice from Lessor, engage an appraiser, reasonably satisfactory to Lessor and Lessee, at Lessee’s expense, to determine (by appraisal methods reasonably satisfactory to Lessor and the Required Participants) the Fair Market Value of the Leased Property as of the Expiration Date. A copy of such appraisal shall be delivered to Lessor and the Administrative Agent (who shall promptly distribute the same to the Lenders) not later than five (5) Business Days prior to the Expiration Date. The appraiser will be instructed to assume that the Leased Property is in the condition required by and has been maintained in accordance with this Lease. Notwithstanding anything contained in this clause (g) to the contrary, in the event Lessor received a bona fide all cash offer which the Lessee desires to accept from a credit worthy offeror (which shall include Lessor and any Affiliate thereof) for an amount equal to the Lease Balance and all other amounts owing by Lessee to the Administrative Agent, if any, and/or the Participants under the Operative Documents (including, but without duplication, accrued and unpaid Rent) (after deduction of all sales costs, expenses and related taxes), Lessor must sell the Leased Property for such amount to the extent the conditions therefor are satisfied and Lessor shall have no right to require an appraisal demonstrating that such proposed bid is for an amount at least equal to the Fair Market Value of the Leased Property.</w:t>
      </w:r>
    </w:p>
    <w:p>
      <w:pPr>
        <w:spacing w:after="0" w:line="169" w:lineRule="exact"/>
        <w:rPr>
          <w:sz w:val="20"/>
          <w:szCs w:val="20"/>
          <w:color w:val="auto"/>
        </w:rPr>
      </w:pPr>
    </w:p>
    <w:p>
      <w:pPr>
        <w:jc w:val="both"/>
        <w:ind w:firstLine="656"/>
        <w:spacing w:after="0" w:line="272" w:lineRule="auto"/>
        <w:tabs>
          <w:tab w:leader="none" w:pos="94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In connection with any such sale of the Leased Property, the Lessee will provide to the purchaser all customary “seller’s” indemnities, representations and warranties, customary representations and warranties regarding title and the absence of Liens (except Lessor Liens and Permitted Liens of the type described in clauses (a) (excluding Liens relating to the interest or rights of Lessee), (b), (c), (f), (g), (h), (i), (j), (k) or (m) of the definition of “Permitted Liens”) and the condition of such Leased Property. The Lessee shall have obtained, at its cost and expense, all required governmental and regulatory consents and approvals and shall have made all filings as required by Applicable Laws in order to carry out and complete the transfer of the Leased Property. As to Lessor, any such sale shall be made on an “as is, where is, with all faults” basis without representation or warranty by Lessor, other than the absence of Lessor Liens. Any agreement as to such sale shall be in form and substance satisfactory to Lessor.</w:t>
      </w:r>
    </w:p>
    <w:p>
      <w:pPr>
        <w:spacing w:after="0" w:line="177" w:lineRule="exact"/>
        <w:rPr>
          <w:rFonts w:ascii="Arial" w:cs="Arial" w:eastAsia="Arial" w:hAnsi="Arial"/>
          <w:sz w:val="17"/>
          <w:szCs w:val="17"/>
          <w:color w:val="auto"/>
        </w:rPr>
      </w:pPr>
    </w:p>
    <w:p>
      <w:pPr>
        <w:jc w:val="both"/>
        <w:ind w:firstLine="656"/>
        <w:spacing w:after="0" w:line="257" w:lineRule="auto"/>
        <w:tabs>
          <w:tab w:leader="none" w:pos="86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All costs, Impositions and expenses of or arising from the sale of the Leased Property, incurred by the Participants, Administrative Agent or the Lessee, including the cost of all title searches, surveys, environmental audits, appraisals, transfer taxes, Lessor’s reasonable attorneys’ fees, the Lessee’s attorneys’ fees, commissions, escrow fees, recording fees, and all applicable documentary and other transfer and document taxes and Impositions shall be paid out of the sale proceeds as set forth in Section 5.3 of the Participation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Lessee shall pay directly any such amounts incurred by Lessee in excess of amounts Lessor, acting in good faith, deems reasonable.</w:t>
      </w:r>
    </w:p>
    <w:p>
      <w:pPr>
        <w:spacing w:after="0" w:line="188" w:lineRule="exact"/>
        <w:rPr>
          <w:rFonts w:ascii="Arial" w:cs="Arial" w:eastAsia="Arial" w:hAnsi="Arial"/>
          <w:sz w:val="18"/>
          <w:szCs w:val="18"/>
          <w:color w:val="auto"/>
        </w:rPr>
      </w:pPr>
    </w:p>
    <w:p>
      <w:pPr>
        <w:jc w:val="both"/>
        <w:ind w:firstLine="656"/>
        <w:spacing w:after="0" w:line="257" w:lineRule="auto"/>
        <w:tabs>
          <w:tab w:leader="none" w:pos="86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Whether or not a sale of the Leased Property is completed on the Expiration Date, Lessee shall pay, or cause to be paid, to Lessor on or prior to the Expiration Date (or, if earlier, the date on which a sale of the Leased Property is consummated), (or in the case of Supplemental Rent, to the Person entitled thereto) an amount equal to, without duplication, (i) the Sale Option Recourse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accrued and unpaid Rent (including Supplemental Rent, if any) and all other amounts hereunder which have accrued or will accrue prior to or as of the Expiration Date in the type of funds specified in Section 3.4 hereof.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48" w:name="page249"/>
    <w:bookmarkEnd w:id="248"/>
    <w:p>
      <w:pPr>
        <w:ind w:firstLine="656"/>
        <w:spacing w:after="0" w:line="277" w:lineRule="auto"/>
        <w:tabs>
          <w:tab w:leader="none" w:pos="92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Lessee shall pay to Lessor on or prior to the Expiration Date the amounts, if any, required to be paid pursuant to Article XIII of the Participation Agreement.</w:t>
      </w:r>
    </w:p>
    <w:p>
      <w:pPr>
        <w:spacing w:after="0" w:line="170" w:lineRule="exact"/>
        <w:rPr>
          <w:rFonts w:ascii="Arial" w:cs="Arial" w:eastAsia="Arial" w:hAnsi="Arial"/>
          <w:sz w:val="18"/>
          <w:szCs w:val="18"/>
          <w:color w:val="auto"/>
        </w:rPr>
      </w:pPr>
    </w:p>
    <w:p>
      <w:pPr>
        <w:jc w:val="both"/>
        <w:ind w:firstLine="656"/>
        <w:spacing w:after="0" w:line="286" w:lineRule="auto"/>
        <w:tabs>
          <w:tab w:leader="none" w:pos="87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If a sale of the Leased Property is consummated on or before the Expiration Date, Lessee shall pay, or cause to be paid, directly to Lessor the gross proceeds (the “</w:t>
      </w:r>
      <w:r>
        <w:rPr>
          <w:rFonts w:ascii="Arial" w:cs="Arial" w:eastAsia="Arial" w:hAnsi="Arial"/>
          <w:sz w:val="17"/>
          <w:szCs w:val="17"/>
          <w:i w:val="1"/>
          <w:iCs w:val="1"/>
          <w:color w:val="auto"/>
        </w:rPr>
        <w:t>Gross Proceeds</w:t>
      </w:r>
      <w:r>
        <w:rPr>
          <w:rFonts w:ascii="Arial" w:cs="Arial" w:eastAsia="Arial" w:hAnsi="Arial"/>
          <w:sz w:val="17"/>
          <w:szCs w:val="17"/>
          <w:color w:val="auto"/>
        </w:rPr>
        <w:t>”) of such sale (</w:t>
      </w:r>
      <w:r>
        <w:rPr>
          <w:rFonts w:ascii="Arial" w:cs="Arial" w:eastAsia="Arial" w:hAnsi="Arial"/>
          <w:sz w:val="17"/>
          <w:szCs w:val="17"/>
          <w:i w:val="1"/>
          <w:iCs w:val="1"/>
          <w:color w:val="auto"/>
        </w:rPr>
        <w:t>i.e.</w:t>
      </w:r>
      <w:r>
        <w:rPr>
          <w:rFonts w:ascii="Arial" w:cs="Arial" w:eastAsia="Arial" w:hAnsi="Arial"/>
          <w:sz w:val="17"/>
          <w:szCs w:val="17"/>
          <w:color w:val="auto"/>
        </w:rPr>
        <w:t>, without deduction for any marketing, closing or other costs, prorations or commissions); and such Gross Proceeds shall be applied as set forth in Section 5.3(d) of the Participation Agreement and Section 20.1(i) above.</w:t>
      </w:r>
    </w:p>
    <w:p>
      <w:pPr>
        <w:spacing w:after="0" w:line="165" w:lineRule="exact"/>
        <w:rPr>
          <w:rFonts w:ascii="Arial" w:cs="Arial" w:eastAsia="Arial" w:hAnsi="Arial"/>
          <w:sz w:val="17"/>
          <w:szCs w:val="17"/>
          <w:color w:val="auto"/>
        </w:rPr>
      </w:pPr>
    </w:p>
    <w:p>
      <w:pPr>
        <w:jc w:val="both"/>
        <w:ind w:firstLine="656"/>
        <w:spacing w:after="0" w:line="259" w:lineRule="auto"/>
        <w:tabs>
          <w:tab w:leader="none" w:pos="95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Lessee shall, to the extent permitted by Applicable Laws, assign, and shall cooperate with all reasonable requests of Lessor or the purchaser for obtaining any and all licenses, permits, approvals and consents of any Governmental Authorities or other Persons that are or will be required to be obtained by Lessor or such purchaser in connection with its use, operation, control or maintenance of the Leased Property in compliance with Applicable Laws.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after the exercise by the Lessee of the Sale Option, one or more of the foregoing provisions of this Section 20.1 shall not be fulfilled as of the date set forth therein (and, other than in the case of Section 20.1(c) and any provision required to be fulfilled on the Expiration Date or on the date of a consummation of a sale, Lessor or the Administrative Agent shall have delivered written notice thereof to the Lessee and any such provision is not fulfilled within five (5) Business Days of such notice), then Lessor shall declare by written notice to the Lessee the exercise of the Sale Option to be null and void, in which event all of the Lessee’s rights under this Section 20.1 shall immediately terminate and the Lessee shall be obligated to purchase the Leased Property pursuant to Section 19.1(b) on the Expiration Date.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expressly set forth herein, the Lessee shall have no right, power or authority to bind Lessor in connection with any proposed sale of the Leased Property or the other Collateral.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anything contained herein to the contrary, if the Leased Property has not been sold to a third party purchaser by the Expiration Date, then the Lessee shall pay to the Administrative Agent on or before the Expiration Date the Sale Option Recourse Amount, the Lessee shall have been deemed to have purchased the Leased Property, and Lessor shall transfer title to the Leased Property to the Lessee pursuant to Section 21.1(iv) of this Lease and the Lessee shall accept title to the Leased Property as a result of such deemed purchase. Lessor agrees that it shall cooperate with the Lessee in effecting any transfer to a designee of the Lessee pursuant to this paragraph.</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Section 20.2. Certain Obligations Continue</w:t>
      </w:r>
      <w:r>
        <w:rPr>
          <w:rFonts w:ascii="Arial" w:cs="Arial" w:eastAsia="Arial" w:hAnsi="Arial"/>
          <w:sz w:val="18"/>
          <w:szCs w:val="18"/>
          <w:color w:val="auto"/>
        </w:rPr>
        <w:t>. During the period following Lessee’s exercise of the Sale Option and until and including the Expiration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(or, if earlier, the date on which a sale is consummated), the obligation of the Lessee to pay Rent with respect to the Leased Property (including the installment of Rent due on the Expiration Date (or, if earlier, the date on which a sale is consummated)) shall continue undiminished. Lessor shall have the right, but shall be under no duty, to solicit bids, to inquire into the efforts of the Lessee to obtain bids or otherwise to take action in connection with any such sale, other than as expressly provided in this Article XX.</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XXI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ROCEDURES</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ELATING TO</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 OR</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ALE</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p>
    <w:p>
      <w:pPr>
        <w:spacing w:after="0" w:line="19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Section 21.1. Provisions Relating to Conveyance of the Leased Property Upon Purchase by the Lessee, Sales or Certain Other Events</w:t>
      </w:r>
      <w:r>
        <w:rPr>
          <w:rFonts w:ascii="Arial" w:cs="Arial" w:eastAsia="Arial" w:hAnsi="Arial"/>
          <w:sz w:val="18"/>
          <w:szCs w:val="18"/>
          <w:color w:val="auto"/>
        </w:rPr>
        <w:t>.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termination of this Lease pursuant to the terms of Article XV, any purchase of all, but not less than all, of the Leased Property in accordance with Article XVIII or in connection with the Lessee’s obligations under Section 16.2(e) or any other conveyance or purchase of the Leased Property made pursuant to the terms of this Lease, then, upon the date on which this Lease is to terminate with respect to the Leased Property and upon tender by the Lessee of the amounts set forth in Article XV, Sections 16.2(e) or Article XVIII as applicable:</w:t>
      </w:r>
    </w:p>
    <w:p>
      <w:pPr>
        <w:spacing w:after="0" w:line="188" w:lineRule="exact"/>
        <w:rPr>
          <w:sz w:val="20"/>
          <w:szCs w:val="20"/>
          <w:color w:val="auto"/>
        </w:rPr>
      </w:pPr>
    </w:p>
    <w:p>
      <w:pPr>
        <w:jc w:val="both"/>
        <w:ind w:left="660" w:firstLine="645"/>
        <w:spacing w:after="0" w:line="259" w:lineRule="auto"/>
        <w:tabs>
          <w:tab w:leader="none" w:pos="154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Except in connection with the Sale Option, Lessor shall, at Lessee’s cost and expense, execute and deliver to the Lessee (or to the Lessee’s designee) a FIRPTA affidavit, a bill of sale and a special warranty deed (in recordable form and otherwise in conformity with local custom) in respect of Lessor’s interest in the Leased Property without representation and warranty except as to the absence of any Lessor Liens attributable to Lessor;</w:t>
      </w:r>
    </w:p>
    <w:p>
      <w:pPr>
        <w:spacing w:after="0" w:line="186" w:lineRule="exact"/>
        <w:rPr>
          <w:rFonts w:ascii="Arial" w:cs="Arial" w:eastAsia="Arial" w:hAnsi="Arial"/>
          <w:sz w:val="18"/>
          <w:szCs w:val="18"/>
          <w:color w:val="auto"/>
        </w:rPr>
      </w:pPr>
    </w:p>
    <w:p>
      <w:pPr>
        <w:ind w:left="660" w:firstLine="645"/>
        <w:spacing w:after="0" w:line="277" w:lineRule="auto"/>
        <w:tabs>
          <w:tab w:leader="none" w:pos="158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Except in connection with the Sale Option, the Leased Property shall be conveyed to the Lessee (or to the Lessee’s designee) “A</w:t>
      </w:r>
      <w:r>
        <w:rPr>
          <w:rFonts w:ascii="Arial" w:cs="Arial" w:eastAsia="Arial" w:hAnsi="Arial"/>
          <w:sz w:val="12"/>
          <w:szCs w:val="12"/>
          <w:color w:val="auto"/>
        </w:rPr>
        <w:t>S</w:t>
      </w:r>
      <w:r>
        <w:rPr>
          <w:rFonts w:ascii="Arial" w:cs="Arial" w:eastAsia="Arial" w:hAnsi="Arial"/>
          <w:sz w:val="18"/>
          <w:szCs w:val="18"/>
          <w:color w:val="auto"/>
        </w:rPr>
        <w:t xml:space="preserve"> I</w:t>
      </w:r>
      <w:r>
        <w:rPr>
          <w:rFonts w:ascii="Arial" w:cs="Arial" w:eastAsia="Arial" w:hAnsi="Arial"/>
          <w:sz w:val="12"/>
          <w:szCs w:val="12"/>
          <w:color w:val="auto"/>
        </w:rPr>
        <w:t>S</w:t>
      </w:r>
      <w:r>
        <w:rPr>
          <w:rFonts w:ascii="Arial" w:cs="Arial" w:eastAsia="Arial" w:hAnsi="Arial"/>
          <w:sz w:val="18"/>
          <w:szCs w:val="18"/>
          <w:color w:val="auto"/>
        </w:rPr>
        <w:t>, W</w:t>
      </w:r>
      <w:r>
        <w:rPr>
          <w:rFonts w:ascii="Arial" w:cs="Arial" w:eastAsia="Arial" w:hAnsi="Arial"/>
          <w:sz w:val="12"/>
          <w:szCs w:val="12"/>
          <w:color w:val="auto"/>
        </w:rPr>
        <w:t>HERE</w:t>
      </w:r>
      <w:r>
        <w:rPr>
          <w:rFonts w:ascii="Arial" w:cs="Arial" w:eastAsia="Arial" w:hAnsi="Arial"/>
          <w:sz w:val="18"/>
          <w:szCs w:val="18"/>
          <w:color w:val="auto"/>
        </w:rPr>
        <w:t xml:space="preserve"> I</w:t>
      </w:r>
      <w:r>
        <w:rPr>
          <w:rFonts w:ascii="Arial" w:cs="Arial" w:eastAsia="Arial" w:hAnsi="Arial"/>
          <w:sz w:val="12"/>
          <w:szCs w:val="12"/>
          <w:color w:val="auto"/>
        </w:rPr>
        <w:t>S</w:t>
      </w:r>
      <w:r>
        <w:rPr>
          <w:rFonts w:ascii="Arial" w:cs="Arial" w:eastAsia="Arial" w:hAnsi="Arial"/>
          <w:sz w:val="18"/>
          <w:szCs w:val="18"/>
          <w:color w:val="auto"/>
        </w:rPr>
        <w:t>” and in its then present physical condition;</w:t>
      </w:r>
    </w:p>
    <w:p>
      <w:pPr>
        <w:spacing w:after="0" w:line="170" w:lineRule="exact"/>
        <w:rPr>
          <w:rFonts w:ascii="Arial" w:cs="Arial" w:eastAsia="Arial" w:hAnsi="Arial"/>
          <w:sz w:val="18"/>
          <w:szCs w:val="18"/>
          <w:color w:val="auto"/>
        </w:rPr>
      </w:pPr>
    </w:p>
    <w:p>
      <w:pPr>
        <w:jc w:val="both"/>
        <w:ind w:left="660" w:firstLine="645"/>
        <w:spacing w:after="0" w:line="279" w:lineRule="auto"/>
        <w:tabs>
          <w:tab w:leader="none" w:pos="1651" w:val="left"/>
        </w:tabs>
        <w:numPr>
          <w:ilvl w:val="0"/>
          <w:numId w:val="199"/>
        </w:numPr>
        <w:rPr>
          <w:rFonts w:ascii="Arial" w:cs="Arial" w:eastAsia="Arial" w:hAnsi="Arial"/>
          <w:sz w:val="17"/>
          <w:szCs w:val="17"/>
          <w:color w:val="auto"/>
        </w:rPr>
      </w:pPr>
      <w:r>
        <w:rPr>
          <w:rFonts w:ascii="Arial" w:cs="Arial" w:eastAsia="Arial" w:hAnsi="Arial"/>
          <w:sz w:val="17"/>
          <w:szCs w:val="17"/>
          <w:color w:val="auto"/>
        </w:rPr>
        <w:t>Lessor shall cause all Lessor Liens to be released and execute and deliver to Lessee (or to the Lessee’s designee) a statement of termination of this Lease and shall use its best efforts to cause the Administrative Agent to execute and deliver releases of any Liens created by or pursuant to the Operative Documents attributable to the Administrative Agent, and termination statements for any financing statements which are then of record naming the Administrative Agent or Lessor as the secured party, all at Lessee’s sole cost and expense;</w:t>
      </w:r>
    </w:p>
    <w:p>
      <w:pPr>
        <w:spacing w:after="0" w:line="171" w:lineRule="exact"/>
        <w:rPr>
          <w:rFonts w:ascii="Arial" w:cs="Arial" w:eastAsia="Arial" w:hAnsi="Arial"/>
          <w:sz w:val="17"/>
          <w:szCs w:val="17"/>
          <w:color w:val="auto"/>
        </w:rPr>
      </w:pPr>
    </w:p>
    <w:p>
      <w:pPr>
        <w:jc w:val="both"/>
        <w:ind w:left="660" w:firstLine="645"/>
        <w:spacing w:after="0" w:line="289" w:lineRule="auto"/>
        <w:tabs>
          <w:tab w:leader="none" w:pos="163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If the Lessee properly exercises the Sale Option, then the Lessee shall, upon a sale thereunder, transfer or cause to be transferred possession of the Leased Property to the purchaser(s) thereof, in each case by surrendering the same into the possession of Lessor or such purchaser, as the case may be, free and clear of all Liens (except Lessor Liens and Permitted Liens of the type described in clauses (a) (excluding Liens relating to the interest or rights of Lessee), (b), (c), (f), (g), (h), (i), (j), (k) or (m) of the definition of “Permitted Liens”), in good condition (as modified by Modifications permitted by this Lease), ordinary wear and tear excepted, and in compliance in all material respects with Applicable Laws and the provisions of this Lease, and the Lessee shall execute and deliver to the purchaser a bill of sale and deed with respect to its interest in the Leased Property, in each case in recordable form and otherwise in conformity with local custom and Section 20.1(h); the Lessee shall execute and deliver to the purchaser and the purchaser’s title insurance company an affidavit as to the absence of any Liens (other than Permitted Liens), and such other affidavits and certificates reasonably requested by any title insurance company insuring title to the Leased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50" w:name="page251"/>
    <w:bookmarkEnd w:id="250"/>
    <w:p>
      <w:pPr>
        <w:jc w:val="both"/>
        <w:ind w:left="660"/>
        <w:spacing w:after="0" w:line="270" w:lineRule="auto"/>
        <w:rPr>
          <w:sz w:val="20"/>
          <w:szCs w:val="20"/>
          <w:color w:val="auto"/>
        </w:rPr>
      </w:pPr>
      <w:r>
        <w:rPr>
          <w:rFonts w:ascii="Arial" w:cs="Arial" w:eastAsia="Arial" w:hAnsi="Arial"/>
          <w:sz w:val="17"/>
          <w:szCs w:val="17"/>
          <w:color w:val="auto"/>
        </w:rPr>
        <w:t xml:space="preserve">Property, as well as a FIRPTA affidavit, and an instrument in recordable form declaring this Lease to be terminated on the date of closing of the sale of the Leased Property and Lessor shall execute and deliver to purchaser a FIRPTA affidavit and a special warranty deed in recordable form, without recourse, representation or warranty, except as to the absence of Lessor Liens. The Lessee shall cooperate reasonably with Lessor and the purchaser of the Leased Property in order to facilitate the purchase and use by such purchaser of the Leased Property, which cooperation shall include the following, all of which the Lessee shall do on or before the Expiration Date: providing all Leased Property Records and all know-how, data and technical information relating thereto, providing a copy of any current plans and specifications with respect to the Leased Property in Lessee’s possession, granting or assigning (to the extent assignable) all licenses necessary for the operation and maintenance of the Leased Property, and cooperating reasonably in seeking and obtaining all necessary Governmental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otherwise agreed in the purchase agreement governing the sale of the Leased Property, such cooperation shall be at the expense of the purchaser. The obligations of the Lessee under this paragraph shall survive the expiration or termination of this Lease.</w:t>
      </w:r>
    </w:p>
    <w:p>
      <w:pPr>
        <w:spacing w:after="0" w:line="178" w:lineRule="exact"/>
        <w:rPr>
          <w:sz w:val="20"/>
          <w:szCs w:val="20"/>
          <w:color w:val="auto"/>
        </w:rPr>
      </w:pPr>
    </w:p>
    <w:p>
      <w:pPr>
        <w:jc w:val="both"/>
        <w:ind w:left="660" w:firstLine="645"/>
        <w:spacing w:after="0" w:line="264" w:lineRule="auto"/>
        <w:tabs>
          <w:tab w:leader="none" w:pos="157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reasonable costs, expenses and related taxes related to the sale of the Leased Property shall be payable through the proceeds of the sale of the Leased Property. Any such amounts incurred by Lessee in excess of what Lessor, acting in good faith, deems reasonable shall be paid by Lessee.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XXII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CCEPTANCE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URRENDER</w:t>
      </w:r>
    </w:p>
    <w:p>
      <w:pPr>
        <w:spacing w:after="0" w:line="19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22.1. Acceptance of Surrender</w:t>
      </w:r>
      <w:r>
        <w:rPr>
          <w:rFonts w:ascii="Arial" w:cs="Arial" w:eastAsia="Arial" w:hAnsi="Arial"/>
          <w:sz w:val="18"/>
          <w:szCs w:val="18"/>
          <w:color w:val="auto"/>
        </w:rPr>
        <w:t>. No surrender to Lessor of this Lease or of the Leased Property or of any part of any thereof or of any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shall be valid or effective unless agreed to and accepted in writing by Lessor and, prior to the payment or performance of all obligations under the Loan Agreement and termination of the Commitments, the Lenders, and no act by Lessor or the Lenders, or any representative or agent of Lessor or the Lenders, other than a written acceptance, shall constitute an acceptance of any such surrender.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XXIII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ERGER OF</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ITLE</w:t>
      </w:r>
    </w:p>
    <w:p>
      <w:pPr>
        <w:spacing w:after="0" w:line="19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23.1. No Merger of Title</w:t>
      </w:r>
      <w:r>
        <w:rPr>
          <w:rFonts w:ascii="Arial" w:cs="Arial" w:eastAsia="Arial" w:hAnsi="Arial"/>
          <w:sz w:val="18"/>
          <w:szCs w:val="18"/>
          <w:color w:val="auto"/>
        </w:rPr>
        <w:t>. There shall be no merger of this Lease or of the leasehold estate created hereby or thereby by reason of the fact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Person may acquire, own or hold, directly or indirectly, in whole or in part, (a) this Lease or the leasehold estates created hereby or any interest in this Lease or such leasehold estate, (b) title to the Leased Property or (c) a beneficial interest in Lessor.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XXIV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NTENT OF</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i w:val="1"/>
          <w:iCs w:val="1"/>
          <w:color w:val="auto"/>
        </w:rPr>
        <w:t>Section 24.1. Nature of Transaction</w:t>
      </w:r>
      <w:r>
        <w:rPr>
          <w:rFonts w:ascii="Arial" w:cs="Arial" w:eastAsia="Arial" w:hAnsi="Arial"/>
          <w:sz w:val="18"/>
          <w:szCs w:val="18"/>
          <w:color w:val="auto"/>
        </w:rPr>
        <w:t>. It is the intention of the parties that:</w:t>
      </w:r>
    </w:p>
    <w:p>
      <w:pPr>
        <w:spacing w:after="0" w:line="225" w:lineRule="exact"/>
        <w:rPr>
          <w:sz w:val="20"/>
          <w:szCs w:val="20"/>
          <w:color w:val="auto"/>
        </w:rPr>
      </w:pPr>
    </w:p>
    <w:p>
      <w:pPr>
        <w:jc w:val="both"/>
        <w:ind w:left="220" w:firstLine="645"/>
        <w:spacing w:after="0" w:line="264" w:lineRule="auto"/>
        <w:tabs>
          <w:tab w:leader="none" w:pos="111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for all purposes, including GAAP, federal and all state and local income and transfer taxes, bankruptcy, insolvency, conservatorships and receiverships (including the substantive law upon which bankruptcy, conservatorship and insolvency and receivership proceedings are based), real estate and commercial law and UCC purposes:</w:t>
      </w:r>
    </w:p>
    <w:p>
      <w:pPr>
        <w:spacing w:after="0" w:line="181" w:lineRule="exact"/>
        <w:rPr>
          <w:rFonts w:ascii="Arial" w:cs="Arial" w:eastAsia="Arial" w:hAnsi="Arial"/>
          <w:sz w:val="18"/>
          <w:szCs w:val="18"/>
          <w:color w:val="auto"/>
        </w:rPr>
      </w:pPr>
    </w:p>
    <w:p>
      <w:pPr>
        <w:jc w:val="both"/>
        <w:ind w:left="860" w:firstLine="653"/>
        <w:spacing w:after="0" w:line="271" w:lineRule="auto"/>
        <w:tabs>
          <w:tab w:leader="none" w:pos="1768" w:val="left"/>
        </w:tabs>
        <w:numPr>
          <w:ilvl w:val="1"/>
          <w:numId w:val="201"/>
        </w:numPr>
        <w:rPr>
          <w:rFonts w:ascii="Arial" w:cs="Arial" w:eastAsia="Arial" w:hAnsi="Arial"/>
          <w:sz w:val="17"/>
          <w:szCs w:val="17"/>
          <w:color w:val="auto"/>
        </w:rPr>
      </w:pPr>
      <w:r>
        <w:rPr>
          <w:rFonts w:ascii="Arial" w:cs="Arial" w:eastAsia="Arial" w:hAnsi="Arial"/>
          <w:sz w:val="17"/>
          <w:szCs w:val="17"/>
          <w:color w:val="auto"/>
        </w:rPr>
        <w:t>the Overall Transaction constitutes a secured lending transaction by the Participants to Lessee and preserves beneficial ownership in the Leased Property in Lessee, Lessor holds only legal title to the Leased Property within the meaning of 11 U.S.C. Section 541(d), Lessee (and not the Lessor, the Administrative Agent or the other Participants) will be entitled to all tax benefits with respect to the Leased Property and other Collateral available to the owner of the Leased Property for tax purposes, the obligations of Lessee to pay Basic Rent shall be treated as payments of interest to the Participants, the payment by Lessee of any amounts in respect of the Lease Balance (other than Basic Rent) shall be treated as payments of principal to the Participants and, in the event Lessee purchases the Leased Property pursuant to the terms hereof and pays in full the Lease Balance and all other amounts outstanding under the Operative Documents, legal title to the Leased Property shall automatically vest in the Lessee;</w:t>
      </w:r>
    </w:p>
    <w:p>
      <w:pPr>
        <w:spacing w:after="0" w:line="178" w:lineRule="exact"/>
        <w:rPr>
          <w:rFonts w:ascii="Arial" w:cs="Arial" w:eastAsia="Arial" w:hAnsi="Arial"/>
          <w:sz w:val="17"/>
          <w:szCs w:val="17"/>
          <w:color w:val="auto"/>
        </w:rPr>
      </w:pPr>
    </w:p>
    <w:p>
      <w:pPr>
        <w:jc w:val="both"/>
        <w:ind w:left="860" w:firstLine="653"/>
        <w:spacing w:after="0" w:line="279" w:lineRule="auto"/>
        <w:tabs>
          <w:tab w:leader="none" w:pos="1789" w:val="left"/>
        </w:tabs>
        <w:numPr>
          <w:ilvl w:val="1"/>
          <w:numId w:val="201"/>
        </w:numPr>
        <w:rPr>
          <w:rFonts w:ascii="Arial" w:cs="Arial" w:eastAsia="Arial" w:hAnsi="Arial"/>
          <w:sz w:val="17"/>
          <w:szCs w:val="17"/>
          <w:color w:val="auto"/>
        </w:rPr>
      </w:pPr>
      <w:r>
        <w:rPr>
          <w:rFonts w:ascii="Arial" w:cs="Arial" w:eastAsia="Arial" w:hAnsi="Arial"/>
          <w:sz w:val="17"/>
          <w:szCs w:val="17"/>
          <w:color w:val="auto"/>
        </w:rPr>
        <w:t>in order to secure the secured lending obligations of Lessee now existing or hereafter arising under this Lease or any of the other Operative Documents, this Lease, together with the other Security Instruments, creates a first priority (subject to Permitted Liens) security interest in or a lien on the Site, the Leased Property and the other Collateral in favor of the Administrative Agent and for the benefit of the Participants to secure Lessee’s payment and performance of the Obligations; and</w:t>
      </w:r>
    </w:p>
    <w:p>
      <w:pPr>
        <w:spacing w:after="0" w:line="171" w:lineRule="exact"/>
        <w:rPr>
          <w:rFonts w:ascii="Arial" w:cs="Arial" w:eastAsia="Arial" w:hAnsi="Arial"/>
          <w:sz w:val="17"/>
          <w:szCs w:val="17"/>
          <w:color w:val="auto"/>
        </w:rPr>
      </w:pPr>
    </w:p>
    <w:p>
      <w:pPr>
        <w:jc w:val="both"/>
        <w:ind w:left="860" w:firstLine="653"/>
        <w:spacing w:after="0" w:line="286" w:lineRule="auto"/>
        <w:tabs>
          <w:tab w:leader="none" w:pos="1843" w:val="left"/>
        </w:tabs>
        <w:numPr>
          <w:ilvl w:val="1"/>
          <w:numId w:val="201"/>
        </w:numPr>
        <w:rPr>
          <w:rFonts w:ascii="Arial" w:cs="Arial" w:eastAsia="Arial" w:hAnsi="Arial"/>
          <w:sz w:val="17"/>
          <w:szCs w:val="17"/>
          <w:color w:val="auto"/>
        </w:rPr>
      </w:pPr>
      <w:r>
        <w:rPr>
          <w:rFonts w:ascii="Arial" w:cs="Arial" w:eastAsia="Arial" w:hAnsi="Arial"/>
          <w:sz w:val="17"/>
          <w:szCs w:val="17"/>
          <w:color w:val="auto"/>
        </w:rPr>
        <w:t>the Security Instruments create Liens and security interests in the Collateral granted by Lessor or Lessee, as applicable, in favor of the Administrative Agent for the benefit of all the Participants to secure Lessee’s and Lessor’s payment and performance of the obligations under this Lease, the Loan Agreement, the Notes and other applicable Operative Documents.</w:t>
      </w:r>
    </w:p>
    <w:p>
      <w:pPr>
        <w:spacing w:after="0" w:line="166" w:lineRule="exact"/>
        <w:rPr>
          <w:sz w:val="20"/>
          <w:szCs w:val="20"/>
          <w:color w:val="auto"/>
        </w:rPr>
      </w:pPr>
    </w:p>
    <w:p>
      <w:pPr>
        <w:jc w:val="both"/>
        <w:ind w:left="860" w:firstLine="648"/>
        <w:spacing w:after="0" w:line="279" w:lineRule="auto"/>
        <w:rPr>
          <w:sz w:val="20"/>
          <w:szCs w:val="20"/>
          <w:color w:val="auto"/>
        </w:rPr>
      </w:pPr>
      <w:r>
        <w:rPr>
          <w:rFonts w:ascii="Arial" w:cs="Arial" w:eastAsia="Arial" w:hAnsi="Arial"/>
          <w:sz w:val="17"/>
          <w:szCs w:val="17"/>
          <w:color w:val="auto"/>
        </w:rPr>
        <w:t>Nevertheless, each of the parties hereto acknowledges and agrees that none of Lessee, Lessor, the Administrative Agent, any Participant or the Arranger have made any representations or warranties concerning the tax, accounting or legal characteristics of the Operative Documents or any aspect of the Overall Transaction and that such party has obtained and relied upon such tax, accounting and legal advice concerning the Operative Documents and the Overall Transaction as such party deems appropriate.</w:t>
      </w:r>
    </w:p>
    <w:p>
      <w:pPr>
        <w:spacing w:after="0" w:line="171" w:lineRule="exact"/>
        <w:rPr>
          <w:sz w:val="20"/>
          <w:szCs w:val="20"/>
          <w:color w:val="auto"/>
        </w:rPr>
      </w:pPr>
    </w:p>
    <w:p>
      <w:pPr>
        <w:ind w:left="220" w:right="20" w:firstLine="645"/>
        <w:spacing w:after="0" w:line="277" w:lineRule="auto"/>
        <w:tabs>
          <w:tab w:leader="none" w:pos="114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Specifically, but without limiting the generality of subsection (b) of this Section 24.1 or Section 16.4, Lessor and the Lessee further intend and agree that for the purpose of securing the Lessee’s obligations for the repayment or performance of the</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152400</wp:posOffset>
            </wp:positionV>
            <wp:extent cx="724662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80"/>
          </w:cols>
          <w:pgMar w:left="680" w:top="409" w:right="239" w:bottom="1440" w:gutter="0" w:footer="0" w:header="0"/>
        </w:sectPr>
      </w:pPr>
    </w:p>
    <w:bookmarkStart w:id="252" w:name="page253"/>
    <w:bookmarkEnd w:id="252"/>
    <w:p>
      <w:pPr>
        <w:jc w:val="both"/>
        <w:ind w:left="660"/>
        <w:spacing w:after="0" w:line="286" w:lineRule="auto"/>
        <w:rPr>
          <w:sz w:val="20"/>
          <w:szCs w:val="20"/>
          <w:color w:val="auto"/>
        </w:rPr>
      </w:pPr>
      <w:r>
        <w:rPr>
          <w:rFonts w:ascii="Arial" w:cs="Arial" w:eastAsia="Arial" w:hAnsi="Arial"/>
          <w:sz w:val="16"/>
          <w:szCs w:val="16"/>
          <w:color w:val="auto"/>
        </w:rPr>
        <w:t>Obligations, (i) this Lease shall also be deemed to be a security agreement and financing statement within the meaning of Article 9 of the UCC; (ii) the conveyance provided for hereby shall be deemed to be a grant by the Lessee to Lessor, for the benefit of the Participants, of a Lien on and security interest in all of the Lessee’s present and future right, title and interest in and to the Site, the Leased Property and the other Collateral, including but not limited to the Lessee’s leasehold estate therein and all proceeds of the conversion, voluntary or involuntary, of the foregoing into cash, investments, securities or other property, whether in the form of cash, investments, securities or other property to secure such loans, effective on the date hereof, to have and to hold such interests in the Site, the Leased Property and the other Collateral unto Lessor, for the benefit of the Participants; (iii) the possession by Lessor of notes and such other items of property as constitute instruments, money, negotiable documents or chattel paper shall be deemed to be “possession by the secured party” for purposes of perfecting the security interest pursuant to Section 9-313 of the UCC; and (iv) notifications to Persons holding such property, and acknowledgments, receipts or confirmations from financial intermediaries, bankers or agents (as applicable) of the Lessee shall be deemed to have been given for the purpose of perfecting such security interest under Applicable Laws. Lessor and the Lessee shall, to the extent consistent with this Lease, take such actions and execute, deliver, file and record such other documents, financing statements, mortgages and deeds of trust as may be necessary to ensure that, if this Lease were deemed to create a security interest in the Site, the Leased Property and the other Collateral in accordance with this Section, such security interest would be deemed to be a perfected security interest in the Site, the Leased Property and the other Collateral with priority over all Liens, other than Permitted Liens, under Applicable Laws and will be maintained as such throughout the Term.</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Section 24.2. Lessee Grant of Liens and Security Interests. </w:t>
      </w:r>
      <w:r>
        <w:rPr>
          <w:rFonts w:ascii="Arial" w:cs="Arial" w:eastAsia="Arial" w:hAnsi="Arial"/>
          <w:sz w:val="16"/>
          <w:szCs w:val="16"/>
          <w:color w:val="auto"/>
        </w:rPr>
        <w:t>(a) For the purposes of the creation and enforcement of this Lease as a mortgage and security</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agreement, the Lessee hereby </w:t>
      </w:r>
      <w:r>
        <w:rPr>
          <w:rFonts w:ascii="Arial" w:cs="Arial" w:eastAsia="Arial" w:hAnsi="Arial"/>
          <w:sz w:val="12"/>
          <w:szCs w:val="12"/>
          <w:color w:val="auto"/>
        </w:rPr>
        <w:t>GRANTS</w:t>
      </w:r>
      <w:r>
        <w:rPr>
          <w:rFonts w:ascii="Arial" w:cs="Arial" w:eastAsia="Arial" w:hAnsi="Arial"/>
          <w:sz w:val="18"/>
          <w:szCs w:val="18"/>
          <w:color w:val="auto"/>
        </w:rPr>
        <w:t xml:space="preserve">, </w:t>
      </w:r>
      <w:r>
        <w:rPr>
          <w:rFonts w:ascii="Arial" w:cs="Arial" w:eastAsia="Arial" w:hAnsi="Arial"/>
          <w:sz w:val="12"/>
          <w:szCs w:val="12"/>
          <w:color w:val="auto"/>
        </w:rPr>
        <w:t>BARGAINS</w:t>
      </w:r>
      <w:r>
        <w:rPr>
          <w:rFonts w:ascii="Arial" w:cs="Arial" w:eastAsia="Arial" w:hAnsi="Arial"/>
          <w:sz w:val="18"/>
          <w:szCs w:val="18"/>
          <w:color w:val="auto"/>
        </w:rPr>
        <w:t xml:space="preserve">, </w:t>
      </w:r>
      <w:r>
        <w:rPr>
          <w:rFonts w:ascii="Arial" w:cs="Arial" w:eastAsia="Arial" w:hAnsi="Arial"/>
          <w:sz w:val="12"/>
          <w:szCs w:val="12"/>
          <w:color w:val="auto"/>
        </w:rPr>
        <w:t>SELLS</w:t>
      </w:r>
      <w:r>
        <w:rPr>
          <w:rFonts w:ascii="Arial" w:cs="Arial" w:eastAsia="Arial" w:hAnsi="Arial"/>
          <w:sz w:val="18"/>
          <w:szCs w:val="18"/>
          <w:color w:val="auto"/>
        </w:rPr>
        <w:t xml:space="preserve">, </w:t>
      </w:r>
      <w:r>
        <w:rPr>
          <w:rFonts w:ascii="Arial" w:cs="Arial" w:eastAsia="Arial" w:hAnsi="Arial"/>
          <w:sz w:val="12"/>
          <w:szCs w:val="12"/>
          <w:color w:val="auto"/>
        </w:rPr>
        <w:t>WARRANTS</w:t>
      </w:r>
      <w:r>
        <w:rPr>
          <w:rFonts w:ascii="Arial" w:cs="Arial" w:eastAsia="Arial" w:hAnsi="Arial"/>
          <w:sz w:val="18"/>
          <w:szCs w:val="18"/>
          <w:color w:val="auto"/>
        </w:rPr>
        <w:t xml:space="preserve">, </w:t>
      </w:r>
      <w:r>
        <w:rPr>
          <w:rFonts w:ascii="Arial" w:cs="Arial" w:eastAsia="Arial" w:hAnsi="Arial"/>
          <w:sz w:val="12"/>
          <w:szCs w:val="12"/>
          <w:color w:val="auto"/>
        </w:rPr>
        <w:t>CONVEYS</w:t>
      </w:r>
      <w:r>
        <w:rPr>
          <w:rFonts w:ascii="Arial" w:cs="Arial" w:eastAsia="Arial" w:hAnsi="Arial"/>
          <w:sz w:val="18"/>
          <w:szCs w:val="18"/>
          <w:color w:val="auto"/>
        </w:rPr>
        <w:t xml:space="preserve">, </w:t>
      </w:r>
      <w:r>
        <w:rPr>
          <w:rFonts w:ascii="Arial" w:cs="Arial" w:eastAsia="Arial" w:hAnsi="Arial"/>
          <w:sz w:val="12"/>
          <w:szCs w:val="12"/>
          <w:color w:val="auto"/>
        </w:rPr>
        <w:t>ALIENS</w:t>
      </w:r>
      <w:r>
        <w:rPr>
          <w:rFonts w:ascii="Arial" w:cs="Arial" w:eastAsia="Arial" w:hAnsi="Arial"/>
          <w:sz w:val="18"/>
          <w:szCs w:val="18"/>
          <w:color w:val="auto"/>
        </w:rPr>
        <w:t xml:space="preserve">, </w:t>
      </w:r>
      <w:r>
        <w:rPr>
          <w:rFonts w:ascii="Arial" w:cs="Arial" w:eastAsia="Arial" w:hAnsi="Arial"/>
          <w:sz w:val="12"/>
          <w:szCs w:val="12"/>
          <w:color w:val="auto"/>
        </w:rPr>
        <w:t>REMISES</w:t>
      </w:r>
      <w:r>
        <w:rPr>
          <w:rFonts w:ascii="Arial" w:cs="Arial" w:eastAsia="Arial" w:hAnsi="Arial"/>
          <w:sz w:val="18"/>
          <w:szCs w:val="18"/>
          <w:color w:val="auto"/>
        </w:rPr>
        <w:t xml:space="preserve">, </w:t>
      </w:r>
      <w:r>
        <w:rPr>
          <w:rFonts w:ascii="Arial" w:cs="Arial" w:eastAsia="Arial" w:hAnsi="Arial"/>
          <w:sz w:val="12"/>
          <w:szCs w:val="12"/>
          <w:color w:val="auto"/>
        </w:rPr>
        <w:t>RELEASES</w:t>
      </w:r>
      <w:r>
        <w:rPr>
          <w:rFonts w:ascii="Arial" w:cs="Arial" w:eastAsia="Arial" w:hAnsi="Arial"/>
          <w:sz w:val="18"/>
          <w:szCs w:val="18"/>
          <w:color w:val="auto"/>
        </w:rPr>
        <w:t xml:space="preserve">, </w:t>
      </w:r>
      <w:r>
        <w:rPr>
          <w:rFonts w:ascii="Arial" w:cs="Arial" w:eastAsia="Arial" w:hAnsi="Arial"/>
          <w:sz w:val="12"/>
          <w:szCs w:val="12"/>
          <w:color w:val="auto"/>
        </w:rPr>
        <w:t>ASSIGNS</w:t>
      </w:r>
      <w:r>
        <w:rPr>
          <w:rFonts w:ascii="Arial" w:cs="Arial" w:eastAsia="Arial" w:hAnsi="Arial"/>
          <w:sz w:val="18"/>
          <w:szCs w:val="18"/>
          <w:color w:val="auto"/>
        </w:rPr>
        <w:t xml:space="preserve">, </w:t>
      </w:r>
      <w:r>
        <w:rPr>
          <w:rFonts w:ascii="Arial" w:cs="Arial" w:eastAsia="Arial" w:hAnsi="Arial"/>
          <w:sz w:val="12"/>
          <w:szCs w:val="12"/>
          <w:color w:val="auto"/>
        </w:rPr>
        <w:t>SETS OVER AND CONFIRMS</w:t>
      </w:r>
      <w:r>
        <w:rPr>
          <w:rFonts w:ascii="Arial" w:cs="Arial" w:eastAsia="Arial" w:hAnsi="Arial"/>
          <w:sz w:val="18"/>
          <w:szCs w:val="18"/>
          <w:color w:val="auto"/>
        </w:rPr>
        <w:t xml:space="preserve"> a security interest in the Site, the Leased Property and the other Collateral (consisting of a mortgage with respect to the Site and the Leased Property) all </w:t>
      </w:r>
      <w:r>
        <w:rPr>
          <w:rFonts w:ascii="Arial" w:cs="Arial" w:eastAsia="Arial" w:hAnsi="Arial"/>
          <w:sz w:val="12"/>
          <w:szCs w:val="12"/>
          <w:color w:val="auto"/>
        </w:rPr>
        <w:t>WITH POWER OF SALE</w:t>
      </w:r>
      <w:r>
        <w:rPr>
          <w:rFonts w:ascii="Arial" w:cs="Arial" w:eastAsia="Arial" w:hAnsi="Arial"/>
          <w:sz w:val="18"/>
          <w:szCs w:val="18"/>
          <w:color w:val="auto"/>
        </w:rPr>
        <w:t xml:space="preserve"> to the Lessor and its successors and assigns to secure all loans and advances made by the Participants pursuant to the Operative Documents and the other Obligations.</w:t>
      </w:r>
    </w:p>
    <w:p>
      <w:pPr>
        <w:spacing w:after="0" w:line="190" w:lineRule="exact"/>
        <w:rPr>
          <w:sz w:val="20"/>
          <w:szCs w:val="20"/>
          <w:color w:val="auto"/>
        </w:rPr>
      </w:pPr>
    </w:p>
    <w:p>
      <w:pPr>
        <w:jc w:val="both"/>
        <w:ind w:firstLine="656"/>
        <w:spacing w:after="0" w:line="271" w:lineRule="auto"/>
        <w:tabs>
          <w:tab w:leader="none" w:pos="90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Specifically, but without limiting the foregoing or the generality of Section 24.1, Lessee hereby grants, bargains, sells, warrants, conveys, aliens, remises, releases, assigns, sets over and confirms to the Lessor and its successors and assigns, all of Lessee’s right, title, and interest in and to the following (collectively, the “</w:t>
      </w:r>
      <w:r>
        <w:rPr>
          <w:rFonts w:ascii="Arial" w:cs="Arial" w:eastAsia="Arial" w:hAnsi="Arial"/>
          <w:sz w:val="17"/>
          <w:szCs w:val="17"/>
          <w:i w:val="1"/>
          <w:iCs w:val="1"/>
          <w:color w:val="auto"/>
        </w:rPr>
        <w:t>Security Property</w:t>
      </w:r>
      <w:r>
        <w:rPr>
          <w:rFonts w:ascii="Arial" w:cs="Arial" w:eastAsia="Arial" w:hAnsi="Arial"/>
          <w:sz w:val="17"/>
          <w:szCs w:val="17"/>
          <w:color w:val="auto"/>
        </w:rPr>
        <w:t>”): (i) the Site, the Leased Property and Appurtenant Rights relating thereto and all proceeds, both cash and noncash thereof; (ii) all easements, rights-of-way, strips and gores of Site, vaults, streets, ways, alleys, passages, sewer rights, waters, water courses, water rights, minerals, flowers, shrubs, crops, trees, timber and other emblements now or hereafter located on the Site or under or above the same or any part or parcel thereof, and all estates, rights, titles, interests, tenements, hereditaments and appurtenances, reversions and remainders whatsoever, in any way belonging, relating or appertaining to the Leased Property or any part thereof, or which hereafter shall in any way belong, relate or be appurtenant thereto, whether now owned or hereafter acquired by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53" w:name="page254"/>
    <w:bookmarkEnd w:id="253"/>
    <w:p>
      <w:pPr>
        <w:jc w:val="both"/>
        <w:spacing w:after="0" w:line="284" w:lineRule="auto"/>
        <w:rPr>
          <w:sz w:val="20"/>
          <w:szCs w:val="20"/>
          <w:color w:val="auto"/>
        </w:rPr>
      </w:pPr>
      <w:r>
        <w:rPr>
          <w:rFonts w:ascii="Arial" w:cs="Arial" w:eastAsia="Arial" w:hAnsi="Arial"/>
          <w:sz w:val="16"/>
          <w:szCs w:val="16"/>
          <w:color w:val="auto"/>
        </w:rPr>
        <w:t>Lessee; (iii) all right, title and interest of Lessee in all Goods which are or are to become fixtures (as such term is defined in the UCC (as defined below)) located on the real property described in Exhibit A hereto or now, heretofore or hereafter acquired with any proceeds of the Obligations and now, heretofore or hereafter (A) arising out of or related to the ownership of the Leased Property, (B) located in, on or about the Leased Property, or (C) used or intended to be used with or in connection with the use, operation or enjoyment of the Leased Property; (iv) all right, title and interest of Lessee in any and all leases, rental agreements and arrangements of any sort now or hereafter affecting the Leased Property or any portion thereof and providing for or resulting in the payment of money to Lessee for the use of the Leased Property or any portion thereof, whether the user enjoys the Leased Property or any portion thereof as tenant for years, licensee, tenant at sufferance or otherwise, and irrespective of whether such leases, rental agreements and arrangements be oral or written, and including any and all extensions, renewals and modifications thereof (the “</w:t>
      </w:r>
      <w:r>
        <w:rPr>
          <w:rFonts w:ascii="Arial" w:cs="Arial" w:eastAsia="Arial" w:hAnsi="Arial"/>
          <w:sz w:val="16"/>
          <w:szCs w:val="16"/>
          <w:i w:val="1"/>
          <w:iCs w:val="1"/>
          <w:color w:val="auto"/>
        </w:rPr>
        <w:t>Subject Leases</w:t>
      </w:r>
      <w:r>
        <w:rPr>
          <w:rFonts w:ascii="Arial" w:cs="Arial" w:eastAsia="Arial" w:hAnsi="Arial"/>
          <w:sz w:val="16"/>
          <w:szCs w:val="16"/>
          <w:color w:val="auto"/>
        </w:rPr>
        <w:t xml:space="preserve">”) and guaranties of the performance or obligations of any tenants or lessees thereunder, together with all income, rents, issues, profits and revenues from the Subject Leases (including all tenant security deposits and all other tenant deposits, whether held by Lessee or in a trust account, and all other deposits and escrow funds relating to any Subject Leases), and all the estate, right, title, interest, property, possession, claim and demand whatsoever at law, as well as in equity, of Lessee of, in and to the same;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although this Lease contains (and it is hereby agreed that this Lease contains) a present, current, unconditional and absolute assignment of all of said income, rents, issues, profits and revenues, Lessee shall collect and enjoy such rental payments and revenues as except as expressly provided otherwise in this Lease and the other Operative Documents; (v) all right, title and interest of Lessee in, to and under all franchise agreements, management contracts, consents, authorizations, certificates and other rights of every kind and character of any Governmental Authority affecting the Leased Property, to the extent the same are transferable, service contracts, utility contracts, leases of equipment, documents and agreements relating to the construction of any Modifications (including any and all construction contracts, architectural contracts, engineering contracts, designs, plans, specifications, drawings, surveys, tests, reports, bonds and governmental approvals) and all other contracts, licenses and permits now or hereafter affecting the Leased Property or any part thereof and all guaranties and warranties with respect to any of the foregoing (the “</w:t>
      </w:r>
      <w:r>
        <w:rPr>
          <w:rFonts w:ascii="Arial" w:cs="Arial" w:eastAsia="Arial" w:hAnsi="Arial"/>
          <w:sz w:val="16"/>
          <w:szCs w:val="16"/>
          <w:i w:val="1"/>
          <w:iCs w:val="1"/>
          <w:color w:val="auto"/>
        </w:rPr>
        <w:t>Subject Contracts</w:t>
      </w:r>
      <w:r>
        <w:rPr>
          <w:rFonts w:ascii="Arial" w:cs="Arial" w:eastAsia="Arial" w:hAnsi="Arial"/>
          <w:sz w:val="16"/>
          <w:szCs w:val="16"/>
          <w:color w:val="auto"/>
        </w:rPr>
        <w:t>”); (vi) all of the right, power and authority of Lessee to alter, modify or change the terms, conditions and provisions of any Subject Lease or Subject Contract, to consent to any request made by a party pursuant thereto, or to surrender, cancel or terminate the same or to accept any surrender, cancellation or termination of the same, together with all of the options, rights, powers and privileges of Lessee under any Subject Lease or Subject Contract, whether heretofore or hereafter existing; (vii) all present and future right, title and interest of Lessee in and to (1) all refunds, tax abatement agreements, rebates, reserves, deferred payments, deposits, cost savings, awards and payments of any kind due from or payable by (a) any Governmental Authority, or (b) any insurance or utility company, in each case under clause (a) or (b) above in respect of the Site and the other Leased Property and, in the case of any insurance policy of the Lessee, to the extent such insurance policy is required to be maintained under the Operative Documents, and (2) all refunds, rebates and payments of any kind due from or payable by any Governmental Authority for any taxes, assessments, or governmental or quasi-governmental charges or levies imposed upon Lessee in respect of the Site and other Leased Property; (viii) all right, title and interest of Lessee in any insurance policies or binders now or hereafter relating to the Leased Property and required to be maintained under the Operative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54" w:name="page255"/>
    <w:bookmarkEnd w:id="254"/>
    <w:p>
      <w:pPr>
        <w:jc w:val="both"/>
        <w:spacing w:after="0" w:line="270" w:lineRule="auto"/>
        <w:rPr>
          <w:sz w:val="20"/>
          <w:szCs w:val="20"/>
          <w:color w:val="auto"/>
        </w:rPr>
      </w:pPr>
      <w:r>
        <w:rPr>
          <w:rFonts w:ascii="Arial" w:cs="Arial" w:eastAsia="Arial" w:hAnsi="Arial"/>
          <w:sz w:val="17"/>
          <w:szCs w:val="17"/>
          <w:color w:val="auto"/>
        </w:rPr>
        <w:t>Documents, including any unearned premiums thereon, as further provided in this Lease; (ix) all right, title and interest of Lessee in any and all awards, payments, proceeds and the right to receive the same, either before or after any foreclosure hereunder, as a result of any temporary or permanent injury or damage to, taking of or decrease in the value of the Leased Property by reason of casualty, any exercise of the right of eminent domain or deed in lieu thereof, condemnation or otherwise as further provided in this Lease; (x) all right, title and interest of Lessee in all utility, escrow and all other deposits (and all letters of credit, certificates of deposit, negotiable instruments and other rights and evidence of rights to cash) now or hereafter relating to the Leased Property or the purchase, construction or operation thereof; (xi) all claims and causes of action arising from or otherwise related to any of the foregoing, and all rights and judgments related to any legal actions in connection with such claims or causes of action; (xii) all of right, title and interest of Lessee in and to the other Collateral; and (xiii) all Modifications, extensions, additions, improvements, betterments, renewals and replacements, substitutions, or proceeds of any of the foregoing, all of which foregoing items are hereby declared and shall be deemed to be a portion of the security for the indebtedness and Obligations herein described, a portion of the above described collateral being located upon the Site.</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Notwithstanding anything to the contrary in this Article XXIV, (a) unless (i) an Event of Default (other than as set forth in Section 16.1(h) or (i) with respect to the Lessee or the Parent Guarantor) has occurred and is continuing and Lessee receives written notice from Lessor or the Administrative Agent directing Lessee to pay to the Administrative Agent any rents, payments, issues, revenues, profits or other income (including any rents or other amounts payable under any other sublease and all deposits of money as advanced rent or for security) received by Lessee relating to the Leased Property or (ii) an Event of Default set forth in Section 16.1(h) or (i) has occurred with respect to the Lessee or the Parent Guarantor, Lessee shall have the right to retain, use and enjoy such rents, payments, issues, revenues, profits and other income and (b) Security Property shall not include any Excluded Property (other than goods owned by the Lessee that are or are to become fixtures located on the real property described in Exhibit A).</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Without limiting the generality of the foregoing, Lessor and the Lessee shall take such actions and execute, deliver, file and record such other documents and financing statements as may be necessary to ensure that, if this Lease was deemed to create a security interest in the Leased Property in accordance with this Section, such security interest would be deemed to be a perfected first priority security interest (subject only to Permitted Liens) and will be maintained as such throughout the Term. Lessee hereby authorizes Lessor and the Administrative Agent to file any and all financing statements covering the Security Property or any part thereof that Lessor or the Required Participants may require. Certain of the personal property covered by this Lease is or will become fixtures on the real property which is a part of the Security Property, and this Lease (or a memorandum thereof) upon being filed for record in the real estate records of the county wherein such fixtures are situated shall operate also as a financing statement filed as a fixture filing in accordance with the applicable provisions of the UCC upon such of the property which are or may become fixtures. The mailing address of Lessee (as debtor) and the address of Lessor (as secured party) from which information may be obtained are set forth in the introductory paragraph of this Lease. The Lessee has an interest of record in such real property.</w:t>
      </w:r>
    </w:p>
    <w:p>
      <w:pPr>
        <w:spacing w:after="0" w:line="178" w:lineRule="exact"/>
        <w:rPr>
          <w:sz w:val="20"/>
          <w:szCs w:val="20"/>
          <w:color w:val="auto"/>
        </w:rPr>
      </w:pPr>
    </w:p>
    <w:p>
      <w:pPr>
        <w:ind w:left="5620" w:right="4740" w:hanging="4964"/>
        <w:spacing w:after="0" w:line="496" w:lineRule="auto"/>
        <w:tabs>
          <w:tab w:leader="none" w:pos="897"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 xml:space="preserve">Power of Sale. </w:t>
      </w:r>
      <w:r>
        <w:rPr>
          <w:rFonts w:ascii="Arial" w:cs="Arial" w:eastAsia="Arial" w:hAnsi="Arial"/>
          <w:sz w:val="18"/>
          <w:szCs w:val="18"/>
          <w:color w:val="auto"/>
        </w:rPr>
        <w:t>Without limiting any other remedies set forth herein, in the event</w:t>
      </w:r>
      <w:r>
        <w:rPr>
          <w:rFonts w:ascii="Arial" w:cs="Arial" w:eastAsia="Arial" w:hAnsi="Arial"/>
          <w:sz w:val="18"/>
          <w:szCs w:val="18"/>
          <w:i w:val="1"/>
          <w:iCs w:val="1"/>
          <w:color w:val="auto"/>
        </w:rPr>
        <w:t xml:space="preserve"> </w:t>
      </w: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55" w:name="page256"/>
    <w:bookmarkEnd w:id="255"/>
    <w:p>
      <w:pPr>
        <w:jc w:val="both"/>
        <w:spacing w:after="0" w:line="285" w:lineRule="auto"/>
        <w:rPr>
          <w:sz w:val="20"/>
          <w:szCs w:val="20"/>
          <w:color w:val="auto"/>
        </w:rPr>
      </w:pPr>
      <w:r>
        <w:rPr>
          <w:rFonts w:ascii="Arial" w:cs="Arial" w:eastAsia="Arial" w:hAnsi="Arial"/>
          <w:sz w:val="16"/>
          <w:szCs w:val="16"/>
          <w:color w:val="auto"/>
        </w:rPr>
        <w:t xml:space="preserve">that a court of competent jurisdiction rules that this Lease constitutes a mortgage, deed of trust or other secured financing with respect to the Leased Property as is the intent of the parties pursuant to Section 24 hereof, then Lessor and the Lessee agree that (i) the Lessee hereby grants to the Lessor and its successor and assigns a Lien against the Leased Property (including the estate therein) </w:t>
      </w:r>
      <w:r>
        <w:rPr>
          <w:rFonts w:ascii="Arial" w:cs="Arial" w:eastAsia="Arial" w:hAnsi="Arial"/>
          <w:sz w:val="11"/>
          <w:szCs w:val="11"/>
          <w:color w:val="auto"/>
        </w:rPr>
        <w:t>WITH</w:t>
      </w:r>
      <w:r>
        <w:rPr>
          <w:rFonts w:ascii="Arial" w:cs="Arial" w:eastAsia="Arial" w:hAnsi="Arial"/>
          <w:sz w:val="16"/>
          <w:szCs w:val="16"/>
          <w:color w:val="auto"/>
        </w:rPr>
        <w:t xml:space="preserve"> P</w:t>
      </w:r>
      <w:r>
        <w:rPr>
          <w:rFonts w:ascii="Arial" w:cs="Arial" w:eastAsia="Arial" w:hAnsi="Arial"/>
          <w:sz w:val="11"/>
          <w:szCs w:val="11"/>
          <w:color w:val="auto"/>
        </w:rPr>
        <w:t>OWER OF</w:t>
      </w:r>
      <w:r>
        <w:rPr>
          <w:rFonts w:ascii="Arial" w:cs="Arial" w:eastAsia="Arial" w:hAnsi="Arial"/>
          <w:sz w:val="16"/>
          <w:szCs w:val="16"/>
          <w:color w:val="auto"/>
        </w:rPr>
        <w:t xml:space="preserve"> S</w:t>
      </w:r>
      <w:r>
        <w:rPr>
          <w:rFonts w:ascii="Arial" w:cs="Arial" w:eastAsia="Arial" w:hAnsi="Arial"/>
          <w:sz w:val="11"/>
          <w:szCs w:val="11"/>
          <w:color w:val="auto"/>
        </w:rPr>
        <w:t>ALE</w:t>
      </w:r>
      <w:r>
        <w:rPr>
          <w:rFonts w:ascii="Arial" w:cs="Arial" w:eastAsia="Arial" w:hAnsi="Arial"/>
          <w:sz w:val="16"/>
          <w:szCs w:val="16"/>
          <w:color w:val="auto"/>
        </w:rPr>
        <w:t xml:space="preserve"> to the extent permitted by law, and that, upon the occurrence and during the continuance of any Event of Default, Lessor may, and is hereby irrevocably empowered to, with or without entry, and to the extent permitted by Applicable Law, sell or cause the sale of the Leased Property or the other Collateral or any part or parts thereof at one or more public auctions as an entirety or in parcels as the Lessor may elect free from any equity of redemption for cash, on credit, or for other property, for immediate or future delivery, and on such terms as the Lessor shall deem advantageous and proper, such sale or sales to be made in such manner and upon such notice and advertisement as may be required by Applicable Law, or in the absence of any such requirements, as the Lessor may deem appropriate, and to make conveyance to the purchase or purchasers. Lessor may, if at the time such action may be lawful and always subject to compliance with any mandatory legal requirements, by filing its notice of election and demand for sale to enforce its mortgage and to sell the Security Property, as an entirety or in parcels, by one sale or by several sales, held at one time or at different times, all as the Lessor may elect, each sale to be held at the location set forth in the notice of such proposed sale and the Lessor shall have given notices of the proposed sale in the manner hereinafter set forth, and to make due conveyance to the purchaser or purchasers, with special warranty of title or no warranty of title to such purchaser or purchasers binding upon the Lessee and its heirs, executors, administrators, and successors. Such sale must begin at the time stated in the notice referred to below in this Section or as otherwise permitted by Applicable Law. The Lessee, for itself, its heirs and assigns, and for anyone who may claim by, through or under the Lessee, hereby expressly and specifically waives all rights to a marshaling of the assets of the Lessee, including the Security Property, or to a sale in inverse order of alienation. Lessor may bid and become the purchaser of all or any part of the Leased Property at any such sale, and the amount of Lessor’s successful bid may be credited against the Obligations.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Lessor (or a person or persons selected by the Lessor) shall promptly comply with all notice and other requirements of the laws of New York then in force with respect to such sales, and shall give any required public notice of the time and place of such sale by advertisement weekly in some newspaper of general circulation then published in the County or City and County in which the Security Property is located. No notice of such sale or sales other than the notices hereinabove provided shall be required to be given to the Lessee (or anyone who may claim by, through or under the Lessee) or any other persons and any other notice (including, without limitation, any notice of acceleration of, or intent to accelerate, the unpaid balance of any Obligation) is expressly waived.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provisions of this Section with respect to posting, serving, filing, and giving notices of sale are intended to comply with all Applicable Laws. In the event the requirement for any notice, or the posting, serving, filing, or giving thereof, under any Applicable Law shall be eliminated or the prescribed manner of posting, serving, filing, or giving same is modified by future amendment to such Applicable Law, the requirement for such particular notice shall be stricken from, or the manner of posting, serving, filing, or giving any notice hereunder modified in, this Mortgage in conformity with such amendment. The manner herein prescribed for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56" w:name="page257"/>
    <w:bookmarkEnd w:id="256"/>
    <w:p>
      <w:pPr>
        <w:jc w:val="both"/>
        <w:spacing w:after="0" w:line="270" w:lineRule="auto"/>
        <w:rPr>
          <w:sz w:val="20"/>
          <w:szCs w:val="20"/>
          <w:color w:val="auto"/>
        </w:rPr>
      </w:pPr>
      <w:r>
        <w:rPr>
          <w:rFonts w:ascii="Arial" w:cs="Arial" w:eastAsia="Arial" w:hAnsi="Arial"/>
          <w:sz w:val="17"/>
          <w:szCs w:val="17"/>
          <w:color w:val="auto"/>
        </w:rPr>
        <w:t xml:space="preserve">posting, serving, filing, or giving any notice, other than that to be posted and filed or caused to be posted or filed by the Lessor, shall not be deemed exclusive but such notice or notices may be posted, served, filed, or given in any other manner which may be permitted by Applicable Law. Further, in relation to this Mortgage and the exercise of any power of sale by the Lessor hereunder, if any Applicable Law shall be amended or modified to require any other notice or the posting, filing, serving, or giving thereof or any statute hereafter enacted shall require any other notice or the posting, filing, serving, or giving thereof, the Lessor or the person selected by him is hereby authorized and empowered by the Lessee to give such notice or make such posting, filing, serving, or giving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the Lessee waives such other notice or the posting, filing, serving, or giving thereof to the full extent the Lessee may lawfully so do. Any provisions of this paragraph, or any amendments to or modifications to any Applicable Law to the contrary notwithstanding, the time periods provided for in the immediately preceding paragraph in respect of which the notices provided for in said paragraph are to be given shall not be shortened or eliminated as a result of any such amendment or modification.</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to any other remedies granted to Lessor (including specifically, but not limited to, the right to proceed against all the Security Property in accordance with the rights and remedies in respect to those portions of the Collateral which are real property pursuant to Section 9-501(b) of the UCC), upon the occurrence of an Event of Default Lessor may (i) proceed by a suit or suits in equity or at law, whether for a foreclosure hereunder, or for the sale of the Leased Property, or against Lessee on a recourse basis for the Lease Balance, or for the specific performance of any covenant or agreement contained in this Lease or in aid of the execution of any power herein granted, or for the appointment of a receiver pending any foreclosure hereunder or the sale of the Leased Property, or for the enforcement of any other appropriate legal or equitable remedy and (ii) proceed under the UCC as to all or any part of the personal property (tangible or intangible) and fixtures included with the Security Property (such portion of the Security Property being referred to herein as the “</w:t>
      </w:r>
      <w:r>
        <w:rPr>
          <w:rFonts w:ascii="Arial" w:cs="Arial" w:eastAsia="Arial" w:hAnsi="Arial"/>
          <w:sz w:val="17"/>
          <w:szCs w:val="17"/>
          <w:i w:val="1"/>
          <w:iCs w:val="1"/>
          <w:color w:val="auto"/>
        </w:rPr>
        <w:t>Personalty</w:t>
      </w:r>
      <w:r>
        <w:rPr>
          <w:rFonts w:ascii="Arial" w:cs="Arial" w:eastAsia="Arial" w:hAnsi="Arial"/>
          <w:sz w:val="17"/>
          <w:szCs w:val="17"/>
          <w:color w:val="auto"/>
        </w:rPr>
        <w:t>”) and shall have and may exercise with respect to the Personalty all the rights, remedies, and powers of a secured party under the UCC, including, without limitation, the right and power to sell, at one or more public or private sales, or otherwise dispose of, lease, or utilize the Personalty and any part or parts thereof in any manner authorized or permitted under the UCC after default by a debtor, and to apply the proceeds thereof toward payment of any costs and expenses and attorney’s fees and legal expenses thereby incurred by Lessor, and toward payment of the Obligations hereby secured in such order or manner as provided herein.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24.3. State Specific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3" w:lineRule="auto"/>
        <w:tabs>
          <w:tab w:leader="none" w:pos="93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This Mortgage is given to secure, among other things, and shall secure not only presently existing indebtedness under the Participation Agreement and this Lease. The lien of this Mortgage shall be valid as to all indebtedness hereby secured, including future advances, from the time of its filing for record in the office of the clerk of the superior court of the county in which the Leased Property is located. This Mortgage shall remain in full force and effect as to any further advances under the Participation Agreement and the other Operative Documents made after any such zero balance until the indebtedness secured by this Mortgage is paid in full and satisfied, all agreements of Lessor to make further advances have been terminated and this Mortgage has been cancelled of record. This Mortgage shall be valid and have priority over all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57" w:name="page258"/>
    <w:bookmarkEnd w:id="257"/>
    <w:p>
      <w:pPr>
        <w:ind w:right="20"/>
        <w:spacing w:after="0" w:line="277" w:lineRule="auto"/>
        <w:rPr>
          <w:sz w:val="20"/>
          <w:szCs w:val="20"/>
          <w:color w:val="auto"/>
        </w:rPr>
      </w:pPr>
      <w:r>
        <w:rPr>
          <w:rFonts w:ascii="Arial" w:cs="Arial" w:eastAsia="Arial" w:hAnsi="Arial"/>
          <w:sz w:val="18"/>
          <w:szCs w:val="18"/>
          <w:color w:val="auto"/>
        </w:rPr>
        <w:t>subsequent liens and encumbrances, including statutory liens, excepting solely taxes and assessments levied on the Leased Property, to the extent of the maximum amount secured hereby.</w:t>
      </w:r>
    </w:p>
    <w:p>
      <w:pPr>
        <w:spacing w:after="0" w:line="170" w:lineRule="exact"/>
        <w:rPr>
          <w:sz w:val="20"/>
          <w:szCs w:val="20"/>
          <w:color w:val="auto"/>
        </w:rPr>
      </w:pPr>
    </w:p>
    <w:p>
      <w:pPr>
        <w:ind w:firstLine="656"/>
        <w:spacing w:after="0" w:line="277" w:lineRule="auto"/>
        <w:tabs>
          <w:tab w:leader="none" w:pos="90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the event of any inconsistencies between the terms and conditions of this Section 24.3(b) and the other terms and conditions of this Mortgage, the terms and conditions of this Section 24.3(b) shall control and be binding.</w:t>
      </w:r>
    </w:p>
    <w:p>
      <w:pPr>
        <w:spacing w:after="0" w:line="170" w:lineRule="exact"/>
        <w:rPr>
          <w:rFonts w:ascii="Arial" w:cs="Arial" w:eastAsia="Arial" w:hAnsi="Arial"/>
          <w:sz w:val="18"/>
          <w:szCs w:val="18"/>
          <w:color w:val="auto"/>
        </w:rPr>
      </w:pPr>
    </w:p>
    <w:p>
      <w:pPr>
        <w:jc w:val="both"/>
        <w:ind w:left="660" w:firstLine="645"/>
        <w:spacing w:after="0" w:line="276" w:lineRule="auto"/>
        <w:tabs>
          <w:tab w:leader="none" w:pos="1591" w:val="left"/>
        </w:tabs>
        <w:numPr>
          <w:ilvl w:val="1"/>
          <w:numId w:val="206"/>
        </w:numPr>
        <w:rPr>
          <w:rFonts w:ascii="Arial" w:cs="Arial" w:eastAsia="Arial" w:hAnsi="Arial"/>
          <w:sz w:val="17"/>
          <w:szCs w:val="17"/>
          <w:color w:val="auto"/>
        </w:rPr>
      </w:pPr>
      <w:r>
        <w:rPr>
          <w:rFonts w:ascii="Arial" w:cs="Arial" w:eastAsia="Arial" w:hAnsi="Arial"/>
          <w:sz w:val="17"/>
          <w:szCs w:val="17"/>
          <w:i w:val="1"/>
          <w:iCs w:val="1"/>
          <w:color w:val="auto"/>
        </w:rPr>
        <w:t>MAXIMUM PRINCIPAL SUM</w:t>
      </w:r>
      <w:r>
        <w:rPr>
          <w:rFonts w:ascii="Arial" w:cs="Arial" w:eastAsia="Arial" w:hAnsi="Arial"/>
          <w:sz w:val="17"/>
          <w:szCs w:val="17"/>
          <w:color w:val="auto"/>
        </w:rPr>
        <w:t>. THE PARTIES HERETO INTEND THAT THIS MORTGAGE SHALL SECURE UNPAID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BALANCES OF THE INDEBTEDNESS SECURED HEREBY WHETHER INCURRED BY LESSOR AT THE DATE HEREOF OR AFTER THIS MORTGAGE IS DELIVERED FOR RECORDATION IN THE OFFICIAL RECORDS OF THE COUNTY IN WHICH THE LEASED PROPERTY IS LOCATED. THE MAXIMUM PRINCIPAL AMOUNT OF INDEBTEDNESS WHICH IS OR UNDER ANY CONTINGENCY MAY BE SECURED AT THE DATE OF EXECUTION HEREOF OR AT ANY TIME THEREAFTER BY THIS MORTGAGE IS $720,000,000.</w:t>
      </w:r>
    </w:p>
    <w:p>
      <w:pPr>
        <w:spacing w:after="0" w:line="172" w:lineRule="exact"/>
        <w:rPr>
          <w:rFonts w:ascii="Arial" w:cs="Arial" w:eastAsia="Arial" w:hAnsi="Arial"/>
          <w:sz w:val="17"/>
          <w:szCs w:val="17"/>
          <w:color w:val="auto"/>
        </w:rPr>
      </w:pPr>
    </w:p>
    <w:p>
      <w:pPr>
        <w:jc w:val="both"/>
        <w:ind w:left="660" w:firstLine="645"/>
        <w:spacing w:after="0" w:line="255" w:lineRule="auto"/>
        <w:tabs>
          <w:tab w:leader="none" w:pos="1573" w:val="left"/>
        </w:tabs>
        <w:numPr>
          <w:ilvl w:val="1"/>
          <w:numId w:val="206"/>
        </w:numPr>
        <w:rPr>
          <w:rFonts w:ascii="Arial" w:cs="Arial" w:eastAsia="Arial" w:hAnsi="Arial"/>
          <w:sz w:val="18"/>
          <w:szCs w:val="18"/>
          <w:color w:val="auto"/>
        </w:rPr>
      </w:pPr>
      <w:r>
        <w:rPr>
          <w:rFonts w:ascii="Arial" w:cs="Arial" w:eastAsia="Arial" w:hAnsi="Arial"/>
          <w:sz w:val="18"/>
          <w:szCs w:val="18"/>
          <w:i w:val="1"/>
          <w:iCs w:val="1"/>
          <w:color w:val="auto"/>
        </w:rPr>
        <w:t>Trust Fund for Advances</w:t>
      </w:r>
      <w:r>
        <w:rPr>
          <w:rFonts w:ascii="Arial" w:cs="Arial" w:eastAsia="Arial" w:hAnsi="Arial"/>
          <w:sz w:val="18"/>
          <w:szCs w:val="18"/>
          <w:color w:val="auto"/>
        </w:rPr>
        <w:t>. In compliance with Section 13 of the Lien Law of the State of New York, Lessor will receive the advances</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by this Mortgage and will hold the right to receive such advances as a trust fund to be applied first for the purpose of paying the cost of the building(s) and other improvements located on the Leased Property before using any part of the total of the same for any other purpose. Lessor will indemnify and hold the Lessee harmless against any loss, liability, cost or expense, including any judgments, attorneys’ fees, costs of appeal bonds or printing costs, arising out of or relating to any proceedings instituted by any claimant alleging a violation by Lessor of Article 3-A of the New York Lien Law.</w:t>
      </w:r>
    </w:p>
    <w:p>
      <w:pPr>
        <w:spacing w:after="0" w:line="193" w:lineRule="exact"/>
        <w:rPr>
          <w:rFonts w:ascii="Arial" w:cs="Arial" w:eastAsia="Arial" w:hAnsi="Arial"/>
          <w:sz w:val="18"/>
          <w:szCs w:val="18"/>
          <w:color w:val="auto"/>
        </w:rPr>
      </w:pPr>
    </w:p>
    <w:p>
      <w:pPr>
        <w:jc w:val="both"/>
        <w:ind w:left="660" w:firstLine="645"/>
        <w:spacing w:after="0" w:line="264" w:lineRule="auto"/>
        <w:tabs>
          <w:tab w:leader="none" w:pos="1623" w:val="left"/>
        </w:tabs>
        <w:numPr>
          <w:ilvl w:val="1"/>
          <w:numId w:val="206"/>
        </w:numPr>
        <w:rPr>
          <w:rFonts w:ascii="Arial" w:cs="Arial" w:eastAsia="Arial" w:hAnsi="Arial"/>
          <w:sz w:val="18"/>
          <w:szCs w:val="18"/>
          <w:color w:val="auto"/>
        </w:rPr>
      </w:pPr>
      <w:r>
        <w:rPr>
          <w:rFonts w:ascii="Arial" w:cs="Arial" w:eastAsia="Arial" w:hAnsi="Arial"/>
          <w:sz w:val="18"/>
          <w:szCs w:val="18"/>
          <w:i w:val="1"/>
          <w:iCs w:val="1"/>
          <w:color w:val="auto"/>
        </w:rPr>
        <w:t>New York Real Property Law Article 4-A</w:t>
      </w:r>
      <w:r>
        <w:rPr>
          <w:rFonts w:ascii="Arial" w:cs="Arial" w:eastAsia="Arial" w:hAnsi="Arial"/>
          <w:sz w:val="18"/>
          <w:szCs w:val="18"/>
          <w:color w:val="auto"/>
        </w:rPr>
        <w:t>. If this Mortgage shall be deemed to constitute a “mortgage investment” as defined by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Real Property Law § 125, then this Mortgage shall and hereby does (i) confer upon the Lessee the powers and (ii) impose upon the Lessee the duties of trustees set forth in New York Real Property Law § 126.</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627" w:val="left"/>
        </w:tabs>
        <w:numPr>
          <w:ilvl w:val="1"/>
          <w:numId w:val="206"/>
        </w:numPr>
        <w:rPr>
          <w:rFonts w:ascii="Arial" w:cs="Arial" w:eastAsia="Arial" w:hAnsi="Arial"/>
          <w:sz w:val="18"/>
          <w:szCs w:val="18"/>
          <w:color w:val="auto"/>
        </w:rPr>
      </w:pPr>
      <w:r>
        <w:rPr>
          <w:rFonts w:ascii="Arial" w:cs="Arial" w:eastAsia="Arial" w:hAnsi="Arial"/>
          <w:sz w:val="18"/>
          <w:szCs w:val="18"/>
          <w:i w:val="1"/>
          <w:iCs w:val="1"/>
          <w:color w:val="auto"/>
        </w:rPr>
        <w:t>Statement in Accordance with Section 253.1a(a) of the New York Tax Law</w:t>
      </w:r>
      <w:r>
        <w:rPr>
          <w:rFonts w:ascii="Arial" w:cs="Arial" w:eastAsia="Arial" w:hAnsi="Arial"/>
          <w:sz w:val="18"/>
          <w:szCs w:val="18"/>
          <w:color w:val="auto"/>
        </w:rPr>
        <w:t>. This Mortgage does not cover real property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or to be improved by one or more structures containing in the aggregate not more than six (6) residential dwelling units, each having separate cooking facilities.</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563" w:val="left"/>
        </w:tabs>
        <w:numPr>
          <w:ilvl w:val="1"/>
          <w:numId w:val="206"/>
        </w:numPr>
        <w:rPr>
          <w:rFonts w:ascii="Arial" w:cs="Arial" w:eastAsia="Arial" w:hAnsi="Arial"/>
          <w:sz w:val="18"/>
          <w:szCs w:val="18"/>
          <w:color w:val="auto"/>
        </w:rPr>
      </w:pPr>
      <w:r>
        <w:rPr>
          <w:rFonts w:ascii="Arial" w:cs="Arial" w:eastAsia="Arial" w:hAnsi="Arial"/>
          <w:sz w:val="18"/>
          <w:szCs w:val="18"/>
          <w:i w:val="1"/>
          <w:iCs w:val="1"/>
          <w:color w:val="auto"/>
        </w:rPr>
        <w:t>Statement in Accordance with Section 274-a of the New York Real Property Law</w:t>
      </w:r>
      <w:r>
        <w:rPr>
          <w:rFonts w:ascii="Arial" w:cs="Arial" w:eastAsia="Arial" w:hAnsi="Arial"/>
          <w:sz w:val="18"/>
          <w:szCs w:val="18"/>
          <w:color w:val="auto"/>
        </w:rPr>
        <w:t>. The Lessee shall, within fifteen (15) days after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provide Lessor with the statement required by Section 274-a of the New York Real Property Law.</w:t>
      </w:r>
    </w:p>
    <w:p>
      <w:pPr>
        <w:spacing w:after="0" w:line="170" w:lineRule="exact"/>
        <w:rPr>
          <w:rFonts w:ascii="Arial" w:cs="Arial" w:eastAsia="Arial" w:hAnsi="Arial"/>
          <w:sz w:val="18"/>
          <w:szCs w:val="18"/>
          <w:color w:val="auto"/>
        </w:rPr>
      </w:pPr>
    </w:p>
    <w:p>
      <w:pPr>
        <w:ind w:left="660" w:firstLine="645"/>
        <w:spacing w:after="0" w:line="277" w:lineRule="auto"/>
        <w:tabs>
          <w:tab w:leader="none" w:pos="1613" w:val="left"/>
        </w:tabs>
        <w:numPr>
          <w:ilvl w:val="1"/>
          <w:numId w:val="206"/>
        </w:numPr>
        <w:rPr>
          <w:rFonts w:ascii="Arial" w:cs="Arial" w:eastAsia="Arial" w:hAnsi="Arial"/>
          <w:sz w:val="18"/>
          <w:szCs w:val="18"/>
          <w:color w:val="auto"/>
        </w:rPr>
      </w:pPr>
      <w:r>
        <w:rPr>
          <w:rFonts w:ascii="Arial" w:cs="Arial" w:eastAsia="Arial" w:hAnsi="Arial"/>
          <w:sz w:val="18"/>
          <w:szCs w:val="18"/>
          <w:i w:val="1"/>
          <w:iCs w:val="1"/>
          <w:color w:val="auto"/>
        </w:rPr>
        <w:t>Section 291-f of New York Real Property Law</w:t>
      </w:r>
      <w:r>
        <w:rPr>
          <w:rFonts w:ascii="Arial" w:cs="Arial" w:eastAsia="Arial" w:hAnsi="Arial"/>
          <w:sz w:val="18"/>
          <w:szCs w:val="18"/>
          <w:color w:val="auto"/>
        </w:rPr>
        <w:t>. The Lessee shall have all of the rights set forth in Section 291-f of the Real Property Law</w:t>
      </w:r>
      <w:r>
        <w:rPr>
          <w:rFonts w:ascii="Arial" w:cs="Arial" w:eastAsia="Arial" w:hAnsi="Arial"/>
          <w:sz w:val="18"/>
          <w:szCs w:val="18"/>
          <w:i w:val="1"/>
          <w:iCs w:val="1"/>
          <w:color w:val="auto"/>
        </w:rPr>
        <w:t xml:space="preserve"> </w:t>
      </w:r>
      <w:r>
        <w:rPr>
          <w:rFonts w:ascii="Arial" w:cs="Arial" w:eastAsia="Arial" w:hAnsi="Arial"/>
          <w:sz w:val="18"/>
          <w:szCs w:val="18"/>
          <w:color w:val="auto"/>
        </w:rPr>
        <w:t>of New York. For purposes of Section 291-f of the New York Real Property Law, all existing tenants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58" w:name="page259"/>
    <w:bookmarkEnd w:id="258"/>
    <w:p>
      <w:pPr>
        <w:jc w:val="both"/>
        <w:ind w:left="660"/>
        <w:spacing w:after="0" w:line="286" w:lineRule="auto"/>
        <w:rPr>
          <w:sz w:val="20"/>
          <w:szCs w:val="20"/>
          <w:color w:val="auto"/>
        </w:rPr>
      </w:pPr>
      <w:r>
        <w:rPr>
          <w:rFonts w:ascii="Arial" w:cs="Arial" w:eastAsia="Arial" w:hAnsi="Arial"/>
          <w:sz w:val="16"/>
          <w:szCs w:val="16"/>
          <w:color w:val="auto"/>
        </w:rPr>
        <w:t>every tenant or subtenant who after the recording of this Mortgage, enters into a lease upon the premises of any of the Leased Property or who acquires by instrument of assignment or by operation of law a leasehold estate upon the Leased Property is hereby notified that Lessor shall not, without obtaining the Lessee’s prior consent in each instance, cancel, abridge or otherwise modify any leases or accept prepayments for more than thirty (30) days of installments of rent to become due with respect to any lease thereof having an unexpired term on the date of this Mortgage of five</w:t>
      </w:r>
    </w:p>
    <w:p>
      <w:pPr>
        <w:spacing w:after="0" w:line="2" w:lineRule="exact"/>
        <w:rPr>
          <w:sz w:val="20"/>
          <w:szCs w:val="20"/>
          <w:color w:val="auto"/>
        </w:rPr>
      </w:pPr>
    </w:p>
    <w:p>
      <w:pPr>
        <w:ind w:left="660" w:hanging="4"/>
        <w:spacing w:after="0" w:line="290" w:lineRule="auto"/>
        <w:tabs>
          <w:tab w:leader="none" w:pos="934" w:val="left"/>
        </w:tabs>
        <w:numPr>
          <w:ilvl w:val="0"/>
          <w:numId w:val="207"/>
        </w:numPr>
        <w:rPr>
          <w:rFonts w:ascii="Arial" w:cs="Arial" w:eastAsia="Arial" w:hAnsi="Arial"/>
          <w:sz w:val="17"/>
          <w:szCs w:val="17"/>
          <w:color w:val="auto"/>
        </w:rPr>
      </w:pPr>
      <w:r>
        <w:rPr>
          <w:rFonts w:ascii="Arial" w:cs="Arial" w:eastAsia="Arial" w:hAnsi="Arial"/>
          <w:sz w:val="17"/>
          <w:szCs w:val="17"/>
          <w:color w:val="auto"/>
        </w:rPr>
        <w:t>years or more and that any such cancellation, abridgement, modification or prepayment made by any such tenant or subtenant without either being expressly permitted under this Mortgage or receiving the Lessee’s prior consent shall be voidable by the Lessee at its option.</w:t>
      </w:r>
    </w:p>
    <w:p>
      <w:pPr>
        <w:spacing w:after="0" w:line="161" w:lineRule="exact"/>
        <w:rPr>
          <w:rFonts w:ascii="Arial" w:cs="Arial" w:eastAsia="Arial" w:hAnsi="Arial"/>
          <w:sz w:val="17"/>
          <w:szCs w:val="17"/>
          <w:color w:val="auto"/>
        </w:rPr>
      </w:pPr>
    </w:p>
    <w:p>
      <w:pPr>
        <w:jc w:val="both"/>
        <w:ind w:left="660" w:firstLine="645"/>
        <w:spacing w:after="0" w:line="264" w:lineRule="auto"/>
        <w:tabs>
          <w:tab w:leader="none" w:pos="1677" w:val="left"/>
        </w:tabs>
        <w:numPr>
          <w:ilvl w:val="1"/>
          <w:numId w:val="207"/>
        </w:numPr>
        <w:rPr>
          <w:rFonts w:ascii="Arial" w:cs="Arial" w:eastAsia="Arial" w:hAnsi="Arial"/>
          <w:sz w:val="18"/>
          <w:szCs w:val="18"/>
          <w:color w:val="auto"/>
        </w:rPr>
      </w:pPr>
      <w:r>
        <w:rPr>
          <w:rFonts w:ascii="Arial" w:cs="Arial" w:eastAsia="Arial" w:hAnsi="Arial"/>
          <w:sz w:val="18"/>
          <w:szCs w:val="18"/>
          <w:i w:val="1"/>
          <w:iCs w:val="1"/>
          <w:color w:val="auto"/>
        </w:rPr>
        <w:t>Sections 254, 271, 272 and 291-f of New York Real Property Law</w:t>
      </w:r>
      <w:r>
        <w:rPr>
          <w:rFonts w:ascii="Arial" w:cs="Arial" w:eastAsia="Arial" w:hAnsi="Arial"/>
          <w:sz w:val="18"/>
          <w:szCs w:val="18"/>
          <w:color w:val="auto"/>
        </w:rPr>
        <w:t>. All covenants of Lessor herein contained shall be construed as</w:t>
      </w:r>
      <w:r>
        <w:rPr>
          <w:rFonts w:ascii="Arial" w:cs="Arial" w:eastAsia="Arial" w:hAnsi="Arial"/>
          <w:sz w:val="18"/>
          <w:szCs w:val="18"/>
          <w:i w:val="1"/>
          <w:iCs w:val="1"/>
          <w:color w:val="auto"/>
        </w:rPr>
        <w:t xml:space="preserve"> </w:t>
      </w:r>
      <w:r>
        <w:rPr>
          <w:rFonts w:ascii="Arial" w:cs="Arial" w:eastAsia="Arial" w:hAnsi="Arial"/>
          <w:sz w:val="18"/>
          <w:szCs w:val="18"/>
          <w:color w:val="auto"/>
        </w:rPr>
        <w:t>affording to the Lessee rights additional to and not exclusive of the rights conferred under the provisions of Sections 254, 271, 272 and 291-f of the Real Property Law of New York (except as otherwise provided herein).</w:t>
      </w:r>
    </w:p>
    <w:p>
      <w:pPr>
        <w:spacing w:after="0" w:line="181" w:lineRule="exact"/>
        <w:rPr>
          <w:rFonts w:ascii="Arial" w:cs="Arial" w:eastAsia="Arial" w:hAnsi="Arial"/>
          <w:sz w:val="18"/>
          <w:szCs w:val="18"/>
          <w:color w:val="auto"/>
        </w:rPr>
      </w:pPr>
    </w:p>
    <w:p>
      <w:pPr>
        <w:ind w:left="660" w:firstLine="645"/>
        <w:spacing w:after="0" w:line="277" w:lineRule="auto"/>
        <w:tabs>
          <w:tab w:leader="none" w:pos="1727" w:val="left"/>
        </w:tabs>
        <w:numPr>
          <w:ilvl w:val="1"/>
          <w:numId w:val="207"/>
        </w:numPr>
        <w:rPr>
          <w:rFonts w:ascii="Arial" w:cs="Arial" w:eastAsia="Arial" w:hAnsi="Arial"/>
          <w:sz w:val="18"/>
          <w:szCs w:val="18"/>
          <w:color w:val="auto"/>
        </w:rPr>
      </w:pPr>
      <w:r>
        <w:rPr>
          <w:rFonts w:ascii="Arial" w:cs="Arial" w:eastAsia="Arial" w:hAnsi="Arial"/>
          <w:sz w:val="18"/>
          <w:szCs w:val="18"/>
          <w:i w:val="1"/>
          <w:iCs w:val="1"/>
          <w:color w:val="auto"/>
        </w:rPr>
        <w:t>Real Property Law</w:t>
      </w:r>
      <w:r>
        <w:rPr>
          <w:rFonts w:ascii="Arial" w:cs="Arial" w:eastAsia="Arial" w:hAnsi="Arial"/>
          <w:sz w:val="18"/>
          <w:szCs w:val="18"/>
          <w:color w:val="auto"/>
        </w:rPr>
        <w:t>. The provisions of subsection 4 of Section 254 and subsection 2 of Section 271 of the New York Real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Law covering the insurance of buildings against loss by fire shall not apply to this Mortgage.</w:t>
      </w:r>
    </w:p>
    <w:p>
      <w:pPr>
        <w:spacing w:after="0" w:line="170" w:lineRule="exact"/>
        <w:rPr>
          <w:rFonts w:ascii="Arial" w:cs="Arial" w:eastAsia="Arial" w:hAnsi="Arial"/>
          <w:sz w:val="18"/>
          <w:szCs w:val="18"/>
          <w:color w:val="auto"/>
        </w:rPr>
      </w:pPr>
    </w:p>
    <w:p>
      <w:pPr>
        <w:jc w:val="both"/>
        <w:ind w:left="660" w:firstLine="645"/>
        <w:spacing w:after="0" w:line="272" w:lineRule="auto"/>
        <w:tabs>
          <w:tab w:leader="none" w:pos="1613" w:val="left"/>
        </w:tabs>
        <w:numPr>
          <w:ilvl w:val="1"/>
          <w:numId w:val="207"/>
        </w:numPr>
        <w:rPr>
          <w:rFonts w:ascii="Arial" w:cs="Arial" w:eastAsia="Arial" w:hAnsi="Arial"/>
          <w:sz w:val="17"/>
          <w:szCs w:val="17"/>
          <w:color w:val="auto"/>
        </w:rPr>
      </w:pPr>
      <w:r>
        <w:rPr>
          <w:rFonts w:ascii="Arial" w:cs="Arial" w:eastAsia="Arial" w:hAnsi="Arial"/>
          <w:sz w:val="17"/>
          <w:szCs w:val="17"/>
          <w:i w:val="1"/>
          <w:iCs w:val="1"/>
          <w:color w:val="auto"/>
        </w:rPr>
        <w:t>RPAPL</w:t>
      </w:r>
      <w:r>
        <w:rPr>
          <w:rFonts w:ascii="Arial" w:cs="Arial" w:eastAsia="Arial" w:hAnsi="Arial"/>
          <w:sz w:val="17"/>
          <w:szCs w:val="17"/>
          <w:color w:val="auto"/>
        </w:rPr>
        <w:t>. If an Event of Default shall occur and be continuing, the Lessor may elect, with or without entry or taking possession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Leased Property, personally or by its agents or attorneys, and without prejudice to the right to bring an action for foreclosure of this Mortgage, to sell (and, in the case of any default of any purchaser, resell) the Leased Property or any part thereof pursuant to any procedures provided by Applicable Law, including, without limitation, by exercise of the power of foreclosure or of sale granted to the Lessor by Articles 13 or 14 of the New York Real Property Actions and Proceedings Law (the “</w:t>
      </w:r>
      <w:r>
        <w:rPr>
          <w:rFonts w:ascii="Arial" w:cs="Arial" w:eastAsia="Arial" w:hAnsi="Arial"/>
          <w:sz w:val="17"/>
          <w:szCs w:val="17"/>
          <w:u w:val="single" w:color="auto"/>
          <w:color w:val="auto"/>
        </w:rPr>
        <w:t>RPAPL</w:t>
      </w:r>
      <w:r>
        <w:rPr>
          <w:rFonts w:ascii="Arial" w:cs="Arial" w:eastAsia="Arial" w:hAnsi="Arial"/>
          <w:sz w:val="17"/>
          <w:szCs w:val="17"/>
          <w:color w:val="auto"/>
        </w:rPr>
        <w:t>”). In such case, the Lessor may commence a civil action to foreclose this Mortgage pursuant to Article 13 of the RPAPL, or it may proceed and sell the Property pursuant to Article 14 of the RPAPL to satisfy the Obligations and all other amounts secured or exercise any other right and/or remedy provided under Applicable Law.</w:t>
      </w:r>
    </w:p>
    <w:p>
      <w:pPr>
        <w:spacing w:after="0" w:line="17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Section 24.4. Security Agreement</w:t>
      </w:r>
      <w:r>
        <w:rPr>
          <w:rFonts w:ascii="Arial" w:cs="Arial" w:eastAsia="Arial" w:hAnsi="Arial"/>
          <w:sz w:val="17"/>
          <w:szCs w:val="17"/>
          <w:color w:val="auto"/>
        </w:rPr>
        <w:t>. This Lease shall constitute a security agreement within the meaning of the Uniform Commercial Code of the state</w:t>
      </w:r>
      <w:r>
        <w:rPr>
          <w:rFonts w:ascii="Arial" w:cs="Arial" w:eastAsia="Arial" w:hAnsi="Arial"/>
          <w:sz w:val="17"/>
          <w:szCs w:val="17"/>
          <w:i w:val="1"/>
          <w:iCs w:val="1"/>
          <w:color w:val="auto"/>
        </w:rPr>
        <w:t xml:space="preserve"> </w:t>
      </w:r>
      <w:r>
        <w:rPr>
          <w:rFonts w:ascii="Arial" w:cs="Arial" w:eastAsia="Arial" w:hAnsi="Arial"/>
          <w:sz w:val="17"/>
          <w:szCs w:val="17"/>
          <w:color w:val="auto"/>
        </w:rPr>
        <w:t>where the Leased Property is located (“</w:t>
      </w:r>
      <w:r>
        <w:rPr>
          <w:rFonts w:ascii="Arial" w:cs="Arial" w:eastAsia="Arial" w:hAnsi="Arial"/>
          <w:sz w:val="17"/>
          <w:szCs w:val="17"/>
          <w:i w:val="1"/>
          <w:iCs w:val="1"/>
          <w:color w:val="auto"/>
        </w:rPr>
        <w:t>UCC</w:t>
      </w:r>
      <w:r>
        <w:rPr>
          <w:rFonts w:ascii="Arial" w:cs="Arial" w:eastAsia="Arial" w:hAnsi="Arial"/>
          <w:sz w:val="17"/>
          <w:szCs w:val="17"/>
          <w:color w:val="auto"/>
        </w:rPr>
        <w:t>”), and if an Event of Default has occurred and is continuing, (i) Lessor shall, in addition to all other rights available at law or equity, have all of the rights provided to a secured party under Article 9 of the UCC and (ii) Lessor shall have the power and authority, after proper notice and lapse of such time as may be required by law, to sell the Leased Property and the other Collateral (or any portion thereof), either as a whole, or in separate lots or parcels or items and in such order as Lessor may elect all as provided for herein. The proceeds derived from the exercise of the foregoing rights shall be applied as set forth in the last paragraph of Section 16.2.</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Section 24.5. Mortgage Remedies. </w:t>
      </w:r>
      <w:r>
        <w:rPr>
          <w:rFonts w:ascii="Arial" w:cs="Arial" w:eastAsia="Arial" w:hAnsi="Arial"/>
          <w:sz w:val="18"/>
          <w:szCs w:val="18"/>
          <w:color w:val="auto"/>
        </w:rPr>
        <w:t>Without limiting any other remedies set forth in this Lease, and also, without limiting the generality of Article XXIV</w:t>
      </w:r>
      <w:r>
        <w:rPr>
          <w:rFonts w:ascii="Arial" w:cs="Arial" w:eastAsia="Arial" w:hAnsi="Arial"/>
          <w:sz w:val="18"/>
          <w:szCs w:val="18"/>
          <w:i w:val="1"/>
          <w:iCs w:val="1"/>
          <w:color w:val="auto"/>
        </w:rPr>
        <w:t xml:space="preserve"> </w:t>
      </w:r>
      <w:r>
        <w:rPr>
          <w:rFonts w:ascii="Arial" w:cs="Arial" w:eastAsia="Arial" w:hAnsi="Arial"/>
          <w:sz w:val="18"/>
          <w:szCs w:val="18"/>
          <w:color w:val="auto"/>
        </w:rPr>
        <w:t>hereof, the Lessor for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59" w:name="page260"/>
    <w:bookmarkEnd w:id="259"/>
    <w:p>
      <w:pPr>
        <w:jc w:val="both"/>
        <w:spacing w:after="0" w:line="269" w:lineRule="auto"/>
        <w:rPr>
          <w:sz w:val="20"/>
          <w:szCs w:val="20"/>
          <w:color w:val="auto"/>
        </w:rPr>
      </w:pPr>
      <w:r>
        <w:rPr>
          <w:rFonts w:ascii="Arial" w:cs="Arial" w:eastAsia="Arial" w:hAnsi="Arial"/>
          <w:sz w:val="17"/>
          <w:szCs w:val="17"/>
          <w:color w:val="auto"/>
        </w:rPr>
        <w:t>benefit and at the direction of the Required Participants, may proceed by a suit or suits in equity or at law, whether for a foreclosure hereunder, or (to the extent permitted by law) for the sale of the Site, Leased Property or the other Collateral, or against the Lessee on a recourse basis for the Lease Balance and all other amounts owing by Lessee to the Administrative Agent, if any, and/or the Participants under the Operative Documents (including but without duplication, accrued and unpaid Rent), or for the specific performance of any covenant or agreement contained herein or in aid of the execution of any power granted herein, or for the appointment of a receiver pending any foreclosure hereunder or the sale of the Leased Property or the other Collateral, or for the enforcement of any other appropriate legal or equitable remedy. The Lessor shall have all rights available to a mortgagee under the laws of the State of New York. In the event that any provisions of this Lease shall be inconsistent with any Applicable Laws, the provisions of such Applicable Laws shall take precedence over such provision of this Lease, but shall not invalidate or render unenforceable any other provision of this Lease that can be construed in a manner consistent with such Applicable Laws. If any provision of this Lease shall grant the Lessor any rights or remedies upon default of the Lessee which are more limited than the rights that would otherwise be vested in the Lessor under such Applicable Laws in the absence of such provision, the Lessor shall be vested with the rights granted in such Applicable Laws to the full extent permitted by law.</w:t>
      </w:r>
    </w:p>
    <w:p>
      <w:pPr>
        <w:spacing w:after="0" w:line="170"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RTICLE</w:t>
      </w:r>
      <w:r>
        <w:rPr>
          <w:rFonts w:ascii="Arial" w:cs="Arial" w:eastAsia="Arial" w:hAnsi="Arial"/>
          <w:sz w:val="22"/>
          <w:szCs w:val="22"/>
          <w:b w:val="1"/>
          <w:bCs w:val="1"/>
          <w:color w:val="auto"/>
        </w:rPr>
        <w:t xml:space="preserve"> XXV</w:t>
      </w:r>
    </w:p>
    <w:p>
      <w:pPr>
        <w:spacing w:after="0" w:line="1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p>
    <w:p>
      <w:pPr>
        <w:spacing w:after="0" w:line="19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Section 25.1. Survival; Severability; Etc</w:t>
      </w:r>
      <w:r>
        <w:rPr>
          <w:rFonts w:ascii="Arial" w:cs="Arial" w:eastAsia="Arial" w:hAnsi="Arial"/>
          <w:sz w:val="16"/>
          <w:szCs w:val="16"/>
          <w:color w:val="auto"/>
        </w:rPr>
        <w:t>. Anything contained in this Lease to the contrary notwithstanding, all claims against and liabilities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Lessee or Lessor arising from events commencing prior to the expiration or earlier termination of this Lease shall survive such expiration or earlier termination. If any term or provision of this Lease or any application thereof shall be declared invalid or unenforceable, the remainder of this Lease and any other application of such term or provision shall not be affected thereby. If any right or option of the Lessee provided in this Lease, including any right or option described in Articles XIV, XV, XVIII, XIX or XX, would, in the absence of the limitation imposed by this sentence, be invalid or unenforceable as being in violation of the rule against perpetuities or any other rule of law relating to the vesting of an interest in or the suspension of the power of alienation of property, then such right or option shall be exercisable only during the period which shall end twenty-one (21) years after the date of death of the last survivor of the descendants of Franklin D. Roosevelt, the former President of the United States, Henry Ford, the deceased automobile manufacturer, and John D. Rockefeller, the founder of the Standard Oil Company, known to be alive on the date of the execution, acknowledgment and delivery of this Lease.</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25.2. Amendments and Modifications</w:t>
      </w:r>
      <w:r>
        <w:rPr>
          <w:rFonts w:ascii="Arial" w:cs="Arial" w:eastAsia="Arial" w:hAnsi="Arial"/>
          <w:sz w:val="18"/>
          <w:szCs w:val="18"/>
          <w:color w:val="auto"/>
        </w:rPr>
        <w:t>. Subject to the requirements, restrictions and conditions set forth in the Participation Agreement, neither</w:t>
      </w:r>
      <w:r>
        <w:rPr>
          <w:rFonts w:ascii="Arial" w:cs="Arial" w:eastAsia="Arial" w:hAnsi="Arial"/>
          <w:sz w:val="18"/>
          <w:szCs w:val="18"/>
          <w:i w:val="1"/>
          <w:iCs w:val="1"/>
          <w:color w:val="auto"/>
        </w:rPr>
        <w:t xml:space="preserve"> </w:t>
      </w:r>
      <w:r>
        <w:rPr>
          <w:rFonts w:ascii="Arial" w:cs="Arial" w:eastAsia="Arial" w:hAnsi="Arial"/>
          <w:sz w:val="18"/>
          <w:szCs w:val="18"/>
          <w:color w:val="auto"/>
        </w:rPr>
        <w:t>this Lease nor any provision hereof may be amended, waived, discharged or terminated except by an instrument in writing, in recordable form, signed by Lessor and the Lessee.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25.3. No Waiver</w:t>
      </w:r>
      <w:r>
        <w:rPr>
          <w:rFonts w:ascii="Arial" w:cs="Arial" w:eastAsia="Arial" w:hAnsi="Arial"/>
          <w:sz w:val="18"/>
          <w:szCs w:val="18"/>
          <w:color w:val="auto"/>
        </w:rPr>
        <w:t>. No failure by Lessor or the Lessee to insist upon the strict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60" w:name="page261"/>
    <w:bookmarkEnd w:id="260"/>
    <w:p>
      <w:pPr>
        <w:jc w:val="both"/>
        <w:spacing w:after="0" w:line="312" w:lineRule="auto"/>
        <w:rPr>
          <w:sz w:val="20"/>
          <w:szCs w:val="20"/>
          <w:color w:val="auto"/>
        </w:rPr>
      </w:pPr>
      <w:r>
        <w:rPr>
          <w:rFonts w:ascii="Arial" w:cs="Arial" w:eastAsia="Arial" w:hAnsi="Arial"/>
          <w:sz w:val="16"/>
          <w:szCs w:val="16"/>
          <w:color w:val="auto"/>
        </w:rPr>
        <w:t>performance of any term hereof or to exercise any right, power or remedy upon a default hereunder, and no acceptance of full or partial payment of Rent during the continuance of any such default, shall constitute a waiver of any such default or of any such term. To the fullest extent permitted by law, no waiver of any default shall affect or alter this Lease, and this Lease shall continue in full force and effect with respect to any other then existing or subsequent default.</w:t>
      </w:r>
    </w:p>
    <w:p>
      <w:pPr>
        <w:spacing w:after="0" w:line="14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Section 25.4. Notices</w:t>
      </w:r>
      <w:r>
        <w:rPr>
          <w:rFonts w:ascii="Arial" w:cs="Arial" w:eastAsia="Arial" w:hAnsi="Arial"/>
          <w:sz w:val="18"/>
          <w:szCs w:val="18"/>
          <w:color w:val="auto"/>
        </w:rPr>
        <w:t>. All notices, demands, requests, consents, approvals and other communications hereunder shall be in writing and directed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described in, and deemed received in accordance with the provisions of, Section 15.3 of the Participation Agreement.</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Section 25.5. Successors and Assigns</w:t>
      </w:r>
      <w:r>
        <w:rPr>
          <w:rFonts w:ascii="Arial" w:cs="Arial" w:eastAsia="Arial" w:hAnsi="Arial"/>
          <w:sz w:val="18"/>
          <w:szCs w:val="18"/>
          <w:color w:val="auto"/>
        </w:rPr>
        <w:t>. All the terms and provisions of this Lease shall inure to the benefit of the parties hereto and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successors and permitted assigns.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Section 25.6. Headings and Table of Contents</w:t>
      </w:r>
      <w:r>
        <w:rPr>
          <w:rFonts w:ascii="Arial" w:cs="Arial" w:eastAsia="Arial" w:hAnsi="Arial"/>
          <w:sz w:val="18"/>
          <w:szCs w:val="18"/>
          <w:color w:val="auto"/>
        </w:rPr>
        <w:t>. The headings and table of contents in this Lease are for convenience of reference only and shall not limit</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affect the meaning hereof.</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Section 25.7. Counterparts</w:t>
      </w:r>
      <w:r>
        <w:rPr>
          <w:rFonts w:ascii="Arial" w:cs="Arial" w:eastAsia="Arial" w:hAnsi="Arial"/>
          <w:sz w:val="18"/>
          <w:szCs w:val="18"/>
          <w:color w:val="auto"/>
        </w:rPr>
        <w:t>. This Lease may be executed in any number of counterparts, each of which shall be an original, but all of which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constitute one and the same instrument.</w:t>
      </w:r>
    </w:p>
    <w:p>
      <w:pPr>
        <w:spacing w:after="0" w:line="16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2"/>
          <w:szCs w:val="12"/>
          <w:i w:val="1"/>
          <w:iCs w:val="1"/>
          <w:color w:val="auto"/>
        </w:rPr>
        <w:t>ECTION</w:t>
      </w:r>
      <w:r>
        <w:rPr>
          <w:rFonts w:ascii="Arial" w:cs="Arial" w:eastAsia="Arial" w:hAnsi="Arial"/>
          <w:sz w:val="18"/>
          <w:szCs w:val="18"/>
          <w:i w:val="1"/>
          <w:iCs w:val="1"/>
          <w:color w:val="auto"/>
        </w:rPr>
        <w:t xml:space="preserve"> 25.8. </w:t>
      </w:r>
      <w:r>
        <w:rPr>
          <w:rFonts w:ascii="Arial" w:cs="Arial" w:eastAsia="Arial" w:hAnsi="Arial"/>
          <w:sz w:val="18"/>
          <w:szCs w:val="18"/>
          <w:b w:val="1"/>
          <w:bCs w:val="1"/>
          <w:i w:val="1"/>
          <w:iCs w:val="1"/>
          <w:color w:val="auto"/>
        </w:rPr>
        <w:t>GOVERNING LAW.</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LEASE SHALL BE GOVERNED BY, AND CONSTRUED AND INTERPRETED IN ACCORDANCE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WITH, THE LAWS OF THE STATE OF NEW YORK, WITHOUT REGARD TO CONFLICTS OF LAW PRINCIPLES (OTHER THAN TITLE 14 OF ARTICLE 5 OF THE NEW YORK GENERAL OBLIGATIONS LAW), EXCEPT AS TO MATTERS RELATING TO THE CREATION OF THE LEASEHOLD ESTATE HEREUNDER AND THE EXERCISE OF RIGHTS AND REMEDIES WITH RESPECT THERETO, WHICH SHALL BE GOVERNED BY AND CONSTRUED IN ACCORDANCE WITH THE LAW OF THE STATE OF NEW YORK. WITHOUT LIMITING THE FOREGOING, IN THE EVENT THAT THIS LEASE IS DEEMED TO CONSTITUTE A FINANCING, WHICH IS THE INTENTION OF THE PARTIES, THE LAWS OF THE STATE OF NEW YORK, WITHOUT REGARD TO CONFLICTS OF LAWS PRINCIPLES (OTHER THAN TITLE 14 OF ARTICLE 5 OF THE NEW YORK GENERAL OBLIGATIONS LAW), SHALL GOVERN THE TERMS AND PROVISIONS OF THE INDEBTEDNESS EVIDENCED HEREBY, EXCEPT THAT THE AND THE CREATION, PERFECTION, EFFECT OF PERFECTION, PRIORITY AND ENFORCEMENT OF SECURITY INTERESTS AND LIENS IN THE LEASED PROPERTY AND PROJECT COLLATERAL SHALL BE GOVERNED BY THE LAWS OF THE STATE OF NEW YORK AND, TO THE EXTENT APPLICABLE, THE UNIFORM COMMERCIAL CODE OF SUCH STATE (INCLUDING THE CHOICE OF LAW RULES UNDER SUCH UNIFORM COMMERCIAL CODE).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25.9. Original Lease</w:t>
      </w:r>
      <w:r>
        <w:rPr>
          <w:rFonts w:ascii="Arial" w:cs="Arial" w:eastAsia="Arial" w:hAnsi="Arial"/>
          <w:sz w:val="18"/>
          <w:szCs w:val="18"/>
          <w:color w:val="auto"/>
        </w:rPr>
        <w:t>. The single executed original of this Lease marked “T</w:t>
      </w:r>
      <w:r>
        <w:rPr>
          <w:rFonts w:ascii="Arial" w:cs="Arial" w:eastAsia="Arial" w:hAnsi="Arial"/>
          <w:sz w:val="12"/>
          <w:szCs w:val="12"/>
          <w:color w:val="auto"/>
        </w:rPr>
        <w:t>HIS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61" w:name="page262"/>
    <w:bookmarkEnd w:id="261"/>
    <w:p>
      <w:pPr>
        <w:jc w:val="both"/>
        <w:spacing w:after="0" w:line="259" w:lineRule="auto"/>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OUNTERPART IS</w:t>
      </w:r>
      <w:r>
        <w:rPr>
          <w:rFonts w:ascii="Arial" w:cs="Arial" w:eastAsia="Arial" w:hAnsi="Arial"/>
          <w:sz w:val="18"/>
          <w:szCs w:val="18"/>
          <w:color w:val="auto"/>
        </w:rPr>
        <w:t xml:space="preserve"> T</w:t>
      </w:r>
      <w:r>
        <w:rPr>
          <w:rFonts w:ascii="Arial" w:cs="Arial" w:eastAsia="Arial" w:hAnsi="Arial"/>
          <w:sz w:val="12"/>
          <w:szCs w:val="12"/>
          <w:color w:val="auto"/>
        </w:rPr>
        <w:t>HE</w:t>
      </w:r>
      <w:r>
        <w:rPr>
          <w:rFonts w:ascii="Arial" w:cs="Arial" w:eastAsia="Arial" w:hAnsi="Arial"/>
          <w:sz w:val="18"/>
          <w:szCs w:val="18"/>
          <w:color w:val="auto"/>
        </w:rPr>
        <w:t xml:space="preserve"> O</w:t>
      </w:r>
      <w:r>
        <w:rPr>
          <w:rFonts w:ascii="Arial" w:cs="Arial" w:eastAsia="Arial" w:hAnsi="Arial"/>
          <w:sz w:val="12"/>
          <w:szCs w:val="12"/>
          <w:color w:val="auto"/>
        </w:rPr>
        <w:t>RIGINAL</w:t>
      </w:r>
      <w:r>
        <w:rPr>
          <w:rFonts w:ascii="Arial" w:cs="Arial" w:eastAsia="Arial" w:hAnsi="Arial"/>
          <w:sz w:val="18"/>
          <w:szCs w:val="18"/>
          <w:color w:val="auto"/>
        </w:rPr>
        <w:t xml:space="preserve"> E</w:t>
      </w:r>
      <w:r>
        <w:rPr>
          <w:rFonts w:ascii="Arial" w:cs="Arial" w:eastAsia="Arial" w:hAnsi="Arial"/>
          <w:sz w:val="12"/>
          <w:szCs w:val="12"/>
          <w:color w:val="auto"/>
        </w:rPr>
        <w:t>XECUTED</w:t>
      </w:r>
      <w:r>
        <w:rPr>
          <w:rFonts w:ascii="Arial" w:cs="Arial" w:eastAsia="Arial" w:hAnsi="Arial"/>
          <w:sz w:val="18"/>
          <w:szCs w:val="18"/>
          <w:color w:val="auto"/>
        </w:rPr>
        <w:t xml:space="preserve"> C</w:t>
      </w:r>
      <w:r>
        <w:rPr>
          <w:rFonts w:ascii="Arial" w:cs="Arial" w:eastAsia="Arial" w:hAnsi="Arial"/>
          <w:sz w:val="12"/>
          <w:szCs w:val="12"/>
          <w:color w:val="auto"/>
        </w:rPr>
        <w:t>OUNTERPART</w:t>
      </w:r>
      <w:r>
        <w:rPr>
          <w:rFonts w:ascii="Arial" w:cs="Arial" w:eastAsia="Arial" w:hAnsi="Arial"/>
          <w:sz w:val="18"/>
          <w:szCs w:val="18"/>
          <w:color w:val="auto"/>
        </w:rPr>
        <w:t>” on the signature page thereof and containing the receipt thereof of Administrative Agent, on or following the signature page thereof shall be the Original Executed Counterpart of this Lease (the “</w:t>
      </w:r>
      <w:r>
        <w:rPr>
          <w:rFonts w:ascii="Arial" w:cs="Arial" w:eastAsia="Arial" w:hAnsi="Arial"/>
          <w:sz w:val="18"/>
          <w:szCs w:val="18"/>
          <w:i w:val="1"/>
          <w:iCs w:val="1"/>
          <w:color w:val="auto"/>
        </w:rPr>
        <w:t>Original Executed Counterpart</w:t>
      </w:r>
      <w:r>
        <w:rPr>
          <w:rFonts w:ascii="Arial" w:cs="Arial" w:eastAsia="Arial" w:hAnsi="Arial"/>
          <w:sz w:val="18"/>
          <w:szCs w:val="18"/>
          <w:color w:val="auto"/>
        </w:rPr>
        <w:t>”). To the extent that this Lease constitutes chattel paper, as such term is defined in the UCC, no security interest in this Lease may be created through the transfer or possession of any counterpart other than the Original Executed Counterpart or as otherwise provided in the Original Lease.</w:t>
      </w:r>
    </w:p>
    <w:p>
      <w:pPr>
        <w:spacing w:after="0" w:line="18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i w:val="1"/>
          <w:iCs w:val="1"/>
          <w:color w:val="auto"/>
        </w:rPr>
        <w:t>Section 25.10. Limitations on Recourse</w:t>
      </w:r>
      <w:r>
        <w:rPr>
          <w:rFonts w:ascii="Arial" w:cs="Arial" w:eastAsia="Arial" w:hAnsi="Arial"/>
          <w:sz w:val="16"/>
          <w:szCs w:val="16"/>
          <w:color w:val="auto"/>
        </w:rPr>
        <w:t>. The parties hereto agree that, except as specifically set forth in this Lease or in any other Operative Document,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Lessor shall have no personal liability whatsoever to the Lessee, the Lenders, the Administrative Agent or any of their respective successors and assigns for any claim based on or in respect of this Lease or any of the other Operative Documents or arising in any way from the Overall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Lessor shall be liable (a) for its own willful misconduct or gross negligence (or negligence in the handling of funds), (b) for any Tax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respect to or measured by any income, fees, commission, compensation or other amounts received by it as compensation for services (including for acting as Lessor) or otherwise under, or as contemplated by, the Operative Documents, (c) Lessor Liens on the Leased Property which are attributable to it, (d) for its representations and warranties made in the Participation Agreement or in any certificate or documents delivered pursuant thereto, (e) for its failure to perform any of its covenants and agreements set forth in the Participation Agreement or any other Operative Document, and (f) as otherwise expressly provided in the Operative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no event shall Lessor’s liability exceed the amount of its interest in the Facility (except that, notwithstanding this proviso, Lessor shall remain liable for actual damages caused by its gross negligence or willful misconduct).</w:t>
      </w:r>
    </w:p>
    <w:p>
      <w:pPr>
        <w:spacing w:after="0" w:line="16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i w:val="1"/>
          <w:iCs w:val="1"/>
          <w:color w:val="auto"/>
        </w:rPr>
        <w:t>Section 25.11. Transfer of Leased Property</w:t>
      </w:r>
      <w:r>
        <w:rPr>
          <w:rFonts w:ascii="Arial" w:cs="Arial" w:eastAsia="Arial" w:hAnsi="Arial"/>
          <w:sz w:val="17"/>
          <w:szCs w:val="17"/>
          <w:color w:val="auto"/>
        </w:rPr>
        <w:t>. (a) Except as otherwise provided herein, whenever pursuant to any provision of this Lease Lessor is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transfer the Leased Property to Lessee or to an independent third party, such transfer shall be made at Lessee’s expense by the transfer by an assignment of Lessor’s interest and without covenants or warranties of title, except for matters arising by, through or under Lessor, of all of Lessor’s interest in and to the Leased Property on an “as is, where is, with all faults” basis free and clear of all Lessor Liens attributable to Lessor and otherwise without recourse, representation or warranty of any kind, and together with the due assumption by Lessee (or such third party) of, and due release of Lessor from, all obligations relating to the Leased Property or any of the Operative Documents. In connection with any transfer to an independent third party, Lessee shall execute and deliver such customary and reasonable documents, certificates and estoppels as may be required to facilitate the transfer of the Leased Property. Any provision in this Lease or any other Operative Document to the contrary notwithstanding, Lessor shall not be obligated to make any such transfer until Lessor and the Participants have received all Rent and other amounts then due and owing hereunder and under the other Operative Documents including any Break Costs. At or subsequent to the transfer or return of the Leased Property, Lessee will provide Lessor with such lien and title searches as Lessor may reasonably request to demonstrate to Lessor’s satisfaction that the Leased Property is subject to no Liens (other than Lessor Liens) for which Lessor would be liable under any warranties of title.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62" w:name="page263"/>
    <w:bookmarkEnd w:id="262"/>
    <w:p>
      <w:pPr>
        <w:jc w:val="both"/>
        <w:ind w:firstLine="656"/>
        <w:spacing w:after="0" w:line="293" w:lineRule="auto"/>
        <w:tabs>
          <w:tab w:leader="none" w:pos="90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Lessee may assign to another Person its right, upon a purchase by Lessee, to take title to the Leased Property pursuant to Section 21.1;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Lessee shall exercise any option, (ii) such assignee shall be bound by the provisions of Section 21.1, (iii) Lessee shall have represented by an instrument in writing and delivered to Lessor that all necessary Governmental Actions with respect to such transfer, including the purchase of the Leased Property by any other Person as contemplated herein, have been obtained or made (or, substantially concurrently with the consummation of such transfer, will have been obtained or made, as applicable, and (iv) no such assignment shall release Lessee from its obligations under the Operative Documents, and Lessee shall remain personally liable to Lessor for the payment of all amounts due under any such Section and this Section 25.11.</w:t>
      </w:r>
    </w:p>
    <w:p>
      <w:pPr>
        <w:spacing w:after="0" w:line="16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Section 25.12. Memorandum of Lease</w:t>
      </w:r>
      <w:r>
        <w:rPr>
          <w:rFonts w:ascii="Arial" w:cs="Arial" w:eastAsia="Arial" w:hAnsi="Arial"/>
          <w:sz w:val="17"/>
          <w:szCs w:val="17"/>
          <w:color w:val="auto"/>
        </w:rPr>
        <w:t>. On the Original Closing Date, the Lessee and Lessor executed the Memorandum of Lease attached as Exhibit B</w:t>
      </w:r>
      <w:r>
        <w:rPr>
          <w:rFonts w:ascii="Arial" w:cs="Arial" w:eastAsia="Arial" w:hAnsi="Arial"/>
          <w:sz w:val="17"/>
          <w:szCs w:val="17"/>
          <w:i w:val="1"/>
          <w:iCs w:val="1"/>
          <w:color w:val="auto"/>
        </w:rPr>
        <w:t xml:space="preserve"> </w:t>
      </w:r>
      <w:r>
        <w:rPr>
          <w:rFonts w:ascii="Arial" w:cs="Arial" w:eastAsia="Arial" w:hAnsi="Arial"/>
          <w:sz w:val="17"/>
          <w:szCs w:val="17"/>
          <w:color w:val="auto"/>
        </w:rPr>
        <w:t>hereto and caused the same to be recorded in the office of the Office of the County Clerk of the County of Westchester, New York.</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Section 25.13. Further Assurances</w:t>
      </w:r>
      <w:r>
        <w:rPr>
          <w:rFonts w:ascii="Arial" w:cs="Arial" w:eastAsia="Arial" w:hAnsi="Arial"/>
          <w:sz w:val="18"/>
          <w:szCs w:val="18"/>
          <w:color w:val="auto"/>
        </w:rPr>
        <w:t>. Lessee and Lessor acknowledge and agree that the provisions of Section 15.11 of the Participation Agreement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herein.</w:t>
      </w:r>
    </w:p>
    <w:p>
      <w:pPr>
        <w:spacing w:after="0" w:line="170"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i w:val="1"/>
          <w:iCs w:val="1"/>
          <w:color w:val="auto"/>
        </w:rPr>
        <w:t>Section 25.14. Effect of Restatement</w:t>
      </w:r>
      <w:r>
        <w:rPr>
          <w:rFonts w:ascii="Arial" w:cs="Arial" w:eastAsia="Arial" w:hAnsi="Arial"/>
          <w:sz w:val="17"/>
          <w:szCs w:val="17"/>
          <w:color w:val="auto"/>
        </w:rPr>
        <w:t>. On the Restatement Date, the Original Lease will be amended and restated as set forth in this Lease. The parties</w:t>
      </w:r>
      <w:r>
        <w:rPr>
          <w:rFonts w:ascii="Arial" w:cs="Arial" w:eastAsia="Arial" w:hAnsi="Arial"/>
          <w:sz w:val="17"/>
          <w:szCs w:val="17"/>
          <w:i w:val="1"/>
          <w:iCs w:val="1"/>
          <w:color w:val="auto"/>
        </w:rPr>
        <w:t xml:space="preserve"> </w:t>
      </w:r>
      <w:r>
        <w:rPr>
          <w:rFonts w:ascii="Arial" w:cs="Arial" w:eastAsia="Arial" w:hAnsi="Arial"/>
          <w:sz w:val="17"/>
          <w:szCs w:val="17"/>
          <w:color w:val="auto"/>
        </w:rPr>
        <w:t>hereto acknowledge and agree, however, that (a) this Lease and the other Restated Operative Documents do not constitute a novation or termination of the Obligations under and as defined in the Original Lease or under the other Operative Documents as in effect immediately prior to the Restatement Date, (b) such Obligations are in all respects continuing with only the terms being modified as provided in this Lease and the other Restated Operative Documents, (c) the Guaranty, as amended and restated as of the Restatement Date, is in all respects continuing and remains in full force and effect with respect to all Liabilities (as defined therein), (d) the mortgage, liens and security interests in favor of the Lessor securing payment of such Obligations are in all respects continuing and in full force and effect with respect to all Obligations, (e) nothing contained in any Restated Operative Document shall terminate, nullify or otherwise modify the terms or scope of any consent granted to the Lessee prior to the Restatement Date in connection with the Original Lease pursuant to any consent agreement or similar agreement entered into by the Lessee, the Administrative Agent, and the requisite Participants party thereto (including, without limitation, that certain Consent Agreement, dated as of May 2, 2019, among the Lessee, the Administrative Agent and the Participants party thereto), and (f) except to the extent the context requires otherwise, all references in the other Operative Documents to the “Lease” or other reference originally applicable to the Original Lease shall be deemed to refer without further amendment to this Lease, as amended, restated, supplemented or otherwise modified from time to time in accordance with the terms 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ND OF</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63" w:name="page264"/>
    <w:bookmarkEnd w:id="263"/>
    <w:p>
      <w:pPr>
        <w:spacing w:after="0"/>
        <w:rPr>
          <w:sz w:val="20"/>
          <w:szCs w:val="20"/>
          <w:color w:val="auto"/>
        </w:rPr>
      </w:pPr>
      <w:r>
        <w:rPr>
          <w:rFonts w:ascii="Arial" w:cs="Arial" w:eastAsia="Arial" w:hAnsi="Arial"/>
          <w:sz w:val="16"/>
          <w:szCs w:val="16"/>
          <w:color w:val="auto"/>
        </w:rPr>
        <w:t>I</w:t>
      </w:r>
      <w:r>
        <w:rPr>
          <w:rFonts w:ascii="Arial" w:cs="Arial" w:eastAsia="Arial" w:hAnsi="Arial"/>
          <w:sz w:val="11"/>
          <w:szCs w:val="11"/>
          <w:color w:val="auto"/>
        </w:rPr>
        <w:t>N</w:t>
      </w:r>
      <w:r>
        <w:rPr>
          <w:rFonts w:ascii="Arial" w:cs="Arial" w:eastAsia="Arial" w:hAnsi="Arial"/>
          <w:sz w:val="16"/>
          <w:szCs w:val="16"/>
          <w:color w:val="auto"/>
        </w:rPr>
        <w:t xml:space="preserve"> W</w:t>
      </w:r>
      <w:r>
        <w:rPr>
          <w:rFonts w:ascii="Arial" w:cs="Arial" w:eastAsia="Arial" w:hAnsi="Arial"/>
          <w:sz w:val="11"/>
          <w:szCs w:val="11"/>
          <w:color w:val="auto"/>
        </w:rPr>
        <w:t>ITNESS</w:t>
      </w:r>
      <w:r>
        <w:rPr>
          <w:rFonts w:ascii="Arial" w:cs="Arial" w:eastAsia="Arial" w:hAnsi="Arial"/>
          <w:sz w:val="16"/>
          <w:szCs w:val="16"/>
          <w:color w:val="auto"/>
        </w:rPr>
        <w:t xml:space="preserve"> W</w:t>
      </w:r>
      <w:r>
        <w:rPr>
          <w:rFonts w:ascii="Arial" w:cs="Arial" w:eastAsia="Arial" w:hAnsi="Arial"/>
          <w:sz w:val="11"/>
          <w:szCs w:val="11"/>
          <w:color w:val="auto"/>
        </w:rPr>
        <w:t>HEREOF</w:t>
      </w:r>
      <w:r>
        <w:rPr>
          <w:rFonts w:ascii="Arial" w:cs="Arial" w:eastAsia="Arial" w:hAnsi="Arial"/>
          <w:sz w:val="16"/>
          <w:szCs w:val="16"/>
          <w:color w:val="auto"/>
        </w:rPr>
        <w:t>, the parties have caused this Amended and Restated Lease be duly executed and delivered as of the date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 as Lessee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Leonard N. Brooks</w:t>
      </w:r>
    </w:p>
    <w:p>
      <w:pPr>
        <w:spacing w:after="0" w:line="2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Name:</w:t>
        <w:tab/>
        <w:t>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-130810</wp:posOffset>
            </wp:positionV>
            <wp:extent cx="33959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[Signature Page to Amended and Restated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169545</wp:posOffset>
            </wp:positionV>
            <wp:extent cx="724662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380"/>
          </w:cols>
          <w:pgMar w:left="900" w:top="409" w:right="619" w:bottom="1440" w:gutter="0" w:footer="0" w:header="0"/>
        </w:sectPr>
      </w:pPr>
    </w:p>
    <w:bookmarkStart w:id="264" w:name="page265"/>
    <w:bookmarkEnd w:id="264"/>
    <w:p>
      <w:pPr>
        <w:ind w:left="4520"/>
        <w:spacing w:after="0"/>
        <w:rPr>
          <w:sz w:val="20"/>
          <w:szCs w:val="20"/>
          <w:color w:val="auto"/>
        </w:rPr>
      </w:pPr>
      <w:r>
        <w:rPr>
          <w:rFonts w:ascii="Arial" w:cs="Arial" w:eastAsia="Arial" w:hAnsi="Arial"/>
          <w:sz w:val="16"/>
          <w:szCs w:val="16"/>
          <w:color w:val="auto"/>
        </w:rPr>
        <w:t>BA L</w:t>
      </w:r>
      <w:r>
        <w:rPr>
          <w:rFonts w:ascii="Arial" w:cs="Arial" w:eastAsia="Arial" w:hAnsi="Arial"/>
          <w:sz w:val="11"/>
          <w:szCs w:val="11"/>
          <w:color w:val="auto"/>
        </w:rPr>
        <w:t>EASING</w:t>
      </w:r>
      <w:r>
        <w:rPr>
          <w:rFonts w:ascii="Arial" w:cs="Arial" w:eastAsia="Arial" w:hAnsi="Arial"/>
          <w:sz w:val="16"/>
          <w:szCs w:val="16"/>
          <w:color w:val="auto"/>
        </w:rPr>
        <w:t xml:space="preserve"> BSC, LLC, a Delaware limited liability company, as Lessor</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Erin M. Parks</w:t>
      </w:r>
    </w:p>
    <w:p>
      <w:pPr>
        <w:spacing w:after="0" w:line="23" w:lineRule="exact"/>
        <w:rPr>
          <w:sz w:val="20"/>
          <w:szCs w:val="20"/>
          <w:color w:val="auto"/>
        </w:rPr>
      </w:pPr>
    </w:p>
    <w:p>
      <w:pPr>
        <w:ind w:left="4880"/>
        <w:spacing w:after="0"/>
        <w:tabs>
          <w:tab w:leader="none" w:pos="5520" w:val="left"/>
        </w:tabs>
        <w:rPr>
          <w:sz w:val="20"/>
          <w:szCs w:val="20"/>
          <w:color w:val="auto"/>
        </w:rPr>
      </w:pPr>
      <w:r>
        <w:rPr>
          <w:rFonts w:ascii="Arial" w:cs="Arial" w:eastAsia="Arial" w:hAnsi="Arial"/>
          <w:sz w:val="18"/>
          <w:szCs w:val="18"/>
          <w:color w:val="auto"/>
        </w:rPr>
        <w:t>Name:</w:t>
        <w:tab/>
        <w:t>Erin M.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[Signature Page to Amended and Restated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700"/>
          </w:cols>
          <w:pgMar w:left="1440" w:top="409" w:right="759" w:bottom="1440" w:gutter="0" w:footer="0" w:header="0"/>
        </w:sectPr>
      </w:pPr>
    </w:p>
    <w:bookmarkStart w:id="265" w:name="page266"/>
    <w:bookmarkEnd w:id="265"/>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ESCRIPTION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EASED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that certain plot, piece of land, situate, lying and being in the Town of Greenburgh, County of Westchester, and State of New York, being designated as Lot P-2 on a certain map entitled “Final Subdivision Plat prepared for Eastview Holdings LLC of premises located at Old Saw Mill River Road and NYS Route 9A, Town of Greenburgh, Westchester County, New York Scale 1”=100’” prepared by John Meyer Consulting, PC, dated March 23, 2004 and last revised March 13, 2006, and filed on April 8, 2006 in the Office of the County Clerk of the County of Westchester as Filed Map No. 27754, and being more particularly described as: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at a rebar set on the southwesterly right of way line of Old Saw Mill River Road, where said rebar is located South 35°43’37“West, a distance of 101.93 feet from the intersection formed by the dividing line between the lands n/f BMR-LANDMARK AT EASTVIEW (SBL 116.15-1-2.2 in the Town of Mount Pleasant), and other lands of BMR-LANDMARK AT EASTVIEW(SBL 116.15-1-2.1 in the Town of Mount Pleasant), thence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reputed owner Town of Greensburgh</w:t>
      </w:r>
    </w:p>
    <w:p>
      <w:pPr>
        <w:spacing w:after="0" w:line="225" w:lineRule="exact"/>
        <w:rPr>
          <w:sz w:val="20"/>
          <w:szCs w:val="20"/>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South 00°05’33” East a distance of 93.33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18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100.00 feet, turning a central angle of 21°36’34”, for an arc length of 37.72 feet, the chord of said arc bearing South 10°42’49” West for a distance of 37.50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South 21°31’01” West a distance of 81.08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19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98.25 feet, turning a central angle of 17°06’57”, for an arc length of 29.35 feet, the chord of said arc bearing South 12°57’32” West for a distance of 29.24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South 04°24’12” West a distance of 32.56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South 03°48’59” West a distance of 30.15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South 02°34’01” West a distance of 90.30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18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305.09 feet, turning a central angle of 34°07’44”, for an arc length of 181.73 feet, the chord of said arc bearing South 19°37’53” West for a distance of 179.06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Along a reverse curve to the left having a radius of 362.65 feet, turning a central angle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66" w:name="page267"/>
    <w:bookmarkEnd w:id="266"/>
    <w:p>
      <w:pPr>
        <w:spacing w:after="0"/>
        <w:rPr>
          <w:sz w:val="20"/>
          <w:szCs w:val="20"/>
          <w:color w:val="auto"/>
        </w:rPr>
      </w:pPr>
      <w:r>
        <w:rPr>
          <w:rFonts w:ascii="Arial" w:cs="Arial" w:eastAsia="Arial" w:hAnsi="Arial"/>
          <w:sz w:val="17"/>
          <w:szCs w:val="17"/>
          <w:color w:val="auto"/>
        </w:rPr>
        <w:t>33°16’57”, for an arc length of 210.66 feet, the chord of said arc bearing South 20°03’17” West for a distance of 207.71 feet to a rebar set, thence</w:t>
      </w:r>
    </w:p>
    <w:p>
      <w:pPr>
        <w:spacing w:after="0" w:line="237" w:lineRule="exact"/>
        <w:rPr>
          <w:sz w:val="20"/>
          <w:szCs w:val="20"/>
          <w:color w:val="auto"/>
        </w:rPr>
      </w:pPr>
    </w:p>
    <w:p>
      <w:pPr>
        <w:ind w:left="280" w:hanging="272"/>
        <w:spacing w:after="0"/>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South 03°24’29” West a distance of 152.00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6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172.07 feet, turning a central angle of 31°44’41”, for an arc length of 95.33 feet, the chord of said arc bearing South 19°16’50” West for a distance of 94.12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139.47 feet, turning a central angle of 71°37’16”, for an arc length of 174.34 feet, the chord of said arc bearing South 70°57’49” West for a distance of 163.21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North 73°13’58” West a distance of 128.84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South 16°03’11” West a distance of 16.68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North 73°56’49” West a distance of 29.11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27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242.01 feet, turning a central angle of 35°55’48”, for an arc length of 151.76 feet, the chord of said arc bearing South 88°05’17” West for a distance of 149.29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South 70°07’17” West a distance of 92.14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440.98 feet, turning a central angle of 40°10’49”, for an arc length of 309.25 feet, the chord of said arc bearing North 89°47’19” West for a distance of 302.95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South 20°18’00” West a distance of 20.89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North 65°49’54” West a distance of 101.52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1530.00 feet, turning a central angle of 21°27’50”, for an arc length of 573.16 feet, the chord of said arc bearing North 55°05’59” West for a distance of 569.81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400.00 feet, turning a central angle of 37°36’43”, for an arc length of 262.58 feet, the chord of said arc bearing North 25°33’43” West for a distance of 257.89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South 58°03’06” West a distance of 1501.30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North 11°11’33” West a distance of 441.76 feet to a rebar set, thence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67" w:name="page268"/>
    <w:bookmarkEnd w:id="267"/>
    <w:p>
      <w:pPr>
        <w:jc w:val="both"/>
        <w:ind w:left="-8" w:firstLine="8"/>
        <w:spacing w:after="0" w:line="264" w:lineRule="auto"/>
        <w:tabs>
          <w:tab w:leader="none" w:pos="26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Along reputed owner Consolidated Edison Company of New York, Inc North 34°43’49” East a distance of 1146.62 feet to a rebar set, thence Running the following courses and distances along Lot 1 on a map entitled “Final Subdivision Plat Prepared for Eastview Holdings LLC” filed in the Westchester County Clerk’s Office, Division of Land Records on 11/15/2005 as Map No. 27669.</w:t>
      </w:r>
    </w:p>
    <w:p>
      <w:pPr>
        <w:spacing w:after="0" w:line="181"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South 55°16’11” East a distance of 225.33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South 67°59’01” East a distance of 614.61 feet to a rebar set, thence</w:t>
      </w:r>
    </w:p>
    <w:p>
      <w:pPr>
        <w:spacing w:after="0" w:line="225" w:lineRule="exact"/>
        <w:rPr>
          <w:rFonts w:ascii="Arial" w:cs="Arial" w:eastAsia="Arial" w:hAnsi="Arial"/>
          <w:sz w:val="18"/>
          <w:szCs w:val="18"/>
          <w:color w:val="auto"/>
        </w:rPr>
      </w:pPr>
    </w:p>
    <w:p>
      <w:pPr>
        <w:ind w:left="-8" w:right="20" w:firstLine="8"/>
        <w:spacing w:after="0" w:line="277" w:lineRule="auto"/>
        <w:tabs>
          <w:tab w:leader="none" w:pos="26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Along a non-tangent curve to the right having a radius of 1124.93 feet, turning a central angle of 16°12’11”, for an arc length of 318.13 feet, the chord of said arc bearing North 30°03’42” East for a distance of 317.07 feet to a rebar set, thence</w:t>
      </w:r>
    </w:p>
    <w:p>
      <w:pPr>
        <w:spacing w:after="0" w:line="170" w:lineRule="exact"/>
        <w:rPr>
          <w:rFonts w:ascii="Arial" w:cs="Arial" w:eastAsia="Arial" w:hAnsi="Arial"/>
          <w:sz w:val="18"/>
          <w:szCs w:val="18"/>
          <w:color w:val="auto"/>
        </w:rPr>
      </w:pPr>
    </w:p>
    <w:p>
      <w:pPr>
        <w:ind w:left="-8" w:firstLine="8"/>
        <w:spacing w:after="0" w:line="277" w:lineRule="auto"/>
        <w:tabs>
          <w:tab w:leader="none" w:pos="26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450.05 feet, turning a central angle of 10°26’59”, for an arc length of 82.08 feet, the chord of said arc bearing North 43°23’17” East for a distance of 81.97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North 32°22’35” East a distance of 262.04 feet to a rebar set, thence</w:t>
      </w:r>
    </w:p>
    <w:p>
      <w:pPr>
        <w:spacing w:after="0" w:line="225" w:lineRule="exact"/>
        <w:rPr>
          <w:rFonts w:ascii="Arial" w:cs="Arial" w:eastAsia="Arial" w:hAnsi="Arial"/>
          <w:sz w:val="18"/>
          <w:szCs w:val="18"/>
          <w:color w:val="auto"/>
        </w:rPr>
      </w:pPr>
    </w:p>
    <w:p>
      <w:pPr>
        <w:ind w:left="-8" w:right="20" w:firstLine="8"/>
        <w:spacing w:after="0" w:line="277" w:lineRule="auto"/>
        <w:tabs>
          <w:tab w:leader="none" w:pos="27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North 27°10’46” East a distance of 172.97 feet to a rebar set, thence Running the following courses and distances along the southwesterly right of way line of Old Sawmill River Road,</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South 63°22’33” East a distance of 24.28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South 68°16’40” East a distance of 63.98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South 71°57’20” East a distance of 48.14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South 75°31’00” East a distance of 167.65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South 75°03’30” East a distance of 417.19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South 71°58’00” East a distance of 46.04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South 70°36’00” East a distance of 53.02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South 67°40’50” East a distance of 36.36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South 66°14’50” East a distance of 71.78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South 63°42’50” East a distance of 155.58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South 63°47’50” East a distance of 270.49 feet to the rebar set and place of beginning.</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24662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409" w:right="239" w:bottom="1440" w:gutter="0" w:footer="0" w:header="0"/>
        </w:sectPr>
      </w:pPr>
    </w:p>
    <w:bookmarkStart w:id="268" w:name="page269"/>
    <w:bookmarkEnd w:id="268"/>
    <w:p>
      <w:pPr>
        <w:jc w:val="both"/>
        <w:spacing w:after="0" w:line="259"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7.71, Block 6, Lot 1 (Sub Lots 1.1, 1.1A, 1.1B, 1.1C and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that certain plot, piece or parcel of land, situate, lying and being in the Town of Mount Pleasant, County of Westchester and State of New York, being designated as Lot 1 on a certain map entitled “Final Subdivision Plat prepared for Eastview Holdings LLC of premises located at Old Saw Mill River Road and NYS Route 9A Town of Mount Pleasant, Westchester County, New York Scale 1”=100’” prepared by John Meyer Consulting, PC, dated September 27, 2007 in the Office of the Clerk of the County of Westchester as Filed Map No. 28024, being more particularly described as: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Beginning at a rebar set on the northeasterly right of way line of Old Saw Mill River Road, at the intersection formed by the dividing line between the lands n/f BMR-LANDMARK AT EASTVIEW (SBL 116.15-1-2.2), and other lands of BMR-LANDMARK AT EASTVIEW(SBL 116.15-1-2.1),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northeasterly right of way line of Old Saw Mill River Road</w:t>
      </w:r>
    </w:p>
    <w:p>
      <w:pPr>
        <w:spacing w:after="0" w:line="225" w:lineRule="exact"/>
        <w:rPr>
          <w:sz w:val="20"/>
          <w:szCs w:val="20"/>
          <w:color w:val="auto"/>
        </w:rPr>
      </w:pPr>
    </w:p>
    <w:p>
      <w:pPr>
        <w:ind w:left="180" w:hanging="172"/>
        <w:spacing w:after="0"/>
        <w:tabs>
          <w:tab w:leader="none" w:pos="1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North 63°49’10” West a distance of 373.58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North 63°40’40” West a distance of 150.03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North 68°08’00” West a distance of 48.55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North 70°56’30” West a distance of 70.20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North 71°26’30” West a distance of 46.86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North 75°05’50” West a distance of 422.47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North 75°28’40” West a distance of 164.70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North 71°28’40” West a distance of 53.23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North 66°46’40” West a distance of 55.80 feet to a rebar set, thence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69" w:name="page270"/>
    <w:bookmarkEnd w:id="269"/>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60°22’50” West a distance of 64.25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55°46’50” West a distance of 168.67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57°50’10” West a distance of 23.25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55°10’55” West a distance of 315.52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Along the dividing line between Reputed Owner Consolidated Edison and reputed owner BMR-LANDMARK AT EASTVIEW (SBL 116.15-1-2.1) North 41°22’40” East a distance of 117.30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8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88°40’52” East a distance of 368.78 feet to a point in Saw Mill River, thence Running the following courses and distances along the same and following the Saw Mill River</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South 63°24’21” East a distance of 101.76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South 82°58’51” East a distance of 62.51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67°02’49” East a distance of 39.00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40°05’34” East a distance of 35.47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22°26’57” East a distance of 54.23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12°57’05” East a distance of 73.98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46°15’28” East a distance of 50.93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57°39’41” East a distance of 47.17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39°04’03” East a distance of 72.47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21°22’50” East a distance of 121.63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23°17’46” East a distance of 104.78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29°08’32” East a distance of 26.42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53°38’21” East a distance of 27.20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69°06’38” East a distance of 34.18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North 50°34’22” East a distance of 41.23 feet to a point, thence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70" w:name="page271"/>
    <w:bookmarkEnd w:id="270"/>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20°13’22” East a distance of 59.81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28°16’38” East a distance of 37.59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48°06’01” East a distance of 70.84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03°30’01” East a distance of 194.44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17°33’46” East a distance of 100.88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44°40’00” East a distance of 31.11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86°48’15” East a distance of 40.05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49°30’38” East a distance of 41.87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08°08’06” West a distance of 73.68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26°13’54” East a distance of 87.21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19°32’46” West a distance of 69.89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45°20’00” West a distance of 31.11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48°51’07” East a distance of 116.18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21°54’57” East a distance of 47.67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19°25’35” West a distance of 27.51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North 51°40’22” West a distance of 6.14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Along North 41°22’40” East a distance of 1119.15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Along South 73°06’25” East a distance of 37.33 feet to a rebar set, thence</w:t>
      </w:r>
    </w:p>
    <w:p>
      <w:pPr>
        <w:spacing w:after="0" w:line="225" w:lineRule="exact"/>
        <w:rPr>
          <w:rFonts w:ascii="Arial" w:cs="Arial" w:eastAsia="Arial" w:hAnsi="Arial"/>
          <w:sz w:val="18"/>
          <w:szCs w:val="18"/>
          <w:color w:val="auto"/>
        </w:rPr>
      </w:pPr>
    </w:p>
    <w:p>
      <w:pPr>
        <w:ind w:left="-8" w:right="159" w:firstLine="8"/>
        <w:spacing w:after="0" w:line="530" w:lineRule="auto"/>
        <w:tabs>
          <w:tab w:leader="none" w:pos="26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Along the southwesterly right of way line of Saw Mill River Road, South 07°54’30” East a distance of 532.24 feet to a rebar set, thence Running the following courses and distances along other lands of BMR-LANDMARK AT EASTVIEW (SBL 116.15-1-2.2)</w:t>
      </w:r>
    </w:p>
    <w:p>
      <w:pPr>
        <w:ind w:left="272" w:hanging="272"/>
        <w:spacing w:after="0"/>
        <w:tabs>
          <w:tab w:leader="none" w:pos="2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South 82°05’30” West a distance of 53.22 feet to a rebar set, thence</w:t>
      </w:r>
    </w:p>
    <w:p>
      <w:pPr>
        <w:spacing w:after="0" w:line="225" w:lineRule="exact"/>
        <w:rPr>
          <w:sz w:val="20"/>
          <w:szCs w:val="20"/>
          <w:color w:val="auto"/>
        </w:rPr>
      </w:pPr>
    </w:p>
    <w:p>
      <w:pPr>
        <w:jc w:val="center"/>
        <w:ind w:right="-1212"/>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ind w:left="4492"/>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24662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1"/>
          </w:cols>
          <w:pgMar w:left="248" w:top="409" w:right="1440" w:bottom="1440" w:gutter="0" w:footer="0" w:header="0"/>
        </w:sectPr>
      </w:pPr>
    </w:p>
    <w:bookmarkStart w:id="271" w:name="page272"/>
    <w:bookmarkEnd w:id="271"/>
    <w:p>
      <w:pPr>
        <w:ind w:right="20" w:firstLine="8"/>
        <w:spacing w:after="0" w:line="277" w:lineRule="auto"/>
        <w:tabs>
          <w:tab w:leader="none" w:pos="27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120.00 feet, turning a central angle of 66°50’29”, for an arc length of 139.99 feet, the chord of said arc bearing South 48°40’15” West for a distance of 132.19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7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Along a reverse curve to the right having a radius of 480.00 feet, turning a central angle of 21°46’49”, for an arc length of 182.47 feet, the chord of said arc bearing South 26°08’26” West for a distance of 181.37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South 37°01’48” West a distance of 287.70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South 46°17’40” West a distance of 85.62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South 57°32’20” West a distance of 65.29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North 61°07’50” West a distance of 113.60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73.50 feet, turning a central angle of 82°49’02”, for an arc length of 106.24 feet, the chord of said arc bearing South 77°27’39” West for a distance of 97.23 feet to a rebar set, thence</w:t>
      </w:r>
    </w:p>
    <w:p>
      <w:pPr>
        <w:spacing w:after="0" w:line="170" w:lineRule="exact"/>
        <w:rPr>
          <w:rFonts w:ascii="Arial" w:cs="Arial" w:eastAsia="Arial" w:hAnsi="Arial"/>
          <w:sz w:val="18"/>
          <w:szCs w:val="18"/>
          <w:color w:val="auto"/>
        </w:rPr>
      </w:pPr>
    </w:p>
    <w:p>
      <w:pPr>
        <w:ind w:firstLine="8"/>
        <w:spacing w:after="0" w:line="277" w:lineRule="auto"/>
        <w:tabs>
          <w:tab w:leader="none" w:pos="27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Along a compound curve to the left having a radius of 91.00 feet, turning a central angle of 68°00’38”, for an arc length of 108.02 feet, the chord of said arc bearing South 02°02’49” West for a distance of 101.79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South 31°57’30” East a distance of 305.66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South 30°02’00” West a distance of 347.72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South 60°12’00” East a distance of 333.26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500.00 feet, turning a central angle of 21°06’38”, for an arc length of 184.22 feet, the chord of said arc bearing South 49°38’41” East for a distance of 183.18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South 39°05’22” East a distance of 174.39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27°24’26”, for an arc length of 76.54 feet, the chord of said arc bearing South 25°23’09” East for a distance of 75.81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South 11°40’56” East a distance of 147.46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26°20’55”, for an arc length of 73.58 feet, the chord of said arc bearing South 01°29’32” West for a distance of 72.93 feet to a rebar set, thence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72" w:name="page273"/>
    <w:bookmarkEnd w:id="272"/>
    <w:p>
      <w:pPr>
        <w:ind w:left="280" w:hanging="272"/>
        <w:spacing w:after="0"/>
        <w:tabs>
          <w:tab w:leader="none" w:pos="2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South 14°40’00” West a distance of 417.48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15°51’47”, for an arc length of 44.30 feet, the chord of said arc bearing South 22°35’53” West for a distance of 44.16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South 30°21’46” West a distance of 251.53 feet to the place of beginning.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116.15, Block 1, Lot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PARCEL A:</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Lot 2 on a certain map entitled “Final Subdivision Plat prepared for Eastview Holdings LLC of premises located at Old Saw Mill River Road and NYS Route 9A Town of Mount Pleasant Westchester County, New York Scale 1”=100’” prepared by John Meyer Consulting, PC, dated September 5, 2007 and last revised September 18, 2007 and filed September 27, 2007 in the Office of the Clerk of the County of Westchester as Filed Map No. 28024.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Excepting therefrom the following tract of land: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PARCEL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74" w:name="page275"/>
    <w:bookmarkEnd w:id="274"/>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still through the aforesaid Tax Lot 2, North 82 degrees 05 minutes 30 seconds East 53.22 feet to the aforesaid west side of Saw Mill River Road, said point being South 07 degrees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75" w:name="page276"/>
    <w:bookmarkEnd w:id="275"/>
    <w:p>
      <w:pPr>
        <w:jc w:val="both"/>
        <w:ind w:right="20"/>
        <w:spacing w:after="0" w:line="277" w:lineRule="auto"/>
        <w:rPr>
          <w:sz w:val="20"/>
          <w:szCs w:val="20"/>
          <w:color w:val="auto"/>
        </w:rPr>
      </w:pPr>
      <w:r>
        <w:rPr>
          <w:rFonts w:ascii="Arial" w:cs="Arial" w:eastAsia="Arial" w:hAnsi="Arial"/>
          <w:sz w:val="18"/>
          <w:szCs w:val="18"/>
          <w:color w:val="auto"/>
        </w:rPr>
        <w:t>54 minutes 30 seconds East 532.24 feet measured along said West side of the Saw Mill River Road from the division line between lands now or formerly of Consolidated Edison Company of New York, Inc. and the aforesaid Tax Lot 2;</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IV:</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Lots 5 and 6 of the Tax Records of the Town of Mount Pleasant and as more particularly described as follows: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at the intersection of the Northerly boundary line of Saw Mill River Road (State Highway No. 52), also known as Route 9A, as widened, with the Northerly boundary line of Grasslands Road;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THENCE along said Northerly boundary line of Grasslands Road South 86 degrees 43 minutes 47 seconds, West 34.19 feet to a point of curvature;</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Westerly along a 225.00 foot radius curve deflecting to the right through a central angle of 47 degrees 34 minutes 53 seconds, an arc distance of 185.81 feet to a point on the Easterly boundary line of Old Saw Mill River Road;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Northerly along the Easterly boundary line of Old Saw Mill River Road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23 degrees 24 minutes 20 seconds West 18.96 feet;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 33 degrees 37 minutes 30 seconds West 33.32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30 degrees 41 minutes 10 seconds West 79.50 feet to a point;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THENCE Northerly on a course connecting the Easterly boundary line of Old Saw Mill River Road with the Southerly boundary line of a ramp connecting Old Saw Mill River Road with Saw Mill River Road, North 31 degrees 19 minutes 17 seconds East 52.17 feet to the intersection of a 185 foot radius curve, to which intersection a radial line bears South 05 degrees 46 minutes 57 seconds West;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Easterly along said Southerly boundary line of the ramp along said 185.00 foot radius curve deflecting to the left through a central angle of 53 degrees 28 minutes 04 seconds, an arc distance of 172.64 feet;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76" w:name="page277"/>
    <w:bookmarkEnd w:id="276"/>
    <w:p>
      <w:pPr>
        <w:ind w:right="20"/>
        <w:spacing w:after="0" w:line="277" w:lineRule="auto"/>
        <w:rPr>
          <w:sz w:val="20"/>
          <w:szCs w:val="20"/>
          <w:color w:val="auto"/>
        </w:rPr>
      </w:pPr>
      <w:r>
        <w:rPr>
          <w:rFonts w:ascii="Arial" w:cs="Arial" w:eastAsia="Arial" w:hAnsi="Arial"/>
          <w:sz w:val="18"/>
          <w:szCs w:val="18"/>
          <w:color w:val="auto"/>
        </w:rPr>
        <w:t>THENCE continuing along said Southerly boundary line of the ramp North 42 degrees 18 minutes 53 seconds East 80.44 feet to a point on the aforesaid Westerly boundary line of the Saw Mill River Road;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Southerly along said Westerly boundary line of the Saw Mill River Road, South 05 degrees 38 minutes 30 seconds East 277.85 feet and South 06 degrees 07 minutes 00 seconds East 62.61 feet to the point or place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Lots 5 &amp;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property has street addresses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735 Old Saw Mill River Road (Building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Old Saw Mill River Road (Building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755 Old Saw Mill River Road (Building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763 Old Saw Mill River Road (Power Station);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765 &amp; 777 Old Saw Mill River Road (Buildings 1, 3 and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767 Old Saw Mill River Road (Building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769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771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785 Old Saw Mill River Road (Building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795 Old Saw Mill River Road (Building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799 Old Saw Mill River Road (Parking Garage);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in Tarrytown, New York 10591;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Saw Mill River Road (Home Depot), Hawthorne, New York 10532.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EMORANDUM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EASE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EE ATTACHED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78" w:name="page279"/>
    <w:bookmarkEnd w:id="278"/>
    <w:p>
      <w:pPr>
        <w:ind w:left="10080"/>
        <w:spacing w:after="0"/>
        <w:rPr>
          <w:sz w:val="20"/>
          <w:szCs w:val="20"/>
          <w:color w:val="auto"/>
        </w:rPr>
      </w:pPr>
      <w:r>
        <w:rPr>
          <w:rFonts w:ascii="Arial" w:cs="Arial" w:eastAsia="Arial" w:hAnsi="Arial"/>
          <w:sz w:val="17"/>
          <w:szCs w:val="17"/>
          <w:color w:val="auto"/>
        </w:rPr>
        <w:t>E</w:t>
      </w:r>
      <w:r>
        <w:rPr>
          <w:rFonts w:ascii="Arial" w:cs="Arial" w:eastAsia="Arial" w:hAnsi="Arial"/>
          <w:sz w:val="11"/>
          <w:szCs w:val="11"/>
          <w:color w:val="auto"/>
        </w:rPr>
        <w:t>XECUTION</w:t>
      </w:r>
      <w:r>
        <w:rPr>
          <w:rFonts w:ascii="Arial" w:cs="Arial" w:eastAsia="Arial" w:hAnsi="Arial"/>
          <w:sz w:val="17"/>
          <w:szCs w:val="17"/>
          <w:color w:val="auto"/>
        </w:rPr>
        <w:t xml:space="preserve"> V</w:t>
      </w:r>
      <w:r>
        <w:rPr>
          <w:rFonts w:ascii="Arial" w:cs="Arial" w:eastAsia="Arial" w:hAnsi="Arial"/>
          <w:sz w:val="11"/>
          <w:szCs w:val="11"/>
          <w:color w:val="auto"/>
        </w:rPr>
        <w:t>ERSION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instrument prepared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when recorded return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Philip M. Edison,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Chapman and Cutler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 West Monroe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EMORANDUM OF</w:t>
      </w:r>
      <w:r>
        <w:rPr>
          <w:rFonts w:ascii="Arial" w:cs="Arial" w:eastAsia="Arial" w:hAnsi="Arial"/>
          <w:sz w:val="18"/>
          <w:szCs w:val="18"/>
          <w:color w:val="auto"/>
        </w:rPr>
        <w:t xml:space="preserve"> L</w:t>
      </w:r>
      <w:r>
        <w:rPr>
          <w:rFonts w:ascii="Arial" w:cs="Arial" w:eastAsia="Arial" w:hAnsi="Arial"/>
          <w:sz w:val="12"/>
          <w:szCs w:val="12"/>
          <w:color w:val="auto"/>
        </w:rPr>
        <w:t>EASE AND</w:t>
      </w:r>
      <w:r>
        <w:rPr>
          <w:rFonts w:ascii="Arial" w:cs="Arial" w:eastAsia="Arial" w:hAnsi="Arial"/>
          <w:sz w:val="18"/>
          <w:szCs w:val="18"/>
          <w:color w:val="auto"/>
        </w:rPr>
        <w:t xml:space="preserve"> R</w:t>
      </w:r>
      <w:r>
        <w:rPr>
          <w:rFonts w:ascii="Arial" w:cs="Arial" w:eastAsia="Arial" w:hAnsi="Arial"/>
          <w:sz w:val="12"/>
          <w:szCs w:val="12"/>
          <w:color w:val="auto"/>
        </w:rPr>
        <w:t>EMEDIES</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3,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L</w:t>
      </w:r>
      <w:r>
        <w:rPr>
          <w:rFonts w:ascii="Arial" w:cs="Arial" w:eastAsia="Arial" w:hAnsi="Arial"/>
          <w:sz w:val="12"/>
          <w:szCs w:val="12"/>
          <w:i w:val="1"/>
          <w:iCs w:val="1"/>
          <w:color w:val="auto"/>
        </w:rPr>
        <w:t>ESSEE</w:t>
      </w:r>
      <w:r>
        <w:rPr>
          <w:rFonts w:ascii="Arial" w:cs="Arial" w:eastAsia="Arial" w:hAnsi="Arial"/>
          <w:sz w:val="18"/>
          <w:szCs w:val="18"/>
          <w:color w:val="auto"/>
        </w:rPr>
        <w: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AND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L</w:t>
      </w:r>
      <w:r>
        <w:rPr>
          <w:rFonts w:ascii="Arial" w:cs="Arial" w:eastAsia="Arial" w:hAnsi="Arial"/>
          <w:sz w:val="12"/>
          <w:szCs w:val="12"/>
          <w:i w:val="1"/>
          <w:iCs w:val="1"/>
          <w:color w:val="auto"/>
        </w:rPr>
        <w:t>ESSOR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L</w:t>
      </w:r>
      <w:r>
        <w:rPr>
          <w:rFonts w:ascii="Arial" w:cs="Arial" w:eastAsia="Arial" w:hAnsi="Arial"/>
          <w:sz w:val="12"/>
          <w:szCs w:val="12"/>
          <w:color w:val="auto"/>
        </w:rPr>
        <w:t>EASE AND</w:t>
      </w:r>
      <w:r>
        <w:rPr>
          <w:rFonts w:ascii="Arial" w:cs="Arial" w:eastAsia="Arial" w:hAnsi="Arial"/>
          <w:sz w:val="18"/>
          <w:szCs w:val="18"/>
          <w:color w:val="auto"/>
        </w:rPr>
        <w:t xml:space="preserve"> R</w:t>
      </w:r>
      <w:r>
        <w:rPr>
          <w:rFonts w:ascii="Arial" w:cs="Arial" w:eastAsia="Arial" w:hAnsi="Arial"/>
          <w:sz w:val="12"/>
          <w:szCs w:val="12"/>
          <w:color w:val="auto"/>
        </w:rPr>
        <w:t>EMEDIES</w:t>
      </w:r>
      <w:r>
        <w:rPr>
          <w:rFonts w:ascii="Arial" w:cs="Arial" w:eastAsia="Arial" w:hAnsi="Arial"/>
          <w:sz w:val="18"/>
          <w:szCs w:val="18"/>
          <w:color w:val="auto"/>
        </w:rPr>
        <w:t xml:space="preserve"> A</w:t>
      </w:r>
      <w:r>
        <w:rPr>
          <w:rFonts w:ascii="Arial" w:cs="Arial" w:eastAsia="Arial" w:hAnsi="Arial"/>
          <w:sz w:val="12"/>
          <w:szCs w:val="12"/>
          <w:color w:val="auto"/>
        </w:rPr>
        <w:t>GREEMENT DATED AS OF</w:t>
      </w:r>
      <w:r>
        <w:rPr>
          <w:rFonts w:ascii="Arial" w:cs="Arial" w:eastAsia="Arial" w:hAnsi="Arial"/>
          <w:sz w:val="18"/>
          <w:szCs w:val="18"/>
          <w:color w:val="auto"/>
        </w:rPr>
        <w:t xml:space="preserve"> M</w:t>
      </w:r>
      <w:r>
        <w:rPr>
          <w:rFonts w:ascii="Arial" w:cs="Arial" w:eastAsia="Arial" w:hAnsi="Arial"/>
          <w:sz w:val="12"/>
          <w:szCs w:val="12"/>
          <w:color w:val="auto"/>
        </w:rPr>
        <w:t>ARCH</w:t>
      </w:r>
      <w:r>
        <w:rPr>
          <w:rFonts w:ascii="Arial" w:cs="Arial" w:eastAsia="Arial" w:hAnsi="Arial"/>
          <w:sz w:val="18"/>
          <w:szCs w:val="18"/>
          <w:color w:val="auto"/>
        </w:rPr>
        <w:t xml:space="preserve"> 3, 2017 </w:t>
      </w:r>
      <w:r>
        <w:rPr>
          <w:rFonts w:ascii="Arial" w:cs="Arial" w:eastAsia="Arial" w:hAnsi="Arial"/>
          <w:sz w:val="12"/>
          <w:szCs w:val="12"/>
          <w:color w:val="auto"/>
        </w:rPr>
        <w:t>BETWEEN</w:t>
      </w:r>
      <w:r>
        <w:rPr>
          <w:rFonts w:ascii="Arial" w:cs="Arial" w:eastAsia="Arial" w:hAnsi="Arial"/>
          <w:sz w:val="18"/>
          <w:szCs w:val="18"/>
          <w:color w:val="auto"/>
        </w:rPr>
        <w:t xml:space="preserve"> L</w:t>
      </w:r>
      <w:r>
        <w:rPr>
          <w:rFonts w:ascii="Arial" w:cs="Arial" w:eastAsia="Arial" w:hAnsi="Arial"/>
          <w:sz w:val="12"/>
          <w:szCs w:val="12"/>
          <w:color w:val="auto"/>
        </w:rPr>
        <w:t>ESSEE AND</w:t>
      </w:r>
      <w:r>
        <w:rPr>
          <w:rFonts w:ascii="Arial" w:cs="Arial" w:eastAsia="Arial" w:hAnsi="Arial"/>
          <w:sz w:val="18"/>
          <w:szCs w:val="18"/>
          <w:color w:val="auto"/>
        </w:rPr>
        <w:t xml:space="preserve"> L</w:t>
      </w:r>
      <w:r>
        <w:rPr>
          <w:rFonts w:ascii="Arial" w:cs="Arial" w:eastAsia="Arial" w:hAnsi="Arial"/>
          <w:sz w:val="12"/>
          <w:szCs w:val="12"/>
          <w:color w:val="auto"/>
        </w:rPr>
        <w:t>ESSOR COVERS GOODS WHICH ARE OR ARE TO BECOME FIXTURES RELATED</w:t>
      </w:r>
      <w:r>
        <w:rPr>
          <w:rFonts w:ascii="Arial" w:cs="Arial" w:eastAsia="Arial" w:hAnsi="Arial"/>
          <w:sz w:val="18"/>
          <w:szCs w:val="18"/>
          <w:color w:val="auto"/>
        </w:rPr>
        <w:t xml:space="preserve"> </w:t>
      </w:r>
      <w:r>
        <w:rPr>
          <w:rFonts w:ascii="Arial" w:cs="Arial" w:eastAsia="Arial" w:hAnsi="Arial"/>
          <w:sz w:val="12"/>
          <w:szCs w:val="12"/>
          <w:color w:val="auto"/>
        </w:rPr>
        <w:t>TO THE REAL ESTATE DESCRIBED HEREIN AND IS TO BE FILED AGAINST THE TRACT INDEX IN THE REAL PROPERTY RECORDS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 NAMES OF</w:t>
      </w:r>
      <w:r>
        <w:rPr>
          <w:rFonts w:ascii="Arial" w:cs="Arial" w:eastAsia="Arial" w:hAnsi="Arial"/>
          <w:sz w:val="18"/>
          <w:szCs w:val="18"/>
          <w:color w:val="auto"/>
        </w:rPr>
        <w:t xml:space="preserve"> L</w:t>
      </w:r>
      <w:r>
        <w:rPr>
          <w:rFonts w:ascii="Arial" w:cs="Arial" w:eastAsia="Arial" w:hAnsi="Arial"/>
          <w:sz w:val="12"/>
          <w:szCs w:val="12"/>
          <w:color w:val="auto"/>
        </w:rPr>
        <w:t>ESSEE</w:t>
      </w:r>
      <w:r>
        <w:rPr>
          <w:rFonts w:ascii="Arial" w:cs="Arial" w:eastAsia="Arial" w:hAnsi="Arial"/>
          <w:sz w:val="18"/>
          <w:szCs w:val="18"/>
          <w:color w:val="auto"/>
        </w:rPr>
        <w:t xml:space="preserve">, </w:t>
      </w:r>
      <w:r>
        <w:rPr>
          <w:rFonts w:ascii="Arial" w:cs="Arial" w:eastAsia="Arial" w:hAnsi="Arial"/>
          <w:sz w:val="12"/>
          <w:szCs w:val="12"/>
          <w:color w:val="auto"/>
        </w:rPr>
        <w:t>AS THE</w:t>
      </w:r>
      <w:r>
        <w:rPr>
          <w:rFonts w:ascii="Arial" w:cs="Arial" w:eastAsia="Arial" w:hAnsi="Arial"/>
          <w:sz w:val="18"/>
          <w:szCs w:val="18"/>
          <w:color w:val="auto"/>
        </w:rPr>
        <w:t xml:space="preserve"> D</w:t>
      </w:r>
      <w:r>
        <w:rPr>
          <w:rFonts w:ascii="Arial" w:cs="Arial" w:eastAsia="Arial" w:hAnsi="Arial"/>
          <w:sz w:val="12"/>
          <w:szCs w:val="12"/>
          <w:color w:val="auto"/>
        </w:rPr>
        <w:t>EBTOR</w:t>
      </w:r>
      <w:r>
        <w:rPr>
          <w:rFonts w:ascii="Arial" w:cs="Arial" w:eastAsia="Arial" w:hAnsi="Arial"/>
          <w:sz w:val="18"/>
          <w:szCs w:val="18"/>
          <w:color w:val="auto"/>
        </w:rPr>
        <w:t xml:space="preserve">, </w:t>
      </w:r>
      <w:r>
        <w:rPr>
          <w:rFonts w:ascii="Arial" w:cs="Arial" w:eastAsia="Arial" w:hAnsi="Arial"/>
          <w:sz w:val="12"/>
          <w:szCs w:val="12"/>
          <w:color w:val="auto"/>
        </w:rPr>
        <w:t>AND</w:t>
      </w:r>
      <w:r>
        <w:rPr>
          <w:rFonts w:ascii="Arial" w:cs="Arial" w:eastAsia="Arial" w:hAnsi="Arial"/>
          <w:sz w:val="18"/>
          <w:szCs w:val="18"/>
          <w:color w:val="auto"/>
        </w:rPr>
        <w:t xml:space="preserve"> L</w:t>
      </w:r>
      <w:r>
        <w:rPr>
          <w:rFonts w:ascii="Arial" w:cs="Arial" w:eastAsia="Arial" w:hAnsi="Arial"/>
          <w:sz w:val="12"/>
          <w:szCs w:val="12"/>
          <w:color w:val="auto"/>
        </w:rPr>
        <w:t>ESSOR</w:t>
      </w:r>
      <w:r>
        <w:rPr>
          <w:rFonts w:ascii="Arial" w:cs="Arial" w:eastAsia="Arial" w:hAnsi="Arial"/>
          <w:sz w:val="18"/>
          <w:szCs w:val="18"/>
          <w:color w:val="auto"/>
        </w:rPr>
        <w:t xml:space="preserve">, </w:t>
      </w:r>
      <w:r>
        <w:rPr>
          <w:rFonts w:ascii="Arial" w:cs="Arial" w:eastAsia="Arial" w:hAnsi="Arial"/>
          <w:sz w:val="12"/>
          <w:szCs w:val="12"/>
          <w:color w:val="auto"/>
        </w:rPr>
        <w:t>AS THE SECURED PARTY</w:t>
      </w:r>
      <w:r>
        <w:rPr>
          <w:rFonts w:ascii="Arial" w:cs="Arial" w:eastAsia="Arial" w:hAnsi="Arial"/>
          <w:sz w:val="18"/>
          <w:szCs w:val="18"/>
          <w:color w:val="auto"/>
        </w:rPr>
        <w:t xml:space="preserve">, </w:t>
      </w:r>
      <w:r>
        <w:rPr>
          <w:rFonts w:ascii="Arial" w:cs="Arial" w:eastAsia="Arial" w:hAnsi="Arial"/>
          <w:sz w:val="12"/>
          <w:szCs w:val="12"/>
          <w:color w:val="auto"/>
        </w:rPr>
        <w:t>THE MAILING ADDRESS OF THE SECURED PARTY FROM WHICH INFORMATION CONCERNING</w:t>
      </w:r>
      <w:r>
        <w:rPr>
          <w:rFonts w:ascii="Arial" w:cs="Arial" w:eastAsia="Arial" w:hAnsi="Arial"/>
          <w:sz w:val="18"/>
          <w:szCs w:val="18"/>
          <w:color w:val="auto"/>
        </w:rPr>
        <w:t xml:space="preserve"> </w:t>
      </w:r>
      <w:r>
        <w:rPr>
          <w:rFonts w:ascii="Arial" w:cs="Arial" w:eastAsia="Arial" w:hAnsi="Arial"/>
          <w:sz w:val="12"/>
          <w:szCs w:val="12"/>
          <w:color w:val="auto"/>
        </w:rPr>
        <w:t>THE SECURITY INTEREST MAY BE OBTAINED</w:t>
      </w:r>
      <w:r>
        <w:rPr>
          <w:rFonts w:ascii="Arial" w:cs="Arial" w:eastAsia="Arial" w:hAnsi="Arial"/>
          <w:sz w:val="18"/>
          <w:szCs w:val="18"/>
          <w:color w:val="auto"/>
        </w:rPr>
        <w:t>,</w:t>
      </w:r>
      <w:r>
        <w:rPr>
          <w:rFonts w:ascii="Arial" w:cs="Arial" w:eastAsia="Arial" w:hAnsi="Arial"/>
          <w:sz w:val="12"/>
          <w:szCs w:val="12"/>
          <w:color w:val="auto"/>
        </w:rPr>
        <w:t xml:space="preserve"> THE MAILING ADDRESS OF THE DEBTOR AND A STATEMENT INDICATING THE TYPES</w:t>
      </w:r>
      <w:r>
        <w:rPr>
          <w:rFonts w:ascii="Arial" w:cs="Arial" w:eastAsia="Arial" w:hAnsi="Arial"/>
          <w:sz w:val="18"/>
          <w:szCs w:val="18"/>
          <w:color w:val="auto"/>
        </w:rPr>
        <w:t>,</w:t>
      </w:r>
      <w:r>
        <w:rPr>
          <w:rFonts w:ascii="Arial" w:cs="Arial" w:eastAsia="Arial" w:hAnsi="Arial"/>
          <w:sz w:val="12"/>
          <w:szCs w:val="12"/>
          <w:color w:val="auto"/>
        </w:rPr>
        <w:t xml:space="preserve"> OR DESCRIBING THE ITEMS OF COLLATERAL ARE AS DESCRIBED HEREIN</w:t>
      </w:r>
      <w:r>
        <w:rPr>
          <w:rFonts w:ascii="Arial" w:cs="Arial" w:eastAsia="Arial" w:hAnsi="Arial"/>
          <w:sz w:val="18"/>
          <w:szCs w:val="18"/>
          <w:color w:val="auto"/>
        </w:rPr>
        <w:t>,</w:t>
      </w:r>
      <w:r>
        <w:rPr>
          <w:rFonts w:ascii="Arial" w:cs="Arial" w:eastAsia="Arial" w:hAnsi="Arial"/>
          <w:sz w:val="12"/>
          <w:szCs w:val="12"/>
          <w:color w:val="auto"/>
        </w:rPr>
        <w:t xml:space="preserve"> IN COMPLIANCE WITH THE REQUIREMENTS OF </w:t>
      </w:r>
      <w:r>
        <w:rPr>
          <w:rFonts w:ascii="Arial" w:cs="Arial" w:eastAsia="Arial" w:hAnsi="Arial"/>
          <w:sz w:val="18"/>
          <w:szCs w:val="18"/>
          <w:color w:val="auto"/>
        </w:rPr>
        <w:t>S</w:t>
      </w:r>
      <w:r>
        <w:rPr>
          <w:rFonts w:ascii="Arial" w:cs="Arial" w:eastAsia="Arial" w:hAnsi="Arial"/>
          <w:sz w:val="12"/>
          <w:szCs w:val="12"/>
          <w:color w:val="auto"/>
        </w:rPr>
        <w:t xml:space="preserve">ECTION </w:t>
      </w:r>
      <w:r>
        <w:rPr>
          <w:rFonts w:ascii="Arial" w:cs="Arial" w:eastAsia="Arial" w:hAnsi="Arial"/>
          <w:sz w:val="18"/>
          <w:szCs w:val="18"/>
          <w:color w:val="auto"/>
        </w:rPr>
        <w:t>9-502</w:t>
      </w:r>
      <w:r>
        <w:rPr>
          <w:rFonts w:ascii="Arial" w:cs="Arial" w:eastAsia="Arial" w:hAnsi="Arial"/>
          <w:sz w:val="12"/>
          <w:szCs w:val="12"/>
          <w:color w:val="auto"/>
        </w:rPr>
        <w:t xml:space="preserve"> OF THE </w:t>
      </w:r>
      <w:r>
        <w:rPr>
          <w:rFonts w:ascii="Arial" w:cs="Arial" w:eastAsia="Arial" w:hAnsi="Arial"/>
          <w:sz w:val="18"/>
          <w:szCs w:val="18"/>
          <w:color w:val="auto"/>
        </w:rPr>
        <w:t>U</w:t>
      </w:r>
      <w:r>
        <w:rPr>
          <w:rFonts w:ascii="Arial" w:cs="Arial" w:eastAsia="Arial" w:hAnsi="Arial"/>
          <w:sz w:val="12"/>
          <w:szCs w:val="12"/>
          <w:color w:val="auto"/>
        </w:rPr>
        <w:t xml:space="preserve">NIFORM </w:t>
      </w:r>
      <w:r>
        <w:rPr>
          <w:rFonts w:ascii="Arial" w:cs="Arial" w:eastAsia="Arial" w:hAnsi="Arial"/>
          <w:sz w:val="18"/>
          <w:szCs w:val="18"/>
          <w:color w:val="auto"/>
        </w:rPr>
        <w:t>C</w:t>
      </w:r>
      <w:r>
        <w:rPr>
          <w:rFonts w:ascii="Arial" w:cs="Arial" w:eastAsia="Arial" w:hAnsi="Arial"/>
          <w:sz w:val="12"/>
          <w:szCs w:val="12"/>
          <w:color w:val="auto"/>
        </w:rPr>
        <w:t xml:space="preserve">OMMERCIAL </w:t>
      </w:r>
      <w:r>
        <w:rPr>
          <w:rFonts w:ascii="Arial" w:cs="Arial" w:eastAsia="Arial" w:hAnsi="Arial"/>
          <w:sz w:val="18"/>
          <w:szCs w:val="18"/>
          <w:color w:val="auto"/>
        </w:rPr>
        <w:t>C</w:t>
      </w:r>
      <w:r>
        <w:rPr>
          <w:rFonts w:ascii="Arial" w:cs="Arial" w:eastAsia="Arial" w:hAnsi="Arial"/>
          <w:sz w:val="12"/>
          <w:szCs w:val="12"/>
          <w:color w:val="auto"/>
        </w:rPr>
        <w:t xml:space="preserve">ODE OF THE </w:t>
      </w:r>
      <w:r>
        <w:rPr>
          <w:rFonts w:ascii="Arial" w:cs="Arial" w:eastAsia="Arial" w:hAnsi="Arial"/>
          <w:sz w:val="18"/>
          <w:szCs w:val="18"/>
          <w:color w:val="auto"/>
        </w:rPr>
        <w:t>S</w:t>
      </w:r>
      <w:r>
        <w:rPr>
          <w:rFonts w:ascii="Arial" w:cs="Arial" w:eastAsia="Arial" w:hAnsi="Arial"/>
          <w:sz w:val="12"/>
          <w:szCs w:val="12"/>
          <w:color w:val="auto"/>
        </w:rPr>
        <w:t xml:space="preserve">TATE OF </w:t>
      </w:r>
      <w:r>
        <w:rPr>
          <w:rFonts w:ascii="Arial" w:cs="Arial" w:eastAsia="Arial" w:hAnsi="Arial"/>
          <w:sz w:val="18"/>
          <w:szCs w:val="18"/>
          <w:color w:val="auto"/>
        </w:rPr>
        <w:t>N</w:t>
      </w:r>
      <w:r>
        <w:rPr>
          <w:rFonts w:ascii="Arial" w:cs="Arial" w:eastAsia="Arial" w:hAnsi="Arial"/>
          <w:sz w:val="12"/>
          <w:szCs w:val="12"/>
          <w:color w:val="auto"/>
        </w:rPr>
        <w:t xml:space="preserve">EW </w:t>
      </w:r>
      <w:r>
        <w:rPr>
          <w:rFonts w:ascii="Arial" w:cs="Arial" w:eastAsia="Arial" w:hAnsi="Arial"/>
          <w:sz w:val="18"/>
          <w:szCs w:val="18"/>
          <w:color w:val="auto"/>
        </w:rPr>
        <w:t>Y</w:t>
      </w:r>
      <w:r>
        <w:rPr>
          <w:rFonts w:ascii="Arial" w:cs="Arial" w:eastAsia="Arial" w:hAnsi="Arial"/>
          <w:sz w:val="12"/>
          <w:szCs w:val="12"/>
          <w:color w:val="auto"/>
        </w:rPr>
        <w:t>ORK</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79" w:name="page280"/>
    <w:bookmarkEnd w:id="279"/>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600" w:type="dxa"/>
            <w:vAlign w:val="bottom"/>
          </w:tcPr>
          <w:p>
            <w:pPr>
              <w:spacing w:after="0"/>
              <w:rPr>
                <w:sz w:val="20"/>
                <w:szCs w:val="20"/>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3420" w:type="dxa"/>
            <w:vAlign w:val="bottom"/>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w:t>
            </w:r>
          </w:p>
        </w:tc>
        <w:tc>
          <w:tcPr>
            <w:tcW w:w="60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r>
              <w:rPr>
                <w:rFonts w:ascii="Arial" w:cs="Arial" w:eastAsia="Arial" w:hAnsi="Arial"/>
                <w:sz w:val="18"/>
                <w:szCs w:val="18"/>
                <w:color w:val="auto"/>
              </w:rPr>
              <w:t>; I</w:t>
            </w:r>
            <w:r>
              <w:rPr>
                <w:rFonts w:ascii="Arial" w:cs="Arial" w:eastAsia="Arial" w:hAnsi="Arial"/>
                <w:sz w:val="12"/>
                <w:szCs w:val="12"/>
                <w:color w:val="auto"/>
              </w:rPr>
              <w:t>NTERPRETATION</w:t>
            </w:r>
            <w:r>
              <w:rPr>
                <w:rFonts w:ascii="Arial" w:cs="Arial" w:eastAsia="Arial" w:hAnsi="Arial"/>
                <w:sz w:val="18"/>
                <w:szCs w:val="18"/>
                <w:color w:val="auto"/>
              </w:rPr>
              <w:t>; F</w:t>
            </w:r>
            <w:r>
              <w:rPr>
                <w:rFonts w:ascii="Arial" w:cs="Arial" w:eastAsia="Arial" w:hAnsi="Arial"/>
                <w:sz w:val="12"/>
                <w:szCs w:val="12"/>
                <w:color w:val="auto"/>
              </w:rPr>
              <w:t>ULL</w:t>
            </w:r>
            <w:r>
              <w:rPr>
                <w:rFonts w:ascii="Arial" w:cs="Arial" w:eastAsia="Arial" w:hAnsi="Arial"/>
                <w:sz w:val="18"/>
                <w:szCs w:val="18"/>
                <w:color w:val="auto"/>
              </w:rPr>
              <w:t xml:space="preserve"> R</w:t>
            </w:r>
            <w:r>
              <w:rPr>
                <w:rFonts w:ascii="Arial" w:cs="Arial" w:eastAsia="Arial" w:hAnsi="Arial"/>
                <w:sz w:val="12"/>
                <w:szCs w:val="12"/>
                <w:color w:val="auto"/>
              </w:rPr>
              <w:t>ECOURSE</w:t>
            </w:r>
          </w:p>
        </w:tc>
        <w:tc>
          <w:tcPr>
            <w:tcW w:w="3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w:t>
            </w:r>
          </w:p>
        </w:tc>
        <w:tc>
          <w:tcPr>
            <w:tcW w:w="60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EASE</w:t>
            </w:r>
            <w:r>
              <w:rPr>
                <w:rFonts w:ascii="Arial" w:cs="Arial" w:eastAsia="Arial" w:hAnsi="Arial"/>
                <w:sz w:val="18"/>
                <w:szCs w:val="18"/>
                <w:color w:val="auto"/>
              </w:rPr>
              <w:t xml:space="preserve"> T</w:t>
            </w:r>
            <w:r>
              <w:rPr>
                <w:rFonts w:ascii="Arial" w:cs="Arial" w:eastAsia="Arial" w:hAnsi="Arial"/>
                <w:sz w:val="12"/>
                <w:szCs w:val="12"/>
                <w:color w:val="auto"/>
              </w:rPr>
              <w:t>ERM</w:t>
            </w:r>
          </w:p>
        </w:tc>
        <w:tc>
          <w:tcPr>
            <w:tcW w:w="3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w:t>
            </w:r>
          </w:p>
        </w:tc>
        <w:tc>
          <w:tcPr>
            <w:tcW w:w="60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URCHASE</w:t>
            </w:r>
            <w:r>
              <w:rPr>
                <w:rFonts w:ascii="Arial" w:cs="Arial" w:eastAsia="Arial" w:hAnsi="Arial"/>
                <w:sz w:val="18"/>
                <w:szCs w:val="18"/>
                <w:color w:val="auto"/>
              </w:rPr>
              <w:t xml:space="preserve"> R</w:t>
            </w:r>
            <w:r>
              <w:rPr>
                <w:rFonts w:ascii="Arial" w:cs="Arial" w:eastAsia="Arial" w:hAnsi="Arial"/>
                <w:sz w:val="12"/>
                <w:szCs w:val="12"/>
                <w:color w:val="auto"/>
              </w:rPr>
              <w:t>IGHTS AND</w:t>
            </w:r>
            <w:r>
              <w:rPr>
                <w:rFonts w:ascii="Arial" w:cs="Arial" w:eastAsia="Arial" w:hAnsi="Arial"/>
                <w:sz w:val="18"/>
                <w:szCs w:val="18"/>
                <w:color w:val="auto"/>
              </w:rPr>
              <w:t xml:space="preserve"> O</w:t>
            </w:r>
            <w:r>
              <w:rPr>
                <w:rFonts w:ascii="Arial" w:cs="Arial" w:eastAsia="Arial" w:hAnsi="Arial"/>
                <w:sz w:val="12"/>
                <w:szCs w:val="12"/>
                <w:color w:val="auto"/>
              </w:rPr>
              <w:t>BLIGATIONS</w:t>
            </w:r>
          </w:p>
        </w:tc>
        <w:tc>
          <w:tcPr>
            <w:tcW w:w="3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w:t>
            </w:r>
          </w:p>
        </w:tc>
        <w:tc>
          <w:tcPr>
            <w:tcW w:w="60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IENS AND</w:t>
            </w:r>
            <w:r>
              <w:rPr>
                <w:rFonts w:ascii="Arial" w:cs="Arial" w:eastAsia="Arial" w:hAnsi="Arial"/>
                <w:sz w:val="18"/>
                <w:szCs w:val="18"/>
                <w:color w:val="auto"/>
              </w:rPr>
              <w:t xml:space="preserve"> S</w:t>
            </w:r>
            <w:r>
              <w:rPr>
                <w:rFonts w:ascii="Arial" w:cs="Arial" w:eastAsia="Arial" w:hAnsi="Arial"/>
                <w:sz w:val="12"/>
                <w:szCs w:val="12"/>
                <w:color w:val="auto"/>
              </w:rPr>
              <w:t>ECURITY</w:t>
            </w:r>
            <w:r>
              <w:rPr>
                <w:rFonts w:ascii="Arial" w:cs="Arial" w:eastAsia="Arial" w:hAnsi="Arial"/>
                <w:sz w:val="18"/>
                <w:szCs w:val="18"/>
                <w:color w:val="auto"/>
              </w:rPr>
              <w:t xml:space="preserve"> I</w:t>
            </w:r>
            <w:r>
              <w:rPr>
                <w:rFonts w:ascii="Arial" w:cs="Arial" w:eastAsia="Arial" w:hAnsi="Arial"/>
                <w:sz w:val="12"/>
                <w:szCs w:val="12"/>
                <w:color w:val="auto"/>
              </w:rPr>
              <w:t>NTERESTS</w:t>
            </w:r>
          </w:p>
        </w:tc>
        <w:tc>
          <w:tcPr>
            <w:tcW w:w="3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w:t>
            </w:r>
          </w:p>
        </w:tc>
        <w:tc>
          <w:tcPr>
            <w:tcW w:w="60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EMEDIES</w:t>
            </w:r>
          </w:p>
        </w:tc>
        <w:tc>
          <w:tcPr>
            <w:tcW w:w="3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w:t>
            </w:r>
          </w:p>
        </w:tc>
        <w:tc>
          <w:tcPr>
            <w:tcW w:w="60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OTICE TO</w:t>
            </w:r>
            <w:r>
              <w:rPr>
                <w:rFonts w:ascii="Arial" w:cs="Arial" w:eastAsia="Arial" w:hAnsi="Arial"/>
                <w:sz w:val="18"/>
                <w:szCs w:val="18"/>
                <w:color w:val="auto"/>
              </w:rPr>
              <w:t xml:space="preserve"> P</w:t>
            </w:r>
            <w:r>
              <w:rPr>
                <w:rFonts w:ascii="Arial" w:cs="Arial" w:eastAsia="Arial" w:hAnsi="Arial"/>
                <w:sz w:val="12"/>
                <w:szCs w:val="12"/>
                <w:color w:val="auto"/>
              </w:rPr>
              <w:t>OTENTIAL</w:t>
            </w:r>
            <w:r>
              <w:rPr>
                <w:rFonts w:ascii="Arial" w:cs="Arial" w:eastAsia="Arial" w:hAnsi="Arial"/>
                <w:sz w:val="18"/>
                <w:szCs w:val="18"/>
                <w:color w:val="auto"/>
              </w:rPr>
              <w:t xml:space="preserve"> C</w:t>
            </w:r>
            <w:r>
              <w:rPr>
                <w:rFonts w:ascii="Arial" w:cs="Arial" w:eastAsia="Arial" w:hAnsi="Arial"/>
                <w:sz w:val="12"/>
                <w:szCs w:val="12"/>
                <w:color w:val="auto"/>
              </w:rPr>
              <w:t>LAIMANTS</w:t>
            </w:r>
          </w:p>
        </w:tc>
        <w:tc>
          <w:tcPr>
            <w:tcW w:w="3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7.</w:t>
            </w:r>
          </w:p>
        </w:tc>
        <w:tc>
          <w:tcPr>
            <w:tcW w:w="60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NCORPORATION</w:t>
            </w:r>
            <w:r>
              <w:rPr>
                <w:rFonts w:ascii="Arial" w:cs="Arial" w:eastAsia="Arial" w:hAnsi="Arial"/>
                <w:sz w:val="18"/>
                <w:szCs w:val="18"/>
                <w:color w:val="auto"/>
              </w:rPr>
              <w:t>; R</w:t>
            </w:r>
            <w:r>
              <w:rPr>
                <w:rFonts w:ascii="Arial" w:cs="Arial" w:eastAsia="Arial" w:hAnsi="Arial"/>
                <w:sz w:val="12"/>
                <w:szCs w:val="12"/>
                <w:color w:val="auto"/>
              </w:rPr>
              <w:t>ATIFICATION</w:t>
            </w:r>
          </w:p>
        </w:tc>
        <w:tc>
          <w:tcPr>
            <w:tcW w:w="3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w:t>
            </w:r>
          </w:p>
        </w:tc>
        <w:tc>
          <w:tcPr>
            <w:tcW w:w="60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OVERNING</w:t>
            </w:r>
            <w:r>
              <w:rPr>
                <w:rFonts w:ascii="Arial" w:cs="Arial" w:eastAsia="Arial" w:hAnsi="Arial"/>
                <w:sz w:val="18"/>
                <w:szCs w:val="18"/>
                <w:color w:val="auto"/>
              </w:rPr>
              <w:t xml:space="preserve"> L</w:t>
            </w:r>
            <w:r>
              <w:rPr>
                <w:rFonts w:ascii="Arial" w:cs="Arial" w:eastAsia="Arial" w:hAnsi="Arial"/>
                <w:sz w:val="12"/>
                <w:szCs w:val="12"/>
                <w:color w:val="auto"/>
              </w:rPr>
              <w:t>AW</w:t>
            </w:r>
          </w:p>
        </w:tc>
        <w:tc>
          <w:tcPr>
            <w:tcW w:w="3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w:t>
            </w:r>
          </w:p>
        </w:tc>
        <w:tc>
          <w:tcPr>
            <w:tcW w:w="60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OUNTERPART</w:t>
            </w:r>
            <w:r>
              <w:rPr>
                <w:rFonts w:ascii="Arial" w:cs="Arial" w:eastAsia="Arial" w:hAnsi="Arial"/>
                <w:sz w:val="18"/>
                <w:szCs w:val="18"/>
                <w:color w:val="auto"/>
              </w:rPr>
              <w:t xml:space="preserve"> E</w:t>
            </w:r>
            <w:r>
              <w:rPr>
                <w:rFonts w:ascii="Arial" w:cs="Arial" w:eastAsia="Arial" w:hAnsi="Arial"/>
                <w:sz w:val="12"/>
                <w:szCs w:val="12"/>
                <w:color w:val="auto"/>
              </w:rPr>
              <w:t>XECUTION</w:t>
            </w:r>
          </w:p>
        </w:tc>
        <w:tc>
          <w:tcPr>
            <w:tcW w:w="3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w:t>
            </w:r>
          </w:p>
        </w:tc>
        <w:tc>
          <w:tcPr>
            <w:tcW w:w="60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UTURE</w:t>
            </w:r>
            <w:r>
              <w:rPr>
                <w:rFonts w:ascii="Arial" w:cs="Arial" w:eastAsia="Arial" w:hAnsi="Arial"/>
                <w:sz w:val="18"/>
                <w:szCs w:val="18"/>
                <w:color w:val="auto"/>
              </w:rPr>
              <w:t xml:space="preserve"> A</w:t>
            </w:r>
            <w:r>
              <w:rPr>
                <w:rFonts w:ascii="Arial" w:cs="Arial" w:eastAsia="Arial" w:hAnsi="Arial"/>
                <w:sz w:val="12"/>
                <w:szCs w:val="12"/>
                <w:color w:val="auto"/>
              </w:rPr>
              <w:t>DVANCES</w:t>
            </w:r>
          </w:p>
        </w:tc>
        <w:tc>
          <w:tcPr>
            <w:tcW w:w="3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11.</w:t>
            </w:r>
          </w:p>
        </w:tc>
        <w:tc>
          <w:tcPr>
            <w:tcW w:w="60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MENDMENTS AND</w:t>
            </w:r>
            <w:r>
              <w:rPr>
                <w:rFonts w:ascii="Arial" w:cs="Arial" w:eastAsia="Arial" w:hAnsi="Arial"/>
                <w:sz w:val="18"/>
                <w:szCs w:val="18"/>
                <w:color w:val="auto"/>
              </w:rPr>
              <w:t xml:space="preserve"> M</w:t>
            </w:r>
            <w:r>
              <w:rPr>
                <w:rFonts w:ascii="Arial" w:cs="Arial" w:eastAsia="Arial" w:hAnsi="Arial"/>
                <w:sz w:val="12"/>
                <w:szCs w:val="12"/>
                <w:color w:val="auto"/>
              </w:rPr>
              <w:t>ODIFICATIONS</w:t>
            </w:r>
          </w:p>
        </w:tc>
        <w:tc>
          <w:tcPr>
            <w:tcW w:w="3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12.</w:t>
            </w:r>
          </w:p>
        </w:tc>
        <w:tc>
          <w:tcPr>
            <w:tcW w:w="60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OTICE</w:t>
            </w:r>
          </w:p>
        </w:tc>
        <w:tc>
          <w:tcPr>
            <w:tcW w:w="3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13.</w:t>
            </w:r>
          </w:p>
        </w:tc>
        <w:tc>
          <w:tcPr>
            <w:tcW w:w="600" w:type="dxa"/>
            <w:vAlign w:val="bottom"/>
          </w:tcPr>
          <w:p>
            <w:pPr>
              <w:spacing w:after="0"/>
              <w:rPr>
                <w:sz w:val="24"/>
                <w:szCs w:val="24"/>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tc>
        <w:tc>
          <w:tcPr>
            <w:tcW w:w="3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6300" w:type="dxa"/>
            <w:vAlign w:val="bottom"/>
          </w:tcPr>
          <w:p>
            <w:pPr>
              <w:ind w:left="160"/>
              <w:spacing w:after="0"/>
              <w:rPr>
                <w:sz w:val="20"/>
                <w:szCs w:val="20"/>
                <w:color w:val="auto"/>
              </w:rPr>
            </w:pPr>
            <w:r>
              <w:rPr>
                <w:rFonts w:ascii="Arial" w:cs="Arial" w:eastAsia="Arial" w:hAnsi="Arial"/>
                <w:sz w:val="18"/>
                <w:szCs w:val="18"/>
                <w:color w:val="auto"/>
              </w:rPr>
              <w:t>Legal Description of Site</w:t>
            </w:r>
          </w:p>
        </w:tc>
        <w:tc>
          <w:tcPr>
            <w:tcW w:w="3420" w:type="dxa"/>
            <w:vAlign w:val="bottom"/>
          </w:tcPr>
          <w:p>
            <w:pPr>
              <w:spacing w:after="0"/>
              <w:rPr>
                <w:sz w:val="24"/>
                <w:szCs w:val="24"/>
                <w:color w:val="auto"/>
              </w:rPr>
            </w:pP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 i -</w:t>
            </w:r>
          </w:p>
        </w:tc>
        <w:tc>
          <w:tcPr>
            <w:tcW w:w="6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50"/>
        </w:trPr>
        <w:tc>
          <w:tcPr>
            <w:tcW w:w="1100" w:type="dxa"/>
            <w:vAlign w:val="bottom"/>
            <w:tcBorders>
              <w:bottom w:val="single" w:sz="8" w:color="C0C0C0"/>
            </w:tcBorders>
          </w:tcPr>
          <w:p>
            <w:pPr>
              <w:spacing w:after="0"/>
              <w:rPr>
                <w:sz w:val="21"/>
                <w:szCs w:val="21"/>
                <w:color w:val="auto"/>
              </w:rPr>
            </w:pPr>
          </w:p>
        </w:tc>
        <w:tc>
          <w:tcPr>
            <w:tcW w:w="600" w:type="dxa"/>
            <w:vAlign w:val="bottom"/>
            <w:tcBorders>
              <w:bottom w:val="single" w:sz="8" w:color="C0C0C0"/>
            </w:tcBorders>
          </w:tcPr>
          <w:p>
            <w:pPr>
              <w:spacing w:after="0"/>
              <w:rPr>
                <w:sz w:val="21"/>
                <w:szCs w:val="21"/>
                <w:color w:val="auto"/>
              </w:rPr>
            </w:pPr>
          </w:p>
        </w:tc>
        <w:tc>
          <w:tcPr>
            <w:tcW w:w="6300" w:type="dxa"/>
            <w:vAlign w:val="bottom"/>
            <w:tcBorders>
              <w:bottom w:val="single" w:sz="8" w:color="C0C0C0"/>
            </w:tcBorders>
          </w:tcPr>
          <w:p>
            <w:pPr>
              <w:spacing w:after="0"/>
              <w:rPr>
                <w:sz w:val="21"/>
                <w:szCs w:val="21"/>
                <w:color w:val="auto"/>
              </w:rPr>
            </w:pPr>
          </w:p>
        </w:tc>
        <w:tc>
          <w:tcPr>
            <w:tcW w:w="34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396" w:right="239" w:bottom="1440" w:gutter="0" w:footer="0" w:header="0"/>
        </w:sectPr>
      </w:pPr>
    </w:p>
    <w:bookmarkStart w:id="280" w:name="page281"/>
    <w:bookmarkEnd w:id="280"/>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EMORANDUM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EASE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EMEDIES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HIS</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ECURES</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UTURE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DVANCES</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M</w:t>
      </w:r>
      <w:r>
        <w:rPr>
          <w:rFonts w:ascii="Arial" w:cs="Arial" w:eastAsia="Arial" w:hAnsi="Arial"/>
          <w:sz w:val="11"/>
          <w:szCs w:val="11"/>
          <w:color w:val="auto"/>
        </w:rPr>
        <w:t>EMORANDUM OF</w:t>
      </w:r>
      <w:r>
        <w:rPr>
          <w:rFonts w:ascii="Arial" w:cs="Arial" w:eastAsia="Arial" w:hAnsi="Arial"/>
          <w:sz w:val="17"/>
          <w:szCs w:val="17"/>
          <w:color w:val="auto"/>
        </w:rPr>
        <w:t xml:space="preserve"> L</w:t>
      </w:r>
      <w:r>
        <w:rPr>
          <w:rFonts w:ascii="Arial" w:cs="Arial" w:eastAsia="Arial" w:hAnsi="Arial"/>
          <w:sz w:val="11"/>
          <w:szCs w:val="11"/>
          <w:color w:val="auto"/>
        </w:rPr>
        <w:t>EASE AND</w:t>
      </w:r>
      <w:r>
        <w:rPr>
          <w:rFonts w:ascii="Arial" w:cs="Arial" w:eastAsia="Arial" w:hAnsi="Arial"/>
          <w:sz w:val="17"/>
          <w:szCs w:val="17"/>
          <w:color w:val="auto"/>
        </w:rPr>
        <w:t xml:space="preserve"> R</w:t>
      </w:r>
      <w:r>
        <w:rPr>
          <w:rFonts w:ascii="Arial" w:cs="Arial" w:eastAsia="Arial" w:hAnsi="Arial"/>
          <w:sz w:val="11"/>
          <w:szCs w:val="11"/>
          <w:color w:val="auto"/>
        </w:rPr>
        <w:t>EMEDIES</w:t>
      </w:r>
      <w:r>
        <w:rPr>
          <w:rFonts w:ascii="Arial" w:cs="Arial" w:eastAsia="Arial" w:hAnsi="Arial"/>
          <w:sz w:val="17"/>
          <w:szCs w:val="17"/>
          <w:color w:val="auto"/>
        </w:rPr>
        <w:t xml:space="preserve"> A</w:t>
      </w:r>
      <w:r>
        <w:rPr>
          <w:rFonts w:ascii="Arial" w:cs="Arial" w:eastAsia="Arial" w:hAnsi="Arial"/>
          <w:sz w:val="11"/>
          <w:szCs w:val="11"/>
          <w:color w:val="auto"/>
        </w:rPr>
        <w:t>GREEMENT</w:t>
      </w:r>
      <w:r>
        <w:rPr>
          <w:rFonts w:ascii="Arial" w:cs="Arial" w:eastAsia="Arial" w:hAnsi="Arial"/>
          <w:sz w:val="17"/>
          <w:szCs w:val="17"/>
          <w:color w:val="auto"/>
        </w:rPr>
        <w:t xml:space="preserve"> dated as of March 3, 2017 (as amended, supplemented, or otherwise modified from time to time, this “</w:t>
      </w:r>
      <w:r>
        <w:rPr>
          <w:rFonts w:ascii="Arial" w:cs="Arial" w:eastAsia="Arial" w:hAnsi="Arial"/>
          <w:sz w:val="17"/>
          <w:szCs w:val="17"/>
          <w:i w:val="1"/>
          <w:iCs w:val="1"/>
          <w:color w:val="auto"/>
        </w:rPr>
        <w:t>Memorandum of Lease</w:t>
      </w:r>
      <w:r>
        <w:rPr>
          <w:rFonts w:ascii="Arial" w:cs="Arial" w:eastAsia="Arial" w:hAnsi="Arial"/>
          <w:sz w:val="17"/>
          <w:szCs w:val="17"/>
          <w:color w:val="auto"/>
        </w:rPr>
        <w:t>”), by and between BA L</w:t>
      </w:r>
      <w:r>
        <w:rPr>
          <w:rFonts w:ascii="Arial" w:cs="Arial" w:eastAsia="Arial" w:hAnsi="Arial"/>
          <w:sz w:val="11"/>
          <w:szCs w:val="11"/>
          <w:color w:val="auto"/>
        </w:rPr>
        <w:t>EASING</w:t>
      </w:r>
      <w:r>
        <w:rPr>
          <w:rFonts w:ascii="Arial" w:cs="Arial" w:eastAsia="Arial" w:hAnsi="Arial"/>
          <w:sz w:val="17"/>
          <w:szCs w:val="17"/>
          <w:color w:val="auto"/>
        </w:rPr>
        <w:t xml:space="preserve"> BSC, LLC, a Delaware limited liability company, having its principal office at 11333 McCormick Road, Hunt Valley II, M/C MD5-032-07-05, Hunt Valley, MD 21031, as Lessor (“</w:t>
      </w:r>
      <w:r>
        <w:rPr>
          <w:rFonts w:ascii="Arial" w:cs="Arial" w:eastAsia="Arial" w:hAnsi="Arial"/>
          <w:sz w:val="17"/>
          <w:szCs w:val="17"/>
          <w:i w:val="1"/>
          <w:iCs w:val="1"/>
          <w:color w:val="auto"/>
        </w:rPr>
        <w:t>Lessor</w:t>
      </w:r>
      <w:r>
        <w:rPr>
          <w:rFonts w:ascii="Arial" w:cs="Arial" w:eastAsia="Arial" w:hAnsi="Arial"/>
          <w:sz w:val="17"/>
          <w:szCs w:val="17"/>
          <w:color w:val="auto"/>
        </w:rPr>
        <w:t>”), O</w:t>
      </w:r>
      <w:r>
        <w:rPr>
          <w:rFonts w:ascii="Arial" w:cs="Arial" w:eastAsia="Arial" w:hAnsi="Arial"/>
          <w:sz w:val="11"/>
          <w:szCs w:val="11"/>
          <w:color w:val="auto"/>
        </w:rPr>
        <w:t>LD</w:t>
      </w:r>
      <w:r>
        <w:rPr>
          <w:rFonts w:ascii="Arial" w:cs="Arial" w:eastAsia="Arial" w:hAnsi="Arial"/>
          <w:sz w:val="17"/>
          <w:szCs w:val="17"/>
          <w:color w:val="auto"/>
        </w:rPr>
        <w:t xml:space="preserve"> S</w:t>
      </w:r>
      <w:r>
        <w:rPr>
          <w:rFonts w:ascii="Arial" w:cs="Arial" w:eastAsia="Arial" w:hAnsi="Arial"/>
          <w:sz w:val="11"/>
          <w:szCs w:val="11"/>
          <w:color w:val="auto"/>
        </w:rPr>
        <w:t>AW</w:t>
      </w:r>
      <w:r>
        <w:rPr>
          <w:rFonts w:ascii="Arial" w:cs="Arial" w:eastAsia="Arial" w:hAnsi="Arial"/>
          <w:sz w:val="17"/>
          <w:szCs w:val="17"/>
          <w:color w:val="auto"/>
        </w:rPr>
        <w:t xml:space="preserve"> M</w:t>
      </w:r>
      <w:r>
        <w:rPr>
          <w:rFonts w:ascii="Arial" w:cs="Arial" w:eastAsia="Arial" w:hAnsi="Arial"/>
          <w:sz w:val="11"/>
          <w:szCs w:val="11"/>
          <w:color w:val="auto"/>
        </w:rPr>
        <w:t>ILL</w:t>
      </w:r>
      <w:r>
        <w:rPr>
          <w:rFonts w:ascii="Arial" w:cs="Arial" w:eastAsia="Arial" w:hAnsi="Arial"/>
          <w:sz w:val="17"/>
          <w:szCs w:val="17"/>
          <w:color w:val="auto"/>
        </w:rPr>
        <w:t xml:space="preserve"> H</w:t>
      </w:r>
      <w:r>
        <w:rPr>
          <w:rFonts w:ascii="Arial" w:cs="Arial" w:eastAsia="Arial" w:hAnsi="Arial"/>
          <w:sz w:val="11"/>
          <w:szCs w:val="11"/>
          <w:color w:val="auto"/>
        </w:rPr>
        <w:t>OLDINGS</w:t>
      </w:r>
      <w:r>
        <w:rPr>
          <w:rFonts w:ascii="Arial" w:cs="Arial" w:eastAsia="Arial" w:hAnsi="Arial"/>
          <w:sz w:val="17"/>
          <w:szCs w:val="17"/>
          <w:color w:val="auto"/>
        </w:rPr>
        <w:t xml:space="preserve"> LLC, a New York limited liability company, having a principal office at 777 Old Saw Mill River Road, Tarrytown, New York 10591, as Lessee (“</w:t>
      </w:r>
      <w:r>
        <w:rPr>
          <w:rFonts w:ascii="Arial" w:cs="Arial" w:eastAsia="Arial" w:hAnsi="Arial"/>
          <w:sz w:val="17"/>
          <w:szCs w:val="17"/>
          <w:i w:val="1"/>
          <w:iCs w:val="1"/>
          <w:color w:val="auto"/>
        </w:rPr>
        <w:t>Lessee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ITNESSETH</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The parties are entering into the Operative Documents pursuant to which the Lessor and the Lenders (as defined hereinafter) agree to provide financing for the acquisition of the Facility, located on the land legally described on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i w:val="1"/>
          <w:iCs w:val="1"/>
          <w:color w:val="auto"/>
        </w:rPr>
        <w:t>Site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 Pursuant to the Lease and Remedies Agreement dated as of even date herewith between Lessee and Lessor (the “</w:t>
      </w:r>
      <w:r>
        <w:rPr>
          <w:rFonts w:ascii="Arial" w:cs="Arial" w:eastAsia="Arial" w:hAnsi="Arial"/>
          <w:sz w:val="16"/>
          <w:szCs w:val="16"/>
          <w:i w:val="1"/>
          <w:iCs w:val="1"/>
          <w:color w:val="auto"/>
        </w:rPr>
        <w:t>Lease</w:t>
      </w:r>
      <w:r>
        <w:rPr>
          <w:rFonts w:ascii="Arial" w:cs="Arial" w:eastAsia="Arial" w:hAnsi="Arial"/>
          <w:sz w:val="16"/>
          <w:szCs w:val="16"/>
          <w:color w:val="auto"/>
        </w:rPr>
        <w:t>”), evidenced by this Memorandum of Lease, Lessor will lease the Leased Property (as defined in the Lease) to Lessee and Lessee will lease the Leased Property from Lessor.</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w:t>
      </w:r>
      <w:r>
        <w:rPr>
          <w:rFonts w:ascii="Arial" w:cs="Arial" w:eastAsia="Arial" w:hAnsi="Arial"/>
          <w:sz w:val="18"/>
          <w:szCs w:val="18"/>
          <w:color w:val="auto"/>
        </w:rPr>
        <w:t>, T</w:t>
      </w:r>
      <w:r>
        <w:rPr>
          <w:rFonts w:ascii="Arial" w:cs="Arial" w:eastAsia="Arial" w:hAnsi="Arial"/>
          <w:sz w:val="12"/>
          <w:szCs w:val="12"/>
          <w:color w:val="auto"/>
        </w:rPr>
        <w:t>HEREFORE</w:t>
      </w:r>
      <w:r>
        <w:rPr>
          <w:rFonts w:ascii="Arial" w:cs="Arial" w:eastAsia="Arial" w:hAnsi="Arial"/>
          <w:sz w:val="18"/>
          <w:szCs w:val="18"/>
          <w:color w:val="auto"/>
        </w:rPr>
        <w:t>, in consideration of the mutual promises contained herein, and for other good and valuable consideration, the receipt and sufficiency of which are hereby acknowledged, the parties hereto agree to enter into this Memorandum of Lease,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 D</w:t>
      </w:r>
      <w:r>
        <w:rPr>
          <w:rFonts w:ascii="Arial" w:cs="Arial" w:eastAsia="Arial" w:hAnsi="Arial"/>
          <w:sz w:val="12"/>
          <w:szCs w:val="12"/>
          <w:color w:val="auto"/>
        </w:rPr>
        <w:t>EFINITIONS</w:t>
      </w:r>
      <w:r>
        <w:rPr>
          <w:rFonts w:ascii="Arial" w:cs="Arial" w:eastAsia="Arial" w:hAnsi="Arial"/>
          <w:sz w:val="18"/>
          <w:szCs w:val="18"/>
          <w:color w:val="auto"/>
        </w:rPr>
        <w:t>; I</w:t>
      </w:r>
      <w:r>
        <w:rPr>
          <w:rFonts w:ascii="Arial" w:cs="Arial" w:eastAsia="Arial" w:hAnsi="Arial"/>
          <w:sz w:val="12"/>
          <w:szCs w:val="12"/>
          <w:color w:val="auto"/>
        </w:rPr>
        <w:t>NTERPRETATION</w:t>
      </w:r>
      <w:r>
        <w:rPr>
          <w:rFonts w:ascii="Arial" w:cs="Arial" w:eastAsia="Arial" w:hAnsi="Arial"/>
          <w:sz w:val="18"/>
          <w:szCs w:val="18"/>
          <w:color w:val="auto"/>
        </w:rPr>
        <w:t>; F</w:t>
      </w:r>
      <w:r>
        <w:rPr>
          <w:rFonts w:ascii="Arial" w:cs="Arial" w:eastAsia="Arial" w:hAnsi="Arial"/>
          <w:sz w:val="12"/>
          <w:szCs w:val="12"/>
          <w:color w:val="auto"/>
        </w:rPr>
        <w:t>ULL</w:t>
      </w:r>
      <w:r>
        <w:rPr>
          <w:rFonts w:ascii="Arial" w:cs="Arial" w:eastAsia="Arial" w:hAnsi="Arial"/>
          <w:sz w:val="18"/>
          <w:szCs w:val="18"/>
          <w:color w:val="auto"/>
        </w:rPr>
        <w:t xml:space="preserve"> R</w:t>
      </w:r>
      <w:r>
        <w:rPr>
          <w:rFonts w:ascii="Arial" w:cs="Arial" w:eastAsia="Arial" w:hAnsi="Arial"/>
          <w:sz w:val="12"/>
          <w:szCs w:val="12"/>
          <w:color w:val="auto"/>
        </w:rPr>
        <w:t>ECOURSE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all purposes hereof, the capitalized terms used herein and not otherwise defined shall have the meanings assigned thereto in Appendix 1 to that certain Participation Agreement dated as of even date herewith, among 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 as Lessee, BA L</w:t>
      </w:r>
      <w:r>
        <w:rPr>
          <w:rFonts w:ascii="Arial" w:cs="Arial" w:eastAsia="Arial" w:hAnsi="Arial"/>
          <w:sz w:val="12"/>
          <w:szCs w:val="12"/>
          <w:color w:val="auto"/>
        </w:rPr>
        <w:t>EASING</w:t>
      </w:r>
      <w:r>
        <w:rPr>
          <w:rFonts w:ascii="Arial" w:cs="Arial" w:eastAsia="Arial" w:hAnsi="Arial"/>
          <w:sz w:val="18"/>
          <w:szCs w:val="18"/>
          <w:color w:val="auto"/>
        </w:rPr>
        <w:t xml:space="preserve"> BSC, LLC, as Lessor and B</w:t>
      </w:r>
      <w:r>
        <w:rPr>
          <w:rFonts w:ascii="Arial" w:cs="Arial" w:eastAsia="Arial" w:hAnsi="Arial"/>
          <w:sz w:val="12"/>
          <w:szCs w:val="12"/>
          <w:color w:val="auto"/>
        </w:rPr>
        <w:t>ANK</w:t>
      </w:r>
      <w:r>
        <w:rPr>
          <w:rFonts w:ascii="Arial" w:cs="Arial" w:eastAsia="Arial" w:hAnsi="Arial"/>
          <w:sz w:val="18"/>
          <w:szCs w:val="18"/>
          <w:color w:val="auto"/>
        </w:rPr>
        <w:t xml:space="preserve"> </w:t>
      </w:r>
      <w:r>
        <w:rPr>
          <w:rFonts w:ascii="Arial" w:cs="Arial" w:eastAsia="Arial" w:hAnsi="Arial"/>
          <w:sz w:val="12"/>
          <w:szCs w:val="12"/>
          <w:color w:val="auto"/>
        </w:rPr>
        <w:t xml:space="preserve">OF </w:t>
      </w:r>
      <w:r>
        <w:rPr>
          <w:rFonts w:ascii="Arial" w:cs="Arial" w:eastAsia="Arial" w:hAnsi="Arial"/>
          <w:sz w:val="18"/>
          <w:szCs w:val="18"/>
          <w:color w:val="auto"/>
        </w:rPr>
        <w:t>A</w:t>
      </w:r>
      <w:r>
        <w:rPr>
          <w:rFonts w:ascii="Arial" w:cs="Arial" w:eastAsia="Arial" w:hAnsi="Arial"/>
          <w:sz w:val="12"/>
          <w:szCs w:val="12"/>
          <w:color w:val="auto"/>
        </w:rPr>
        <w:t>MERICA</w:t>
      </w:r>
      <w:r>
        <w:rPr>
          <w:rFonts w:ascii="Arial" w:cs="Arial" w:eastAsia="Arial" w:hAnsi="Arial"/>
          <w:sz w:val="18"/>
          <w:szCs w:val="18"/>
          <w:color w:val="auto"/>
        </w:rPr>
        <w:t>, N.A., not in its individual capacity except and as expressly stated therein, but solely as Administrative Agent and the financial institutions listed</w:t>
      </w:r>
      <w:r>
        <w:rPr>
          <w:rFonts w:ascii="Arial" w:cs="Arial" w:eastAsia="Arial" w:hAnsi="Arial"/>
          <w:sz w:val="12"/>
          <w:szCs w:val="12"/>
          <w:color w:val="auto"/>
        </w:rPr>
        <w:t xml:space="preserve"> </w:t>
      </w:r>
      <w:r>
        <w:rPr>
          <w:rFonts w:ascii="Arial" w:cs="Arial" w:eastAsia="Arial" w:hAnsi="Arial"/>
          <w:sz w:val="18"/>
          <w:szCs w:val="18"/>
          <w:color w:val="auto"/>
        </w:rPr>
        <w:t>on Schedule II thereto (the Lenders”) (as amended, supplemented or otherwise modified from time to time pursuant thereto, the “</w:t>
      </w:r>
      <w:r>
        <w:rPr>
          <w:rFonts w:ascii="Arial" w:cs="Arial" w:eastAsia="Arial" w:hAnsi="Arial"/>
          <w:sz w:val="18"/>
          <w:szCs w:val="18"/>
          <w:i w:val="1"/>
          <w:iCs w:val="1"/>
          <w:color w:val="auto"/>
        </w:rPr>
        <w:t>Participation Agreement</w:t>
      </w:r>
      <w:r>
        <w:rPr>
          <w:rFonts w:ascii="Arial" w:cs="Arial" w:eastAsia="Arial" w:hAnsi="Arial"/>
          <w:sz w:val="18"/>
          <w:szCs w:val="18"/>
          <w:color w:val="auto"/>
        </w:rPr>
        <w:t>”); and the rules of interpretation set forth in Appendix 1 to the Participation Agreement shall apply hereto. All obligations imposed on the “Lessee” in this Memorandum of Lease shall be the full recourse liability of Lessee.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 L</w:t>
      </w:r>
      <w:r>
        <w:rPr>
          <w:rFonts w:ascii="Arial" w:cs="Arial" w:eastAsia="Arial" w:hAnsi="Arial"/>
          <w:sz w:val="12"/>
          <w:szCs w:val="12"/>
          <w:color w:val="auto"/>
        </w:rPr>
        <w:t>EASE</w:t>
      </w:r>
      <w:r>
        <w:rPr>
          <w:rFonts w:ascii="Arial" w:cs="Arial" w:eastAsia="Arial" w:hAnsi="Arial"/>
          <w:sz w:val="18"/>
          <w:szCs w:val="18"/>
          <w:color w:val="auto"/>
        </w:rPr>
        <w:t xml:space="preserve"> T</w:t>
      </w:r>
      <w:r>
        <w:rPr>
          <w:rFonts w:ascii="Arial" w:cs="Arial" w:eastAsia="Arial" w:hAnsi="Arial"/>
          <w:sz w:val="12"/>
          <w:szCs w:val="12"/>
          <w:color w:val="auto"/>
        </w:rPr>
        <w:t>ERM</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earlier terminated, the term of the Lease shall consist of (i) a base term (the “</w:t>
      </w:r>
      <w:r>
        <w:rPr>
          <w:rFonts w:ascii="Arial" w:cs="Arial" w:eastAsia="Arial" w:hAnsi="Arial"/>
          <w:sz w:val="18"/>
          <w:szCs w:val="18"/>
          <w:i w:val="1"/>
          <w:iCs w:val="1"/>
          <w:color w:val="auto"/>
        </w:rPr>
        <w:t>Base Term</w:t>
      </w:r>
      <w:r>
        <w:rPr>
          <w:rFonts w:ascii="Arial" w:cs="Arial" w:eastAsia="Arial" w:hAnsi="Arial"/>
          <w:sz w:val="18"/>
          <w:szCs w:val="18"/>
          <w:color w:val="auto"/>
        </w:rPr>
        <w:t>”) commencing on and including the Base Term Commencement Date and ending on but not including the fifth (5th) anniversary of the Base Term Commencement Date, and, (ii)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81" w:name="page282"/>
    <w:bookmarkEnd w:id="281"/>
    <w:p>
      <w:pPr>
        <w:jc w:val="both"/>
        <w:spacing w:after="0" w:line="264" w:lineRule="auto"/>
        <w:rPr>
          <w:sz w:val="20"/>
          <w:szCs w:val="20"/>
          <w:color w:val="auto"/>
        </w:rPr>
      </w:pPr>
      <w:r>
        <w:rPr>
          <w:rFonts w:ascii="Arial" w:cs="Arial" w:eastAsia="Arial" w:hAnsi="Arial"/>
          <w:sz w:val="18"/>
          <w:szCs w:val="18"/>
          <w:color w:val="auto"/>
        </w:rPr>
        <w:t>exercised and approved pursuant to each of the terms and conditions of Section 4.7 of the Participation Agreement and exercised pursuant to the terms of the Lease, including Article XIX thereof, the Lease Renewal Term (the Base Term and the Lease Renewal Term, if any, being collectively referred to as, the “</w:t>
      </w:r>
      <w:r>
        <w:rPr>
          <w:rFonts w:ascii="Arial" w:cs="Arial" w:eastAsia="Arial" w:hAnsi="Arial"/>
          <w:sz w:val="18"/>
          <w:szCs w:val="18"/>
          <w:i w:val="1"/>
          <w:iCs w:val="1"/>
          <w:color w:val="auto"/>
        </w:rPr>
        <w:t>Term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 P</w:t>
      </w:r>
      <w:r>
        <w:rPr>
          <w:rFonts w:ascii="Arial" w:cs="Arial" w:eastAsia="Arial" w:hAnsi="Arial"/>
          <w:sz w:val="12"/>
          <w:szCs w:val="12"/>
          <w:color w:val="auto"/>
        </w:rPr>
        <w:t>URCHASE</w:t>
      </w:r>
      <w:r>
        <w:rPr>
          <w:rFonts w:ascii="Arial" w:cs="Arial" w:eastAsia="Arial" w:hAnsi="Arial"/>
          <w:sz w:val="18"/>
          <w:szCs w:val="18"/>
          <w:color w:val="auto"/>
        </w:rPr>
        <w:t xml:space="preserve"> R</w:t>
      </w:r>
      <w:r>
        <w:rPr>
          <w:rFonts w:ascii="Arial" w:cs="Arial" w:eastAsia="Arial" w:hAnsi="Arial"/>
          <w:sz w:val="12"/>
          <w:szCs w:val="12"/>
          <w:color w:val="auto"/>
        </w:rPr>
        <w:t>IGHTS AND</w:t>
      </w:r>
      <w:r>
        <w:rPr>
          <w:rFonts w:ascii="Arial" w:cs="Arial" w:eastAsia="Arial" w:hAnsi="Arial"/>
          <w:sz w:val="18"/>
          <w:szCs w:val="18"/>
          <w:color w:val="auto"/>
        </w:rPr>
        <w:t xml:space="preserve"> O</w:t>
      </w:r>
      <w:r>
        <w:rPr>
          <w:rFonts w:ascii="Arial" w:cs="Arial" w:eastAsia="Arial" w:hAnsi="Arial"/>
          <w:sz w:val="12"/>
          <w:szCs w:val="12"/>
          <w:color w:val="auto"/>
        </w:rPr>
        <w:t>BLIGATIONS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Lessee has the right to acquire the Leased Property pursuant to certain mandatory and optional purchase rights, options and obligations set forth in the Lease. It is expressly understood and agreed that for purposes of Sections 365(h) and 365(i) of the Bankruptcy Code of the United States of America, 11 U.S.C. Sections 365(h)-(i), (a) the Lessee shall be deemed to be in possession of the Leased Property by virtue of (i) the possessory interest therein granted to the Lessee under the Lease and (ii) its beneficial ownership interest in the Leased Property, and (b) in the event of any rejection or disaffirmance of the Lease in any bankruptcy or similar proceeding relating to the Lessor, the Lessee may (1) elect to remain in possession of the Leased Property for the balance of the Term at the Fair Market Rental Value, including all extensions exercisable under the Lease, and/or (2) exercise its mandatory and optional purchase rights, options and obligations set forth in the Lease, at the option of the Lessee.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 L</w:t>
      </w:r>
      <w:r>
        <w:rPr>
          <w:rFonts w:ascii="Arial" w:cs="Arial" w:eastAsia="Arial" w:hAnsi="Arial"/>
          <w:sz w:val="12"/>
          <w:szCs w:val="12"/>
          <w:color w:val="auto"/>
        </w:rPr>
        <w:t>IENS AND</w:t>
      </w:r>
      <w:r>
        <w:rPr>
          <w:rFonts w:ascii="Arial" w:cs="Arial" w:eastAsia="Arial" w:hAnsi="Arial"/>
          <w:sz w:val="18"/>
          <w:szCs w:val="18"/>
          <w:color w:val="auto"/>
        </w:rPr>
        <w:t xml:space="preserve"> S</w:t>
      </w:r>
      <w:r>
        <w:rPr>
          <w:rFonts w:ascii="Arial" w:cs="Arial" w:eastAsia="Arial" w:hAnsi="Arial"/>
          <w:sz w:val="12"/>
          <w:szCs w:val="12"/>
          <w:color w:val="auto"/>
        </w:rPr>
        <w:t>ECURITY</w:t>
      </w:r>
      <w:r>
        <w:rPr>
          <w:rFonts w:ascii="Arial" w:cs="Arial" w:eastAsia="Arial" w:hAnsi="Arial"/>
          <w:sz w:val="18"/>
          <w:szCs w:val="18"/>
          <w:color w:val="auto"/>
        </w:rPr>
        <w:t xml:space="preserve"> I</w:t>
      </w:r>
      <w:r>
        <w:rPr>
          <w:rFonts w:ascii="Arial" w:cs="Arial" w:eastAsia="Arial" w:hAnsi="Arial"/>
          <w:sz w:val="12"/>
          <w:szCs w:val="12"/>
          <w:color w:val="auto"/>
        </w:rPr>
        <w:t>NTERESTS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the Lease, the Lessee has granted a lien on and security interest in and to the Security Property as further described in the Lease.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 R</w:t>
      </w:r>
      <w:r>
        <w:rPr>
          <w:rFonts w:ascii="Arial" w:cs="Arial" w:eastAsia="Arial" w:hAnsi="Arial"/>
          <w:sz w:val="12"/>
          <w:szCs w:val="12"/>
          <w:color w:val="auto"/>
        </w:rPr>
        <w:t>EMEDIES</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The Lessor shall have the rights and remedies set forth in the Lease, the Assignment of Leases and the other Operative Documents, including, without limitation, being conferred a power of sale, subject in all cases, to any applicable limitations set forth in the Lease, the Assignment of Lease or the</w:t>
      </w:r>
    </w:p>
    <w:p>
      <w:pPr>
        <w:ind w:right="220"/>
        <w:spacing w:after="0" w:line="261" w:lineRule="auto"/>
        <w:rPr>
          <w:sz w:val="20"/>
          <w:szCs w:val="20"/>
          <w:color w:val="auto"/>
        </w:rPr>
      </w:pPr>
      <w:r>
        <w:rPr>
          <w:rFonts w:ascii="Arial" w:cs="Arial" w:eastAsia="Arial" w:hAnsi="Arial"/>
          <w:sz w:val="18"/>
          <w:szCs w:val="18"/>
          <w:color w:val="auto"/>
        </w:rPr>
        <w:t xml:space="preserve">other Operative Documents, as applicable.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w:t>
      </w:r>
      <w:r>
        <w:rPr>
          <w:rFonts w:ascii="Arial" w:cs="Arial" w:eastAsia="Arial" w:hAnsi="Arial"/>
          <w:sz w:val="12"/>
          <w:szCs w:val="12"/>
          <w:b w:val="1"/>
          <w:bCs w:val="1"/>
          <w:u w:val="single" w:color="auto"/>
          <w:color w:val="auto"/>
        </w:rPr>
        <w:t>POWER OF SALE HAS BEEN GRANTED IN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EASE</w:t>
      </w:r>
      <w:r>
        <w:rPr>
          <w:rFonts w:ascii="Arial" w:cs="Arial" w:eastAsia="Arial" w:hAnsi="Arial"/>
          <w:sz w:val="18"/>
          <w:szCs w:val="18"/>
          <w:b w:val="1"/>
          <w:bCs w:val="1"/>
          <w:u w:val="single" w:color="auto"/>
          <w:color w:val="auto"/>
        </w:rPr>
        <w:t>. A</w:t>
      </w:r>
      <w:r>
        <w:rPr>
          <w:rFonts w:ascii="Arial" w:cs="Arial" w:eastAsia="Arial" w:hAnsi="Arial"/>
          <w:sz w:val="18"/>
          <w:szCs w:val="18"/>
          <w:color w:val="auto"/>
        </w:rPr>
        <w:t xml:space="preserve"> </w:t>
      </w:r>
      <w:r>
        <w:rPr>
          <w:rFonts w:ascii="Arial" w:cs="Arial" w:eastAsia="Arial" w:hAnsi="Arial"/>
          <w:sz w:val="12"/>
          <w:szCs w:val="12"/>
          <w:b w:val="1"/>
          <w:bCs w:val="1"/>
          <w:u w:val="single" w:color="auto"/>
          <w:color w:val="auto"/>
        </w:rPr>
        <w:t>POWER OF SALE MAY ALLOW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ESSOR TO TAKE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ECURITY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ROPERTY AND SELL IT WITHOUT GOING TO COURT IN A FORECLOSURE ACTION UPON DEFAULT BY THE</w:t>
      </w:r>
      <w:r>
        <w:rPr>
          <w:rFonts w:ascii="Arial" w:cs="Arial" w:eastAsia="Arial" w:hAnsi="Arial"/>
          <w:sz w:val="18"/>
          <w:szCs w:val="18"/>
          <w:b w:val="1"/>
          <w:bCs w:val="1"/>
          <w:u w:val="single" w:color="auto"/>
          <w:color w:val="auto"/>
        </w:rPr>
        <w:t xml:space="preserve"> L</w:t>
      </w:r>
      <w:r>
        <w:rPr>
          <w:rFonts w:ascii="Arial" w:cs="Arial" w:eastAsia="Arial" w:hAnsi="Arial"/>
          <w:sz w:val="12"/>
          <w:szCs w:val="12"/>
          <w:b w:val="1"/>
          <w:bCs w:val="1"/>
          <w:u w:val="single" w:color="auto"/>
          <w:color w:val="auto"/>
        </w:rPr>
        <w:t>ESSEE</w:t>
      </w:r>
      <w:r>
        <w:rPr>
          <w:rFonts w:ascii="Arial" w:cs="Arial" w:eastAsia="Arial" w:hAnsi="Arial"/>
          <w:sz w:val="18"/>
          <w:szCs w:val="18"/>
          <w:b w:val="1"/>
          <w:bCs w:val="1"/>
          <w:u w:val="single" w:color="auto"/>
          <w:color w:val="auto"/>
        </w:rPr>
        <w:t xml:space="preserve">, </w:t>
      </w:r>
      <w:r>
        <w:rPr>
          <w:rFonts w:ascii="Arial" w:cs="Arial" w:eastAsia="Arial" w:hAnsi="Arial"/>
          <w:sz w:val="12"/>
          <w:szCs w:val="12"/>
          <w:b w:val="1"/>
          <w:bCs w:val="1"/>
          <w:u w:val="single" w:color="auto"/>
          <w:color w:val="auto"/>
        </w:rPr>
        <w:t>AS APPLICABLE UNDER THE</w:t>
      </w:r>
      <w:r>
        <w:rPr>
          <w:rFonts w:ascii="Arial" w:cs="Arial" w:eastAsia="Arial" w:hAnsi="Arial"/>
          <w:sz w:val="18"/>
          <w:szCs w:val="18"/>
          <w:b w:val="1"/>
          <w:bCs w:val="1"/>
          <w:u w:val="single" w:color="auto"/>
          <w:color w:val="auto"/>
        </w:rPr>
        <w:t xml:space="preserve"> L</w:t>
      </w:r>
      <w:r>
        <w:rPr>
          <w:rFonts w:ascii="Arial" w:cs="Arial" w:eastAsia="Arial" w:hAnsi="Arial"/>
          <w:sz w:val="12"/>
          <w:szCs w:val="12"/>
          <w:b w:val="1"/>
          <w:bCs w:val="1"/>
          <w:u w:val="single" w:color="auto"/>
          <w:color w:val="auto"/>
        </w:rPr>
        <w:t>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 N</w:t>
      </w:r>
      <w:r>
        <w:rPr>
          <w:rFonts w:ascii="Arial" w:cs="Arial" w:eastAsia="Arial" w:hAnsi="Arial"/>
          <w:sz w:val="12"/>
          <w:szCs w:val="12"/>
          <w:color w:val="auto"/>
        </w:rPr>
        <w:t>OTICE TO</w:t>
      </w:r>
      <w:r>
        <w:rPr>
          <w:rFonts w:ascii="Arial" w:cs="Arial" w:eastAsia="Arial" w:hAnsi="Arial"/>
          <w:sz w:val="18"/>
          <w:szCs w:val="18"/>
          <w:color w:val="auto"/>
        </w:rPr>
        <w:t xml:space="preserve"> P</w:t>
      </w:r>
      <w:r>
        <w:rPr>
          <w:rFonts w:ascii="Arial" w:cs="Arial" w:eastAsia="Arial" w:hAnsi="Arial"/>
          <w:sz w:val="12"/>
          <w:szCs w:val="12"/>
          <w:color w:val="auto"/>
        </w:rPr>
        <w:t>OTENTIAL</w:t>
      </w:r>
      <w:r>
        <w:rPr>
          <w:rFonts w:ascii="Arial" w:cs="Arial" w:eastAsia="Arial" w:hAnsi="Arial"/>
          <w:sz w:val="18"/>
          <w:szCs w:val="18"/>
          <w:color w:val="auto"/>
        </w:rPr>
        <w:t xml:space="preserve"> C</w:t>
      </w:r>
      <w:r>
        <w:rPr>
          <w:rFonts w:ascii="Arial" w:cs="Arial" w:eastAsia="Arial" w:hAnsi="Arial"/>
          <w:sz w:val="12"/>
          <w:szCs w:val="12"/>
          <w:color w:val="auto"/>
        </w:rPr>
        <w:t>LAIMANTS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Nothing contained in this Memorandum of Lease or the Lease shall be construed as constituting the consent or request of Lessor, expressed or implied, to or for the performance by any contractor, mechanic, laborer, materialman, supplier or vendor of any labor or services or for the furnishing of any materials for any construction, alteration, addition, repair, restoration or demolition of or to the Facility or any part thereof. Notice is hereby given that neither Lessor nor the Administrative Agent is or shall be liable for any labor, services or materials furnished or to be furnished to Lessee, or to anyone holding the Facility or any part or portion thereof through or under Lessee, and that no mechanic’s or other liens for any such labor, services or materials shall attach to or affect the interest of Lessor or the Administrative Agent in and to all or 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t>portion of the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7. I</w:t>
      </w:r>
      <w:r>
        <w:rPr>
          <w:rFonts w:ascii="Arial" w:cs="Arial" w:eastAsia="Arial" w:hAnsi="Arial"/>
          <w:sz w:val="12"/>
          <w:szCs w:val="12"/>
          <w:color w:val="auto"/>
        </w:rPr>
        <w:t>NCORPORATION</w:t>
      </w:r>
      <w:r>
        <w:rPr>
          <w:rFonts w:ascii="Arial" w:cs="Arial" w:eastAsia="Arial" w:hAnsi="Arial"/>
          <w:sz w:val="18"/>
          <w:szCs w:val="18"/>
          <w:color w:val="auto"/>
        </w:rPr>
        <w:t>; R</w:t>
      </w:r>
      <w:r>
        <w:rPr>
          <w:rFonts w:ascii="Arial" w:cs="Arial" w:eastAsia="Arial" w:hAnsi="Arial"/>
          <w:sz w:val="12"/>
          <w:szCs w:val="12"/>
          <w:color w:val="auto"/>
        </w:rPr>
        <w:t>ATIFICATION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of the terms, covenants, conditions and agreements in the Lease are hereby incorporated herein by this reference. The Lessor and the Lessee agree to observe, conform to, and comply with all of the terms, covenants, conditions and agreements so incorporated herein. Except as expressly supplemented hereby, the terms and provisions of the Lease are hereby ratified and confirmed and remain in full force and effect. In the event of any conflict between the terms of the Lease and the terms of this Memorandum of Lease, the terms of the Lease shall control. A complete copy of the Lease is available and on file at the office of Lessee and the office of Lessor.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 G</w:t>
      </w:r>
      <w:r>
        <w:rPr>
          <w:rFonts w:ascii="Arial" w:cs="Arial" w:eastAsia="Arial" w:hAnsi="Arial"/>
          <w:sz w:val="12"/>
          <w:szCs w:val="12"/>
          <w:color w:val="auto"/>
        </w:rPr>
        <w:t>OVERNING</w:t>
      </w:r>
      <w:r>
        <w:rPr>
          <w:rFonts w:ascii="Arial" w:cs="Arial" w:eastAsia="Arial" w:hAnsi="Arial"/>
          <w:sz w:val="18"/>
          <w:szCs w:val="18"/>
          <w:color w:val="auto"/>
        </w:rPr>
        <w:t xml:space="preserve"> L</w:t>
      </w:r>
      <w:r>
        <w:rPr>
          <w:rFonts w:ascii="Arial" w:cs="Arial" w:eastAsia="Arial" w:hAnsi="Arial"/>
          <w:sz w:val="12"/>
          <w:szCs w:val="12"/>
          <w:color w:val="auto"/>
        </w:rPr>
        <w:t>AW</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HIS</w:t>
      </w:r>
      <w:r>
        <w:rPr>
          <w:rFonts w:ascii="Arial" w:cs="Arial" w:eastAsia="Arial" w:hAnsi="Arial"/>
          <w:sz w:val="18"/>
          <w:szCs w:val="18"/>
          <w:color w:val="auto"/>
        </w:rPr>
        <w:t xml:space="preserve"> M</w:t>
      </w:r>
      <w:r>
        <w:rPr>
          <w:rFonts w:ascii="Arial" w:cs="Arial" w:eastAsia="Arial" w:hAnsi="Arial"/>
          <w:sz w:val="12"/>
          <w:szCs w:val="12"/>
          <w:color w:val="auto"/>
        </w:rPr>
        <w:t>EMORANDUM OF</w:t>
      </w:r>
      <w:r>
        <w:rPr>
          <w:rFonts w:ascii="Arial" w:cs="Arial" w:eastAsia="Arial" w:hAnsi="Arial"/>
          <w:sz w:val="18"/>
          <w:szCs w:val="18"/>
          <w:color w:val="auto"/>
        </w:rPr>
        <w:t xml:space="preserve"> L</w:t>
      </w:r>
      <w:r>
        <w:rPr>
          <w:rFonts w:ascii="Arial" w:cs="Arial" w:eastAsia="Arial" w:hAnsi="Arial"/>
          <w:sz w:val="12"/>
          <w:szCs w:val="12"/>
          <w:color w:val="auto"/>
        </w:rPr>
        <w:t>EASE SHALL BE GOVERNED BY</w:t>
      </w:r>
      <w:r>
        <w:rPr>
          <w:rFonts w:ascii="Arial" w:cs="Arial" w:eastAsia="Arial" w:hAnsi="Arial"/>
          <w:sz w:val="18"/>
          <w:szCs w:val="18"/>
          <w:color w:val="auto"/>
        </w:rPr>
        <w:t xml:space="preserve">, </w:t>
      </w:r>
      <w:r>
        <w:rPr>
          <w:rFonts w:ascii="Arial" w:cs="Arial" w:eastAsia="Arial" w:hAnsi="Arial"/>
          <w:sz w:val="12"/>
          <w:szCs w:val="12"/>
          <w:color w:val="auto"/>
        </w:rPr>
        <w:t>AND CONSTRUED AND INTERPRETED IN ACCORDANCE WITH</w:t>
      </w:r>
      <w:r>
        <w:rPr>
          <w:rFonts w:ascii="Arial" w:cs="Arial" w:eastAsia="Arial" w:hAnsi="Arial"/>
          <w:sz w:val="18"/>
          <w:szCs w:val="18"/>
          <w:color w:val="auto"/>
        </w:rPr>
        <w:t xml:space="preserve">, </w:t>
      </w:r>
      <w:r>
        <w:rPr>
          <w:rFonts w:ascii="Arial" w:cs="Arial" w:eastAsia="Arial" w:hAnsi="Arial"/>
          <w:sz w:val="12"/>
          <w:szCs w:val="12"/>
          <w:color w:val="auto"/>
        </w:rPr>
        <w:t>THE LAWS OF THE</w:t>
      </w:r>
      <w:r>
        <w:rPr>
          <w:rFonts w:ascii="Arial" w:cs="Arial" w:eastAsia="Arial" w:hAnsi="Arial"/>
          <w:sz w:val="18"/>
          <w:szCs w:val="18"/>
          <w:color w:val="auto"/>
        </w:rPr>
        <w:t xml:space="preserve"> S</w:t>
      </w:r>
      <w:r>
        <w:rPr>
          <w:rFonts w:ascii="Arial" w:cs="Arial" w:eastAsia="Arial" w:hAnsi="Arial"/>
          <w:sz w:val="12"/>
          <w:szCs w:val="12"/>
          <w:color w:val="auto"/>
        </w:rPr>
        <w:t>TATE OF</w:t>
      </w:r>
      <w:r>
        <w:rPr>
          <w:rFonts w:ascii="Arial" w:cs="Arial" w:eastAsia="Arial" w:hAnsi="Arial"/>
          <w:sz w:val="18"/>
          <w:szCs w:val="18"/>
          <w:color w:val="auto"/>
        </w:rPr>
        <w:t xml:space="preserve">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w:t>
      </w:r>
      <w:r>
        <w:rPr>
          <w:rFonts w:ascii="Arial" w:cs="Arial" w:eastAsia="Arial" w:hAnsi="Arial"/>
          <w:sz w:val="12"/>
          <w:szCs w:val="12"/>
          <w:color w:val="auto"/>
        </w:rPr>
        <w:t>WITHOUT</w:t>
      </w:r>
      <w:r>
        <w:rPr>
          <w:rFonts w:ascii="Arial" w:cs="Arial" w:eastAsia="Arial" w:hAnsi="Arial"/>
          <w:sz w:val="18"/>
          <w:szCs w:val="18"/>
          <w:color w:val="auto"/>
        </w:rPr>
        <w:t xml:space="preserve"> </w:t>
      </w:r>
      <w:r>
        <w:rPr>
          <w:rFonts w:ascii="Arial" w:cs="Arial" w:eastAsia="Arial" w:hAnsi="Arial"/>
          <w:sz w:val="12"/>
          <w:szCs w:val="12"/>
          <w:color w:val="auto"/>
        </w:rPr>
        <w:t xml:space="preserve">REGARD TO CONFLICTS OF LAW PRINCIPLES </w:t>
      </w:r>
      <w:r>
        <w:rPr>
          <w:rFonts w:ascii="Arial" w:cs="Arial" w:eastAsia="Arial" w:hAnsi="Arial"/>
          <w:sz w:val="18"/>
          <w:szCs w:val="18"/>
          <w:color w:val="auto"/>
        </w:rPr>
        <w:t>(</w:t>
      </w:r>
      <w:r>
        <w:rPr>
          <w:rFonts w:ascii="Arial" w:cs="Arial" w:eastAsia="Arial" w:hAnsi="Arial"/>
          <w:sz w:val="12"/>
          <w:szCs w:val="12"/>
          <w:color w:val="auto"/>
        </w:rPr>
        <w:t xml:space="preserve">OTHER THAN </w:t>
      </w:r>
      <w:r>
        <w:rPr>
          <w:rFonts w:ascii="Arial" w:cs="Arial" w:eastAsia="Arial" w:hAnsi="Arial"/>
          <w:sz w:val="18"/>
          <w:szCs w:val="18"/>
          <w:color w:val="auto"/>
        </w:rPr>
        <w:t>T</w:t>
      </w:r>
      <w:r>
        <w:rPr>
          <w:rFonts w:ascii="Arial" w:cs="Arial" w:eastAsia="Arial" w:hAnsi="Arial"/>
          <w:sz w:val="12"/>
          <w:szCs w:val="12"/>
          <w:color w:val="auto"/>
        </w:rPr>
        <w:t xml:space="preserve">ITLE </w:t>
      </w:r>
      <w:r>
        <w:rPr>
          <w:rFonts w:ascii="Arial" w:cs="Arial" w:eastAsia="Arial" w:hAnsi="Arial"/>
          <w:sz w:val="18"/>
          <w:szCs w:val="18"/>
          <w:color w:val="auto"/>
        </w:rPr>
        <w:t>14</w:t>
      </w:r>
      <w:r>
        <w:rPr>
          <w:rFonts w:ascii="Arial" w:cs="Arial" w:eastAsia="Arial" w:hAnsi="Arial"/>
          <w:sz w:val="12"/>
          <w:szCs w:val="12"/>
          <w:color w:val="auto"/>
        </w:rPr>
        <w:t xml:space="preserve"> OF </w:t>
      </w:r>
      <w:r>
        <w:rPr>
          <w:rFonts w:ascii="Arial" w:cs="Arial" w:eastAsia="Arial" w:hAnsi="Arial"/>
          <w:sz w:val="18"/>
          <w:szCs w:val="18"/>
          <w:color w:val="auto"/>
        </w:rPr>
        <w:t>A</w:t>
      </w:r>
      <w:r>
        <w:rPr>
          <w:rFonts w:ascii="Arial" w:cs="Arial" w:eastAsia="Arial" w:hAnsi="Arial"/>
          <w:sz w:val="12"/>
          <w:szCs w:val="12"/>
          <w:color w:val="auto"/>
        </w:rPr>
        <w:t xml:space="preserve">RTICLE </w:t>
      </w:r>
      <w:r>
        <w:rPr>
          <w:rFonts w:ascii="Arial" w:cs="Arial" w:eastAsia="Arial" w:hAnsi="Arial"/>
          <w:sz w:val="18"/>
          <w:szCs w:val="18"/>
          <w:color w:val="auto"/>
        </w:rPr>
        <w:t>5</w:t>
      </w:r>
      <w:r>
        <w:rPr>
          <w:rFonts w:ascii="Arial" w:cs="Arial" w:eastAsia="Arial" w:hAnsi="Arial"/>
          <w:sz w:val="12"/>
          <w:szCs w:val="12"/>
          <w:color w:val="auto"/>
        </w:rPr>
        <w:t xml:space="preserve"> OF THE </w:t>
      </w:r>
      <w:r>
        <w:rPr>
          <w:rFonts w:ascii="Arial" w:cs="Arial" w:eastAsia="Arial" w:hAnsi="Arial"/>
          <w:sz w:val="18"/>
          <w:szCs w:val="18"/>
          <w:color w:val="auto"/>
        </w:rPr>
        <w:t>N</w:t>
      </w:r>
      <w:r>
        <w:rPr>
          <w:rFonts w:ascii="Arial" w:cs="Arial" w:eastAsia="Arial" w:hAnsi="Arial"/>
          <w:sz w:val="12"/>
          <w:szCs w:val="12"/>
          <w:color w:val="auto"/>
        </w:rPr>
        <w:t xml:space="preserve">EW </w:t>
      </w:r>
      <w:r>
        <w:rPr>
          <w:rFonts w:ascii="Arial" w:cs="Arial" w:eastAsia="Arial" w:hAnsi="Arial"/>
          <w:sz w:val="18"/>
          <w:szCs w:val="18"/>
          <w:color w:val="auto"/>
        </w:rPr>
        <w:t>Y</w:t>
      </w:r>
      <w:r>
        <w:rPr>
          <w:rFonts w:ascii="Arial" w:cs="Arial" w:eastAsia="Arial" w:hAnsi="Arial"/>
          <w:sz w:val="12"/>
          <w:szCs w:val="12"/>
          <w:color w:val="auto"/>
        </w:rPr>
        <w:t>ORK GENERAL OBLIGATIONS LAW</w:t>
      </w:r>
      <w:r>
        <w:rPr>
          <w:rFonts w:ascii="Arial" w:cs="Arial" w:eastAsia="Arial" w:hAnsi="Arial"/>
          <w:sz w:val="18"/>
          <w:szCs w:val="18"/>
          <w:color w:val="auto"/>
        </w:rPr>
        <w:t>),</w:t>
      </w:r>
      <w:r>
        <w:rPr>
          <w:rFonts w:ascii="Arial" w:cs="Arial" w:eastAsia="Arial" w:hAnsi="Arial"/>
          <w:sz w:val="12"/>
          <w:szCs w:val="12"/>
          <w:color w:val="auto"/>
        </w:rPr>
        <w:t xml:space="preserve"> EXCEPT AS TO MATTERS RELATING TO THE CREATION OF THE </w:t>
      </w:r>
      <w:r>
        <w:rPr>
          <w:rFonts w:ascii="Arial" w:cs="Arial" w:eastAsia="Arial" w:hAnsi="Arial"/>
          <w:sz w:val="18"/>
          <w:szCs w:val="18"/>
          <w:color w:val="auto"/>
        </w:rPr>
        <w:t>L</w:t>
      </w:r>
      <w:r>
        <w:rPr>
          <w:rFonts w:ascii="Arial" w:cs="Arial" w:eastAsia="Arial" w:hAnsi="Arial"/>
          <w:sz w:val="12"/>
          <w:szCs w:val="12"/>
          <w:color w:val="auto"/>
        </w:rPr>
        <w:t xml:space="preserve">EASEHOLD </w:t>
      </w:r>
      <w:r>
        <w:rPr>
          <w:rFonts w:ascii="Arial" w:cs="Arial" w:eastAsia="Arial" w:hAnsi="Arial"/>
          <w:sz w:val="18"/>
          <w:szCs w:val="18"/>
          <w:color w:val="auto"/>
        </w:rPr>
        <w:t>E</w:t>
      </w:r>
      <w:r>
        <w:rPr>
          <w:rFonts w:ascii="Arial" w:cs="Arial" w:eastAsia="Arial" w:hAnsi="Arial"/>
          <w:sz w:val="12"/>
          <w:szCs w:val="12"/>
          <w:color w:val="auto"/>
        </w:rPr>
        <w:t xml:space="preserve">STATE UNDER THE </w:t>
      </w:r>
      <w:r>
        <w:rPr>
          <w:rFonts w:ascii="Arial" w:cs="Arial" w:eastAsia="Arial" w:hAnsi="Arial"/>
          <w:sz w:val="18"/>
          <w:szCs w:val="18"/>
          <w:color w:val="auto"/>
        </w:rPr>
        <w:t>L</w:t>
      </w:r>
      <w:r>
        <w:rPr>
          <w:rFonts w:ascii="Arial" w:cs="Arial" w:eastAsia="Arial" w:hAnsi="Arial"/>
          <w:sz w:val="12"/>
          <w:szCs w:val="12"/>
          <w:color w:val="auto"/>
        </w:rPr>
        <w:t>EASE AND THE EXERCISE OF RIGHTS AND REMEDIES WITH RESPECT THERETO</w:t>
      </w:r>
      <w:r>
        <w:rPr>
          <w:rFonts w:ascii="Arial" w:cs="Arial" w:eastAsia="Arial" w:hAnsi="Arial"/>
          <w:sz w:val="18"/>
          <w:szCs w:val="18"/>
          <w:color w:val="auto"/>
        </w:rPr>
        <w:t>,</w:t>
      </w:r>
      <w:r>
        <w:rPr>
          <w:rFonts w:ascii="Arial" w:cs="Arial" w:eastAsia="Arial" w:hAnsi="Arial"/>
          <w:sz w:val="12"/>
          <w:szCs w:val="12"/>
          <w:color w:val="auto"/>
        </w:rPr>
        <w:t xml:space="preserve"> WHICH SHALL BE GOVERNED BY AND CONSTRUED IN ACCORDANCE WITH THE LAW OF THE STATE OF </w:t>
      </w:r>
      <w:r>
        <w:rPr>
          <w:rFonts w:ascii="Arial" w:cs="Arial" w:eastAsia="Arial" w:hAnsi="Arial"/>
          <w:sz w:val="18"/>
          <w:szCs w:val="18"/>
          <w:color w:val="auto"/>
        </w:rPr>
        <w:t>N</w:t>
      </w:r>
      <w:r>
        <w:rPr>
          <w:rFonts w:ascii="Arial" w:cs="Arial" w:eastAsia="Arial" w:hAnsi="Arial"/>
          <w:sz w:val="12"/>
          <w:szCs w:val="12"/>
          <w:color w:val="auto"/>
        </w:rPr>
        <w:t xml:space="preserve">EW </w:t>
      </w:r>
      <w:r>
        <w:rPr>
          <w:rFonts w:ascii="Arial" w:cs="Arial" w:eastAsia="Arial" w:hAnsi="Arial"/>
          <w:sz w:val="18"/>
          <w:szCs w:val="18"/>
          <w:color w:val="auto"/>
        </w:rPr>
        <w:t>Y</w:t>
      </w:r>
      <w:r>
        <w:rPr>
          <w:rFonts w:ascii="Arial" w:cs="Arial" w:eastAsia="Arial" w:hAnsi="Arial"/>
          <w:sz w:val="12"/>
          <w:szCs w:val="12"/>
          <w:color w:val="auto"/>
        </w:rPr>
        <w:t>ORK</w:t>
      </w:r>
      <w:r>
        <w:rPr>
          <w:rFonts w:ascii="Arial" w:cs="Arial" w:eastAsia="Arial" w:hAnsi="Arial"/>
          <w:sz w:val="18"/>
          <w:szCs w:val="18"/>
          <w:color w:val="auto"/>
        </w:rPr>
        <w:t>. W</w:t>
      </w:r>
      <w:r>
        <w:rPr>
          <w:rFonts w:ascii="Arial" w:cs="Arial" w:eastAsia="Arial" w:hAnsi="Arial"/>
          <w:sz w:val="12"/>
          <w:szCs w:val="12"/>
          <w:color w:val="auto"/>
        </w:rPr>
        <w:t>ITHOUT LIMITING THE FOREGOING</w:t>
      </w:r>
      <w:r>
        <w:rPr>
          <w:rFonts w:ascii="Arial" w:cs="Arial" w:eastAsia="Arial" w:hAnsi="Arial"/>
          <w:sz w:val="18"/>
          <w:szCs w:val="18"/>
          <w:color w:val="auto"/>
        </w:rPr>
        <w:t>,</w:t>
      </w:r>
      <w:r>
        <w:rPr>
          <w:rFonts w:ascii="Arial" w:cs="Arial" w:eastAsia="Arial" w:hAnsi="Arial"/>
          <w:sz w:val="12"/>
          <w:szCs w:val="12"/>
          <w:color w:val="auto"/>
        </w:rPr>
        <w:t xml:space="preserve"> IN THE EVENT THAT THE </w:t>
      </w:r>
      <w:r>
        <w:rPr>
          <w:rFonts w:ascii="Arial" w:cs="Arial" w:eastAsia="Arial" w:hAnsi="Arial"/>
          <w:sz w:val="18"/>
          <w:szCs w:val="18"/>
          <w:color w:val="auto"/>
        </w:rPr>
        <w:t>L</w:t>
      </w:r>
      <w:r>
        <w:rPr>
          <w:rFonts w:ascii="Arial" w:cs="Arial" w:eastAsia="Arial" w:hAnsi="Arial"/>
          <w:sz w:val="12"/>
          <w:szCs w:val="12"/>
          <w:color w:val="auto"/>
        </w:rPr>
        <w:t>EASE IS DEEMED TO CONSTITUTE A FINANCING</w:t>
      </w:r>
      <w:r>
        <w:rPr>
          <w:rFonts w:ascii="Arial" w:cs="Arial" w:eastAsia="Arial" w:hAnsi="Arial"/>
          <w:sz w:val="18"/>
          <w:szCs w:val="18"/>
          <w:color w:val="auto"/>
        </w:rPr>
        <w:t>,</w:t>
      </w:r>
      <w:r>
        <w:rPr>
          <w:rFonts w:ascii="Arial" w:cs="Arial" w:eastAsia="Arial" w:hAnsi="Arial"/>
          <w:sz w:val="12"/>
          <w:szCs w:val="12"/>
          <w:color w:val="auto"/>
        </w:rPr>
        <w:t xml:space="preserve"> WHICH IS THE INTENTION OF THE PARTIES</w:t>
      </w:r>
      <w:r>
        <w:rPr>
          <w:rFonts w:ascii="Arial" w:cs="Arial" w:eastAsia="Arial" w:hAnsi="Arial"/>
          <w:sz w:val="18"/>
          <w:szCs w:val="18"/>
          <w:color w:val="auto"/>
        </w:rPr>
        <w:t>,</w:t>
      </w:r>
      <w:r>
        <w:rPr>
          <w:rFonts w:ascii="Arial" w:cs="Arial" w:eastAsia="Arial" w:hAnsi="Arial"/>
          <w:sz w:val="12"/>
          <w:szCs w:val="12"/>
          <w:color w:val="auto"/>
        </w:rPr>
        <w:t xml:space="preserve"> THE LAWS OF THE </w:t>
      </w:r>
      <w:r>
        <w:rPr>
          <w:rFonts w:ascii="Arial" w:cs="Arial" w:eastAsia="Arial" w:hAnsi="Arial"/>
          <w:sz w:val="18"/>
          <w:szCs w:val="18"/>
          <w:color w:val="auto"/>
        </w:rPr>
        <w:t>S</w:t>
      </w:r>
      <w:r>
        <w:rPr>
          <w:rFonts w:ascii="Arial" w:cs="Arial" w:eastAsia="Arial" w:hAnsi="Arial"/>
          <w:sz w:val="12"/>
          <w:szCs w:val="12"/>
          <w:color w:val="auto"/>
        </w:rPr>
        <w:t xml:space="preserve">TATE OF </w:t>
      </w:r>
      <w:r>
        <w:rPr>
          <w:rFonts w:ascii="Arial" w:cs="Arial" w:eastAsia="Arial" w:hAnsi="Arial"/>
          <w:sz w:val="18"/>
          <w:szCs w:val="18"/>
          <w:color w:val="auto"/>
        </w:rPr>
        <w:t>N</w:t>
      </w:r>
      <w:r>
        <w:rPr>
          <w:rFonts w:ascii="Arial" w:cs="Arial" w:eastAsia="Arial" w:hAnsi="Arial"/>
          <w:sz w:val="12"/>
          <w:szCs w:val="12"/>
          <w:color w:val="auto"/>
        </w:rPr>
        <w:t xml:space="preserve">EW </w:t>
      </w:r>
      <w:r>
        <w:rPr>
          <w:rFonts w:ascii="Arial" w:cs="Arial" w:eastAsia="Arial" w:hAnsi="Arial"/>
          <w:sz w:val="18"/>
          <w:szCs w:val="18"/>
          <w:color w:val="auto"/>
        </w:rPr>
        <w:t>Y</w:t>
      </w:r>
      <w:r>
        <w:rPr>
          <w:rFonts w:ascii="Arial" w:cs="Arial" w:eastAsia="Arial" w:hAnsi="Arial"/>
          <w:sz w:val="12"/>
          <w:szCs w:val="12"/>
          <w:color w:val="auto"/>
        </w:rPr>
        <w:t>ORK</w:t>
      </w:r>
      <w:r>
        <w:rPr>
          <w:rFonts w:ascii="Arial" w:cs="Arial" w:eastAsia="Arial" w:hAnsi="Arial"/>
          <w:sz w:val="18"/>
          <w:szCs w:val="18"/>
          <w:color w:val="auto"/>
        </w:rPr>
        <w:t>,</w:t>
      </w:r>
      <w:r>
        <w:rPr>
          <w:rFonts w:ascii="Arial" w:cs="Arial" w:eastAsia="Arial" w:hAnsi="Arial"/>
          <w:sz w:val="12"/>
          <w:szCs w:val="12"/>
          <w:color w:val="auto"/>
        </w:rPr>
        <w:t xml:space="preserve"> WITHOUT REGARD TO CONFLICTS OF LAWS PRINCIPLES </w:t>
      </w:r>
      <w:r>
        <w:rPr>
          <w:rFonts w:ascii="Arial" w:cs="Arial" w:eastAsia="Arial" w:hAnsi="Arial"/>
          <w:sz w:val="18"/>
          <w:szCs w:val="18"/>
          <w:color w:val="auto"/>
        </w:rPr>
        <w:t>(</w:t>
      </w:r>
      <w:r>
        <w:rPr>
          <w:rFonts w:ascii="Arial" w:cs="Arial" w:eastAsia="Arial" w:hAnsi="Arial"/>
          <w:sz w:val="12"/>
          <w:szCs w:val="12"/>
          <w:color w:val="auto"/>
        </w:rPr>
        <w:t xml:space="preserve">OTHER THAN </w:t>
      </w:r>
      <w:r>
        <w:rPr>
          <w:rFonts w:ascii="Arial" w:cs="Arial" w:eastAsia="Arial" w:hAnsi="Arial"/>
          <w:sz w:val="18"/>
          <w:szCs w:val="18"/>
          <w:color w:val="auto"/>
        </w:rPr>
        <w:t>T</w:t>
      </w:r>
      <w:r>
        <w:rPr>
          <w:rFonts w:ascii="Arial" w:cs="Arial" w:eastAsia="Arial" w:hAnsi="Arial"/>
          <w:sz w:val="12"/>
          <w:szCs w:val="12"/>
          <w:color w:val="auto"/>
        </w:rPr>
        <w:t xml:space="preserve">ITLE </w:t>
      </w:r>
      <w:r>
        <w:rPr>
          <w:rFonts w:ascii="Arial" w:cs="Arial" w:eastAsia="Arial" w:hAnsi="Arial"/>
          <w:sz w:val="18"/>
          <w:szCs w:val="18"/>
          <w:color w:val="auto"/>
        </w:rPr>
        <w:t>14</w:t>
      </w:r>
      <w:r>
        <w:rPr>
          <w:rFonts w:ascii="Arial" w:cs="Arial" w:eastAsia="Arial" w:hAnsi="Arial"/>
          <w:sz w:val="12"/>
          <w:szCs w:val="12"/>
          <w:color w:val="auto"/>
        </w:rPr>
        <w:t xml:space="preserve"> OF </w:t>
      </w:r>
      <w:r>
        <w:rPr>
          <w:rFonts w:ascii="Arial" w:cs="Arial" w:eastAsia="Arial" w:hAnsi="Arial"/>
          <w:sz w:val="18"/>
          <w:szCs w:val="18"/>
          <w:color w:val="auto"/>
        </w:rPr>
        <w:t>A</w:t>
      </w:r>
      <w:r>
        <w:rPr>
          <w:rFonts w:ascii="Arial" w:cs="Arial" w:eastAsia="Arial" w:hAnsi="Arial"/>
          <w:sz w:val="12"/>
          <w:szCs w:val="12"/>
          <w:color w:val="auto"/>
        </w:rPr>
        <w:t xml:space="preserve">RTICLE </w:t>
      </w:r>
      <w:r>
        <w:rPr>
          <w:rFonts w:ascii="Arial" w:cs="Arial" w:eastAsia="Arial" w:hAnsi="Arial"/>
          <w:sz w:val="18"/>
          <w:szCs w:val="18"/>
          <w:color w:val="auto"/>
        </w:rPr>
        <w:t>5</w:t>
      </w:r>
      <w:r>
        <w:rPr>
          <w:rFonts w:ascii="Arial" w:cs="Arial" w:eastAsia="Arial" w:hAnsi="Arial"/>
          <w:sz w:val="12"/>
          <w:szCs w:val="12"/>
          <w:color w:val="auto"/>
        </w:rPr>
        <w:t xml:space="preserve"> OF THE </w:t>
      </w:r>
      <w:r>
        <w:rPr>
          <w:rFonts w:ascii="Arial" w:cs="Arial" w:eastAsia="Arial" w:hAnsi="Arial"/>
          <w:sz w:val="18"/>
          <w:szCs w:val="18"/>
          <w:color w:val="auto"/>
        </w:rPr>
        <w:t>N</w:t>
      </w:r>
      <w:r>
        <w:rPr>
          <w:rFonts w:ascii="Arial" w:cs="Arial" w:eastAsia="Arial" w:hAnsi="Arial"/>
          <w:sz w:val="12"/>
          <w:szCs w:val="12"/>
          <w:color w:val="auto"/>
        </w:rPr>
        <w:t xml:space="preserve">EW </w:t>
      </w:r>
      <w:r>
        <w:rPr>
          <w:rFonts w:ascii="Arial" w:cs="Arial" w:eastAsia="Arial" w:hAnsi="Arial"/>
          <w:sz w:val="18"/>
          <w:szCs w:val="18"/>
          <w:color w:val="auto"/>
        </w:rPr>
        <w:t>Y</w:t>
      </w:r>
      <w:r>
        <w:rPr>
          <w:rFonts w:ascii="Arial" w:cs="Arial" w:eastAsia="Arial" w:hAnsi="Arial"/>
          <w:sz w:val="12"/>
          <w:szCs w:val="12"/>
          <w:color w:val="auto"/>
        </w:rPr>
        <w:t>ORK GENERAL OBLIGATIONS LAW</w:t>
      </w:r>
      <w:r>
        <w:rPr>
          <w:rFonts w:ascii="Arial" w:cs="Arial" w:eastAsia="Arial" w:hAnsi="Arial"/>
          <w:sz w:val="18"/>
          <w:szCs w:val="18"/>
          <w:color w:val="auto"/>
        </w:rPr>
        <w:t xml:space="preserve">), </w:t>
      </w:r>
      <w:r>
        <w:rPr>
          <w:rFonts w:ascii="Arial" w:cs="Arial" w:eastAsia="Arial" w:hAnsi="Arial"/>
          <w:sz w:val="12"/>
          <w:szCs w:val="12"/>
          <w:color w:val="auto"/>
        </w:rPr>
        <w:t>SHALL GOVERN THE CREATION</w:t>
      </w:r>
      <w:r>
        <w:rPr>
          <w:rFonts w:ascii="Arial" w:cs="Arial" w:eastAsia="Arial" w:hAnsi="Arial"/>
          <w:sz w:val="18"/>
          <w:szCs w:val="18"/>
          <w:color w:val="auto"/>
        </w:rPr>
        <w:t xml:space="preserve">, </w:t>
      </w:r>
      <w:r>
        <w:rPr>
          <w:rFonts w:ascii="Arial" w:cs="Arial" w:eastAsia="Arial" w:hAnsi="Arial"/>
          <w:sz w:val="12"/>
          <w:szCs w:val="12"/>
          <w:color w:val="auto"/>
        </w:rPr>
        <w:t>TERMS AND PROVISIONS OF THE INDEBTEDNESS EVIDENCED THEREBY AND THE CREATION</w:t>
      </w:r>
      <w:r>
        <w:rPr>
          <w:rFonts w:ascii="Arial" w:cs="Arial" w:eastAsia="Arial" w:hAnsi="Arial"/>
          <w:sz w:val="18"/>
          <w:szCs w:val="18"/>
          <w:color w:val="auto"/>
        </w:rPr>
        <w:t xml:space="preserve">, </w:t>
      </w:r>
      <w:r>
        <w:rPr>
          <w:rFonts w:ascii="Arial" w:cs="Arial" w:eastAsia="Arial" w:hAnsi="Arial"/>
          <w:sz w:val="12"/>
          <w:szCs w:val="12"/>
          <w:color w:val="auto"/>
        </w:rPr>
        <w:t>PERFECTION</w:t>
      </w:r>
      <w:r>
        <w:rPr>
          <w:rFonts w:ascii="Arial" w:cs="Arial" w:eastAsia="Arial" w:hAnsi="Arial"/>
          <w:sz w:val="18"/>
          <w:szCs w:val="18"/>
          <w:color w:val="auto"/>
        </w:rPr>
        <w:t xml:space="preserve">, </w:t>
      </w:r>
      <w:r>
        <w:rPr>
          <w:rFonts w:ascii="Arial" w:cs="Arial" w:eastAsia="Arial" w:hAnsi="Arial"/>
          <w:sz w:val="12"/>
          <w:szCs w:val="12"/>
          <w:color w:val="auto"/>
        </w:rPr>
        <w:t>EFFECT OF</w:t>
      </w:r>
      <w:r>
        <w:rPr>
          <w:rFonts w:ascii="Arial" w:cs="Arial" w:eastAsia="Arial" w:hAnsi="Arial"/>
          <w:sz w:val="18"/>
          <w:szCs w:val="18"/>
          <w:color w:val="auto"/>
        </w:rPr>
        <w:t xml:space="preserve"> </w:t>
      </w:r>
      <w:r>
        <w:rPr>
          <w:rFonts w:ascii="Arial" w:cs="Arial" w:eastAsia="Arial" w:hAnsi="Arial"/>
          <w:sz w:val="12"/>
          <w:szCs w:val="12"/>
          <w:color w:val="auto"/>
        </w:rPr>
        <w:t>PERFECTION</w:t>
      </w:r>
      <w:r>
        <w:rPr>
          <w:rFonts w:ascii="Arial" w:cs="Arial" w:eastAsia="Arial" w:hAnsi="Arial"/>
          <w:sz w:val="18"/>
          <w:szCs w:val="18"/>
          <w:color w:val="auto"/>
        </w:rPr>
        <w:t>,</w:t>
      </w:r>
      <w:r>
        <w:rPr>
          <w:rFonts w:ascii="Arial" w:cs="Arial" w:eastAsia="Arial" w:hAnsi="Arial"/>
          <w:sz w:val="12"/>
          <w:szCs w:val="12"/>
          <w:color w:val="auto"/>
        </w:rPr>
        <w:t xml:space="preserve"> PRIORITY AND ENFORCEMENT OF THE SECURITY INTERESTS AND LIENS GRANTED THEREUNDER</w:t>
      </w:r>
      <w:r>
        <w:rPr>
          <w:rFonts w:ascii="Arial" w:cs="Arial" w:eastAsia="Arial" w:hAnsi="Arial"/>
          <w:sz w:val="18"/>
          <w:szCs w:val="18"/>
          <w:color w:val="auto"/>
        </w:rPr>
        <w:t>,</w:t>
      </w:r>
      <w:r>
        <w:rPr>
          <w:rFonts w:ascii="Arial" w:cs="Arial" w:eastAsia="Arial" w:hAnsi="Arial"/>
          <w:sz w:val="12"/>
          <w:szCs w:val="12"/>
          <w:color w:val="auto"/>
        </w:rPr>
        <w:t xml:space="preserve"> BUT PERFECTION OF SAID LIEN SHALL BE GOVERNED BY AND CONSTRUED IN ACCORDANCE WITH THE LAW OF THE STATE IN WHICH THE </w:t>
      </w:r>
      <w:r>
        <w:rPr>
          <w:rFonts w:ascii="Arial" w:cs="Arial" w:eastAsia="Arial" w:hAnsi="Arial"/>
          <w:sz w:val="18"/>
          <w:szCs w:val="18"/>
          <w:color w:val="auto"/>
        </w:rPr>
        <w:t>L</w:t>
      </w:r>
      <w:r>
        <w:rPr>
          <w:rFonts w:ascii="Arial" w:cs="Arial" w:eastAsia="Arial" w:hAnsi="Arial"/>
          <w:sz w:val="12"/>
          <w:szCs w:val="12"/>
          <w:color w:val="auto"/>
        </w:rPr>
        <w:t xml:space="preserve">EASED </w:t>
      </w:r>
      <w:r>
        <w:rPr>
          <w:rFonts w:ascii="Arial" w:cs="Arial" w:eastAsia="Arial" w:hAnsi="Arial"/>
          <w:sz w:val="18"/>
          <w:szCs w:val="18"/>
          <w:color w:val="auto"/>
        </w:rPr>
        <w:t>P</w:t>
      </w:r>
      <w:r>
        <w:rPr>
          <w:rFonts w:ascii="Arial" w:cs="Arial" w:eastAsia="Arial" w:hAnsi="Arial"/>
          <w:sz w:val="12"/>
          <w:szCs w:val="12"/>
          <w:color w:val="auto"/>
        </w:rPr>
        <w:t>ROPERTY IS LOCATED</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 C</w:t>
      </w:r>
      <w:r>
        <w:rPr>
          <w:rFonts w:ascii="Arial" w:cs="Arial" w:eastAsia="Arial" w:hAnsi="Arial"/>
          <w:sz w:val="12"/>
          <w:szCs w:val="12"/>
          <w:color w:val="auto"/>
        </w:rPr>
        <w:t>OUNTERPART</w:t>
      </w:r>
      <w:r>
        <w:rPr>
          <w:rFonts w:ascii="Arial" w:cs="Arial" w:eastAsia="Arial" w:hAnsi="Arial"/>
          <w:sz w:val="18"/>
          <w:szCs w:val="18"/>
          <w:color w:val="auto"/>
        </w:rPr>
        <w:t xml:space="preserve"> E</w:t>
      </w:r>
      <w:r>
        <w:rPr>
          <w:rFonts w:ascii="Arial" w:cs="Arial" w:eastAsia="Arial" w:hAnsi="Arial"/>
          <w:sz w:val="12"/>
          <w:szCs w:val="12"/>
          <w:color w:val="auto"/>
        </w:rPr>
        <w:t>XECUTION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Memorandum of Lease may be executed in any number of counterparts and by each of the parties hereto in separate counterparts, all such counterparts together constituting but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 F</w:t>
      </w:r>
      <w:r>
        <w:rPr>
          <w:rFonts w:ascii="Arial" w:cs="Arial" w:eastAsia="Arial" w:hAnsi="Arial"/>
          <w:sz w:val="12"/>
          <w:szCs w:val="12"/>
          <w:color w:val="auto"/>
        </w:rPr>
        <w:t>UTURE</w:t>
      </w:r>
      <w:r>
        <w:rPr>
          <w:rFonts w:ascii="Arial" w:cs="Arial" w:eastAsia="Arial" w:hAnsi="Arial"/>
          <w:sz w:val="18"/>
          <w:szCs w:val="18"/>
          <w:color w:val="auto"/>
        </w:rPr>
        <w:t xml:space="preserve"> A</w:t>
      </w:r>
      <w:r>
        <w:rPr>
          <w:rFonts w:ascii="Arial" w:cs="Arial" w:eastAsia="Arial" w:hAnsi="Arial"/>
          <w:sz w:val="12"/>
          <w:szCs w:val="12"/>
          <w:color w:val="auto"/>
        </w:rPr>
        <w:t>DVANCES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Memorandum of Lease will be deemed given to secure not only existing financing but also future advances made pursuant to or as provided in the Operative Documents, whether such advances are obligatory or to be made at the option of the Participants, or otherwise to the same extent as if such future advances were made on the date of execution of this Memorandum of Lease, although there may be no financing outstanding at the time any advance is made. To the fullest extent permitted by law, the lien of this Memorandum of Lease shall be valid as to all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83" w:name="page284"/>
    <w:bookmarkEnd w:id="283"/>
    <w:p>
      <w:pPr>
        <w:jc w:val="both"/>
        <w:spacing w:after="0" w:line="277" w:lineRule="auto"/>
        <w:rPr>
          <w:sz w:val="20"/>
          <w:szCs w:val="20"/>
          <w:color w:val="auto"/>
        </w:rPr>
      </w:pPr>
      <w:r>
        <w:rPr>
          <w:rFonts w:ascii="Arial" w:cs="Arial" w:eastAsia="Arial" w:hAnsi="Arial"/>
          <w:sz w:val="18"/>
          <w:szCs w:val="18"/>
          <w:color w:val="auto"/>
        </w:rPr>
        <w:t>such amounts, including all future advances, from the time this Memorandum of Lease is recorded. Nothing contained herein shall be deemed an obligation to make future advances to any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11. A</w:t>
      </w:r>
      <w:r>
        <w:rPr>
          <w:rFonts w:ascii="Arial" w:cs="Arial" w:eastAsia="Arial" w:hAnsi="Arial"/>
          <w:sz w:val="12"/>
          <w:szCs w:val="12"/>
          <w:color w:val="auto"/>
        </w:rPr>
        <w:t>MENDMENTS AND</w:t>
      </w:r>
      <w:r>
        <w:rPr>
          <w:rFonts w:ascii="Arial" w:cs="Arial" w:eastAsia="Arial" w:hAnsi="Arial"/>
          <w:sz w:val="18"/>
          <w:szCs w:val="18"/>
          <w:color w:val="auto"/>
        </w:rPr>
        <w:t xml:space="preserve"> M</w:t>
      </w:r>
      <w:r>
        <w:rPr>
          <w:rFonts w:ascii="Arial" w:cs="Arial" w:eastAsia="Arial" w:hAnsi="Arial"/>
          <w:sz w:val="12"/>
          <w:szCs w:val="12"/>
          <w:color w:val="auto"/>
        </w:rPr>
        <w:t>ODIFICATIONS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requirements, restrictions and conditions set forth in the Participation Agreement, neither the Lease nor any provision thereof may be amended, waived, discharged or terminated except by an instrument in writing, signed by the Lessor and the Lessee.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12. N</w:t>
      </w:r>
      <w:r>
        <w:rPr>
          <w:rFonts w:ascii="Arial" w:cs="Arial" w:eastAsia="Arial" w:hAnsi="Arial"/>
          <w:sz w:val="12"/>
          <w:szCs w:val="12"/>
          <w:color w:val="auto"/>
        </w:rPr>
        <w:t>OTICES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Unless otherwise specified herein, all notices, requests, demands or other communications to or upon the respective parties hereto shall be in writing and shall be deemed to have been duly given and shall be effective: (i) in the case of notice by letter, the earlier of (x) when delivered to the addressee by hand or courier if delivered on a Business Day and, if not delivered on a Business Day, the first Business Day thereafter and (y) on the third Business Day after depositing the same in the mails, registered or certified mail, postage prepaid, return receipt requested, (ii) in the case of a prepaid delivery to a reputable national overnight air courier service, on the Business Day following such date of delivery, and (iii) in the case of notice by facsimile or bank wire, when receipt is confirmed if delivered on a Business Day and, if not delivered on a Business Day, the first Business Day thereafter, addressed as provided below, or to such other address as any of the parties hereto may designate by written notice.</w:t>
      </w:r>
    </w:p>
    <w:p>
      <w:pPr>
        <w:sectPr>
          <w:pgSz w:w="11900" w:h="16838" w:orient="portrait"/>
          <w:cols w:equalWidth="0" w:num="1">
            <w:col w:w="11420"/>
          </w:cols>
          <w:pgMar w:left="240" w:top="409" w:right="239" w:bottom="1440" w:gutter="0" w:footer="0" w:header="0"/>
        </w:sectPr>
      </w:pPr>
    </w:p>
    <w:p>
      <w:pPr>
        <w:spacing w:after="0" w:line="178"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If to the Lessor: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 Leasing BSC,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11333 McCormick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Mailcode: MD5-032-07-05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Hunt Valley, Maryland 21031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Operations</w:t>
      </w:r>
    </w:p>
    <w:p>
      <w:pPr>
        <w:spacing w:after="0" w:line="200" w:lineRule="exact"/>
        <w:rPr>
          <w:sz w:val="20"/>
          <w:szCs w:val="20"/>
          <w:color w:val="auto"/>
        </w:rPr>
      </w:pPr>
    </w:p>
    <w:p>
      <w:pPr>
        <w:sectPr>
          <w:pgSz w:w="11900" w:h="16838" w:orient="portrait"/>
          <w:cols w:equalWidth="0" w:num="2">
            <w:col w:w="2620" w:space="720"/>
            <w:col w:w="8080"/>
          </w:cols>
          <w:pgMar w:left="240" w:top="409" w:right="239" w:bottom="1440" w:gutter="0" w:footer="0" w:header="0"/>
          <w:type w:val="continuous"/>
        </w:sectPr>
      </w:pPr>
    </w:p>
    <w:p>
      <w:pPr>
        <w:spacing w:after="0" w:line="1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If to the Lessee: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Old Saw Mill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777 Old Saw Mill River Road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Tarrytown, New York 10591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0" w:lineRule="exact"/>
        <w:rPr>
          <w:sz w:val="20"/>
          <w:szCs w:val="20"/>
          <w:color w:val="auto"/>
        </w:rPr>
      </w:pPr>
    </w:p>
    <w:p>
      <w:pPr>
        <w:sectPr>
          <w:pgSz w:w="11900" w:h="16838" w:orient="portrait"/>
          <w:cols w:equalWidth="0" w:num="2">
            <w:col w:w="2620" w:space="720"/>
            <w:col w:w="8080"/>
          </w:cols>
          <w:pgMar w:left="240" w:top="409"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13. M</w:t>
      </w:r>
      <w:r>
        <w:rPr>
          <w:rFonts w:ascii="Arial" w:cs="Arial" w:eastAsia="Arial" w:hAnsi="Arial"/>
          <w:sz w:val="11"/>
          <w:szCs w:val="11"/>
          <w:color w:val="auto"/>
        </w:rPr>
        <w:t>ISCELLANEOUS</w:t>
      </w:r>
      <w:r>
        <w:rPr>
          <w:rFonts w:ascii="Arial" w:cs="Arial" w:eastAsia="Arial" w:hAnsi="Arial"/>
          <w:sz w:val="17"/>
          <w:szCs w:val="17"/>
          <w:color w:val="auto"/>
        </w:rPr>
        <w:t>.</w:t>
      </w:r>
    </w:p>
    <w:p>
      <w:pPr>
        <w:sectPr>
          <w:pgSz w:w="11900" w:h="16838" w:orient="portrait"/>
          <w:cols w:equalWidth="0" w:num="1">
            <w:col w:w="11420"/>
          </w:cols>
          <w:pgMar w:left="240" w:top="409" w:right="239" w:bottom="1440" w:gutter="0" w:footer="0" w:header="0"/>
          <w:type w:val="continuous"/>
        </w:sectPr>
      </w:pPr>
    </w:p>
    <w:p>
      <w:pPr>
        <w:spacing w:after="0" w:line="237" w:lineRule="exact"/>
        <w:rPr>
          <w:sz w:val="20"/>
          <w:szCs w:val="20"/>
          <w:color w:val="auto"/>
        </w:rPr>
      </w:pPr>
    </w:p>
    <w:p>
      <w:pPr>
        <w:ind w:left="900" w:hanging="244"/>
        <w:spacing w:after="0"/>
        <w:tabs>
          <w:tab w:leader="none" w:pos="9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This Memorandum of Lease shall be binding upon and shall inure to the benefit of the parties hereto, and their respective successors and assigns.</w:t>
      </w:r>
    </w:p>
    <w:p>
      <w:pPr>
        <w:spacing w:after="0" w:line="248" w:lineRule="exact"/>
        <w:rPr>
          <w:rFonts w:ascii="Arial" w:cs="Arial" w:eastAsia="Arial" w:hAnsi="Arial"/>
          <w:sz w:val="16"/>
          <w:szCs w:val="16"/>
          <w:color w:val="auto"/>
        </w:rPr>
      </w:pPr>
    </w:p>
    <w:p>
      <w:pPr>
        <w:ind w:left="900" w:hanging="244"/>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parties hereto agree that this Memorandum of Lease shall be recorded in the public records of Westchester County, New York.</w:t>
      </w:r>
    </w:p>
    <w:p>
      <w:pPr>
        <w:spacing w:after="0" w:line="225" w:lineRule="exact"/>
        <w:rPr>
          <w:rFonts w:ascii="Arial" w:cs="Arial" w:eastAsia="Arial" w:hAnsi="Arial"/>
          <w:sz w:val="18"/>
          <w:szCs w:val="18"/>
          <w:color w:val="auto"/>
        </w:rPr>
      </w:pPr>
    </w:p>
    <w:p>
      <w:pPr>
        <w:ind w:firstLine="656"/>
        <w:spacing w:after="0" w:line="277" w:lineRule="auto"/>
        <w:tabs>
          <w:tab w:leader="none" w:pos="90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parties hereto agree that, except as specifically set forth in the Lease or in any other Operative Document, Lessor shall have no personal liability whatsoever to the Lessee, the Lenders, the Administrative Agent or any of their respective successors and assigns for 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284" w:name="page285"/>
    <w:bookmarkEnd w:id="284"/>
    <w:p>
      <w:pPr>
        <w:jc w:val="both"/>
        <w:spacing w:after="0" w:line="291" w:lineRule="auto"/>
        <w:rPr>
          <w:sz w:val="20"/>
          <w:szCs w:val="20"/>
          <w:color w:val="auto"/>
        </w:rPr>
      </w:pPr>
      <w:r>
        <w:rPr>
          <w:rFonts w:ascii="Arial" w:cs="Arial" w:eastAsia="Arial" w:hAnsi="Arial"/>
          <w:sz w:val="16"/>
          <w:szCs w:val="16"/>
          <w:color w:val="auto"/>
        </w:rPr>
        <w:t xml:space="preserve">claim based on or in respect of the Lease or any of the other Operative Documents or arising in any way from the Overall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Lessor shall be liable (a) for its own willful misconduct or gross negligence (or negligence in the handling of funds), (b) for any Tax based on, with respect to or measured by any income, fees, commission, compensation or other amounts received by it as compensation for services (including for acting as Lessor) or otherwise under, or as contemplated by, the Operative Documents, (c) Lessor Liens on the Leased Property which are attributable to it, (d) for its representations and warranties made in the Participation Agreement or in any certificate or documents delivered pursuant thereto, (e) for its failure to perform any of its covenants and agreements set forth in the Participation Agreement or any other Operative Document, and (f) as otherwise expressly provided in the Operative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no event shall Lessor’s liability exceed the amount of its interest in the Facility.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IGNATURES ON NEXT PAGE</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85" w:name="page286"/>
    <w:bookmarkEnd w:id="285"/>
    <w:p>
      <w:pPr>
        <w:ind w:firstLine="648"/>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each of the parties hereto has caused this Memorandum of Lease to be duly executed by an officer thereunto duly authorized as of the date and year first above written.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ESSEE</w:t>
            </w:r>
            <w:r>
              <w:rPr>
                <w:rFonts w:ascii="Arial" w:cs="Arial" w:eastAsia="Arial" w:hAnsi="Arial"/>
                <w:sz w:val="18"/>
                <w:szCs w:val="18"/>
                <w:color w:val="auto"/>
              </w:rPr>
              <w:t>:</w:t>
            </w:r>
          </w:p>
        </w:tc>
        <w:tc>
          <w:tcPr>
            <w:tcW w:w="8320" w:type="dxa"/>
            <w:vAlign w:val="bottom"/>
            <w:gridSpan w:val="3"/>
          </w:tcPr>
          <w:p>
            <w:pPr>
              <w:ind w:left="262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 a New York limited liability company</w:t>
            </w:r>
          </w:p>
        </w:tc>
      </w:tr>
      <w:tr>
        <w:trPr>
          <w:trHeight w:val="432"/>
        </w:trPr>
        <w:tc>
          <w:tcPr>
            <w:tcW w:w="3100" w:type="dxa"/>
            <w:vAlign w:val="bottom"/>
          </w:tcPr>
          <w:p>
            <w:pPr>
              <w:spacing w:after="0"/>
              <w:rPr>
                <w:sz w:val="24"/>
                <w:szCs w:val="24"/>
                <w:color w:val="auto"/>
              </w:rPr>
            </w:pPr>
          </w:p>
        </w:tc>
        <w:tc>
          <w:tcPr>
            <w:tcW w:w="8320" w:type="dxa"/>
            <w:vAlign w:val="bottom"/>
            <w:gridSpan w:val="3"/>
          </w:tcPr>
          <w:p>
            <w:pPr>
              <w:ind w:left="2620"/>
              <w:spacing w:after="0"/>
              <w:rPr>
                <w:sz w:val="20"/>
                <w:szCs w:val="20"/>
                <w:color w:val="auto"/>
              </w:rPr>
            </w:pPr>
            <w:r>
              <w:rPr>
                <w:rFonts w:ascii="Arial" w:cs="Arial" w:eastAsia="Arial" w:hAnsi="Arial"/>
                <w:sz w:val="18"/>
                <w:szCs w:val="18"/>
                <w:color w:val="auto"/>
              </w:rPr>
              <w:t>By:</w:t>
            </w:r>
          </w:p>
        </w:tc>
      </w:tr>
      <w:tr>
        <w:trPr>
          <w:trHeight w:val="210"/>
        </w:trPr>
        <w:tc>
          <w:tcPr>
            <w:tcW w:w="3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10"/>
        </w:trPr>
        <w:tc>
          <w:tcPr>
            <w:tcW w:w="3100" w:type="dxa"/>
            <w:vAlign w:val="bottom"/>
          </w:tcPr>
          <w:p>
            <w:pPr>
              <w:spacing w:after="0"/>
              <w:rPr>
                <w:sz w:val="18"/>
                <w:szCs w:val="18"/>
                <w:color w:val="auto"/>
              </w:rPr>
            </w:pPr>
          </w:p>
        </w:tc>
        <w:tc>
          <w:tcPr>
            <w:tcW w:w="3640" w:type="dxa"/>
            <w:vAlign w:val="bottom"/>
            <w:gridSpan w:val="2"/>
          </w:tcPr>
          <w:p>
            <w:pPr>
              <w:ind w:left="2980"/>
              <w:spacing w:after="0"/>
              <w:rPr>
                <w:sz w:val="20"/>
                <w:szCs w:val="20"/>
                <w:color w:val="auto"/>
              </w:rPr>
            </w:pPr>
            <w:r>
              <w:rPr>
                <w:rFonts w:ascii="Arial" w:cs="Arial" w:eastAsia="Arial" w:hAnsi="Arial"/>
                <w:sz w:val="18"/>
                <w:szCs w:val="18"/>
                <w:color w:val="auto"/>
              </w:rPr>
              <w:t>Title:</w:t>
            </w:r>
          </w:p>
        </w:tc>
        <w:tc>
          <w:tcPr>
            <w:tcW w:w="4680" w:type="dxa"/>
            <w:vAlign w:val="bottom"/>
            <w:tcBorders>
              <w:top w:val="single" w:sz="8" w:color="auto"/>
              <w:bottom w:val="single" w:sz="8" w:color="auto"/>
            </w:tcBorders>
          </w:tcPr>
          <w:p>
            <w:pPr>
              <w:spacing w:after="0"/>
              <w:rPr>
                <w:sz w:val="18"/>
                <w:szCs w:val="18"/>
                <w:color w:val="auto"/>
              </w:rPr>
            </w:pPr>
          </w:p>
        </w:tc>
      </w:tr>
      <w:tr>
        <w:trPr>
          <w:trHeight w:val="426"/>
        </w:trPr>
        <w:tc>
          <w:tcPr>
            <w:tcW w:w="3100" w:type="dxa"/>
            <w:vAlign w:val="bottom"/>
          </w:tcPr>
          <w:p>
            <w:pPr>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ESSOR</w:t>
            </w:r>
            <w:r>
              <w:rPr>
                <w:rFonts w:ascii="Arial" w:cs="Arial" w:eastAsia="Arial" w:hAnsi="Arial"/>
                <w:sz w:val="18"/>
                <w:szCs w:val="18"/>
                <w:color w:val="auto"/>
              </w:rPr>
              <w:t>:</w:t>
            </w:r>
          </w:p>
        </w:tc>
        <w:tc>
          <w:tcPr>
            <w:tcW w:w="8320" w:type="dxa"/>
            <w:vAlign w:val="bottom"/>
            <w:gridSpan w:val="3"/>
          </w:tcPr>
          <w:p>
            <w:pPr>
              <w:ind w:left="2620"/>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 a Delaware limited liability company</w:t>
            </w:r>
          </w:p>
        </w:tc>
      </w:tr>
      <w:tr>
        <w:trPr>
          <w:trHeight w:val="432"/>
        </w:trPr>
        <w:tc>
          <w:tcPr>
            <w:tcW w:w="3100" w:type="dxa"/>
            <w:vAlign w:val="bottom"/>
          </w:tcPr>
          <w:p>
            <w:pPr>
              <w:spacing w:after="0"/>
              <w:rPr>
                <w:sz w:val="24"/>
                <w:szCs w:val="24"/>
                <w:color w:val="auto"/>
              </w:rPr>
            </w:pPr>
          </w:p>
        </w:tc>
        <w:tc>
          <w:tcPr>
            <w:tcW w:w="8320" w:type="dxa"/>
            <w:vAlign w:val="bottom"/>
            <w:gridSpan w:val="3"/>
          </w:tcPr>
          <w:p>
            <w:pPr>
              <w:ind w:left="2620"/>
              <w:spacing w:after="0"/>
              <w:rPr>
                <w:sz w:val="20"/>
                <w:szCs w:val="20"/>
                <w:color w:val="auto"/>
              </w:rPr>
            </w:pPr>
            <w:r>
              <w:rPr>
                <w:rFonts w:ascii="Arial" w:cs="Arial" w:eastAsia="Arial" w:hAnsi="Arial"/>
                <w:sz w:val="18"/>
                <w:szCs w:val="18"/>
                <w:color w:val="auto"/>
              </w:rPr>
              <w:t>By:</w:t>
            </w:r>
          </w:p>
        </w:tc>
      </w:tr>
      <w:tr>
        <w:trPr>
          <w:trHeight w:val="210"/>
        </w:trPr>
        <w:tc>
          <w:tcPr>
            <w:tcW w:w="3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10"/>
        </w:trPr>
        <w:tc>
          <w:tcPr>
            <w:tcW w:w="3100" w:type="dxa"/>
            <w:vAlign w:val="bottom"/>
          </w:tcPr>
          <w:p>
            <w:pPr>
              <w:spacing w:after="0"/>
              <w:rPr>
                <w:sz w:val="18"/>
                <w:szCs w:val="18"/>
                <w:color w:val="auto"/>
              </w:rPr>
            </w:pPr>
          </w:p>
        </w:tc>
        <w:tc>
          <w:tcPr>
            <w:tcW w:w="3640" w:type="dxa"/>
            <w:vAlign w:val="bottom"/>
            <w:gridSpan w:val="2"/>
          </w:tcPr>
          <w:p>
            <w:pPr>
              <w:ind w:left="2980"/>
              <w:spacing w:after="0"/>
              <w:rPr>
                <w:sz w:val="20"/>
                <w:szCs w:val="20"/>
                <w:color w:val="auto"/>
              </w:rPr>
            </w:pPr>
            <w:r>
              <w:rPr>
                <w:rFonts w:ascii="Arial" w:cs="Arial" w:eastAsia="Arial" w:hAnsi="Arial"/>
                <w:sz w:val="18"/>
                <w:szCs w:val="18"/>
                <w:color w:val="auto"/>
              </w:rPr>
              <w:t>Title:</w:t>
            </w:r>
          </w:p>
        </w:tc>
        <w:tc>
          <w:tcPr>
            <w:tcW w:w="4680" w:type="dxa"/>
            <w:vAlign w:val="bottom"/>
            <w:tcBorders>
              <w:top w:val="single" w:sz="8" w:color="auto"/>
              <w:bottom w:val="single" w:sz="8" w:color="auto"/>
            </w:tcBorders>
          </w:tcPr>
          <w:p>
            <w:pPr>
              <w:spacing w:after="0"/>
              <w:rPr>
                <w:sz w:val="18"/>
                <w:szCs w:val="18"/>
                <w:color w:val="auto"/>
              </w:rPr>
            </w:pPr>
          </w:p>
        </w:tc>
      </w:tr>
      <w:tr>
        <w:trPr>
          <w:trHeight w:val="399"/>
        </w:trPr>
        <w:tc>
          <w:tcPr>
            <w:tcW w:w="3100" w:type="dxa"/>
            <w:vAlign w:val="bottom"/>
          </w:tcPr>
          <w:p>
            <w:pPr>
              <w:spacing w:after="0"/>
              <w:rPr>
                <w:sz w:val="24"/>
                <w:szCs w:val="24"/>
                <w:color w:val="auto"/>
              </w:rPr>
            </w:pPr>
          </w:p>
        </w:tc>
        <w:tc>
          <w:tcPr>
            <w:tcW w:w="2980" w:type="dxa"/>
            <w:vAlign w:val="bottom"/>
          </w:tcPr>
          <w:p>
            <w:pPr>
              <w:ind w:left="2560"/>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50"/>
        </w:trPr>
        <w:tc>
          <w:tcPr>
            <w:tcW w:w="3100" w:type="dxa"/>
            <w:vAlign w:val="bottom"/>
            <w:tcBorders>
              <w:bottom w:val="single" w:sz="8" w:color="C0C0C0"/>
            </w:tcBorders>
          </w:tcPr>
          <w:p>
            <w:pPr>
              <w:spacing w:after="0"/>
              <w:rPr>
                <w:sz w:val="21"/>
                <w:szCs w:val="21"/>
                <w:color w:val="auto"/>
              </w:rPr>
            </w:pPr>
          </w:p>
        </w:tc>
        <w:tc>
          <w:tcPr>
            <w:tcW w:w="2980" w:type="dxa"/>
            <w:vAlign w:val="bottom"/>
            <w:tcBorders>
              <w:bottom w:val="single" w:sz="8" w:color="C0C0C0"/>
            </w:tcBorders>
          </w:tcPr>
          <w:p>
            <w:pPr>
              <w:spacing w:after="0"/>
              <w:rPr>
                <w:sz w:val="21"/>
                <w:szCs w:val="21"/>
                <w:color w:val="auto"/>
              </w:rPr>
            </w:pPr>
          </w:p>
        </w:tc>
        <w:tc>
          <w:tcPr>
            <w:tcW w:w="660" w:type="dxa"/>
            <w:vAlign w:val="bottom"/>
            <w:tcBorders>
              <w:bottom w:val="single" w:sz="8" w:color="C0C0C0"/>
            </w:tcBorders>
          </w:tcPr>
          <w:p>
            <w:pPr>
              <w:spacing w:after="0"/>
              <w:rPr>
                <w:sz w:val="21"/>
                <w:szCs w:val="21"/>
                <w:color w:val="auto"/>
              </w:rPr>
            </w:pPr>
          </w:p>
        </w:tc>
        <w:tc>
          <w:tcPr>
            <w:tcW w:w="46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9" w:right="239" w:bottom="1440" w:gutter="0" w:footer="0" w:header="0"/>
        </w:sectPr>
      </w:pPr>
    </w:p>
    <w:bookmarkStart w:id="286" w:name="page287"/>
    <w:bookmarkEnd w:id="286"/>
    <w:p>
      <w:pPr>
        <w:jc w:val="center"/>
        <w:ind w:right="-19"/>
        <w:spacing w:after="0"/>
        <w:rPr>
          <w:sz w:val="20"/>
          <w:szCs w:val="20"/>
          <w:color w:val="auto"/>
        </w:rPr>
      </w:pPr>
      <w:r>
        <w:rPr>
          <w:rFonts w:ascii="Arial" w:cs="Arial" w:eastAsia="Arial" w:hAnsi="Arial"/>
          <w:sz w:val="22"/>
          <w:szCs w:val="22"/>
          <w:b w:val="1"/>
          <w:bCs w:val="1"/>
          <w:color w:val="auto"/>
        </w:rPr>
        <w:t>UNIFORM FORM CERTIFICATE OF ACKNOWLEDGMENT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(Within New York State)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State of New York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 _______ ) ss.: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On the ____ day of ________ in the year ____ before me, the undersigned, personally appeared __________________________ , personally known to me or</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proved to me on the basis of satisfactory evidence to be the individual(s) whose name(s) is (are) subscribed to the within instrument and acknowledged to me that he/she/they executed the same in his/her/their capacity(ies), and that by his/her their signature(s) on the instrument, the individual(s), or the person upon behalf of which the individual(s) acted, executed the instrument.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taking acknowledgment</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UNIFORM FORM CERTIFICATE OF ACKNOWLEDGMENT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(Outside of New York State)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State, District of Columbia, Territory, Possession, or Foreign Country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 ) ss.: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On the __ day of _______ in the year _____ before me, the undersigned, personally appeared ___________ , personally known to me or proved to me on the</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basis of satisfactory evidence to be the individual(s) whose name(s) is (are) subscribed to the within instrument and acknowledged to me that he/she/they executed the same in his/her/their/ capacity (ies), that by his/her/their signature(s) on the instrument, the individual(s), or the person upon behalf of which the individual(s) acted, executed the instrument, and that such individual made such appearance before the undersigned in the ______________ . (Insert the city or other political subdivision and the state or country or other place the acknowledgment was taken).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taking acknowledgment.)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87" w:name="page288"/>
    <w:bookmarkEnd w:id="287"/>
    <w:p>
      <w:pPr>
        <w:jc w:val="center"/>
        <w:ind w:right="-19"/>
        <w:spacing w:after="0"/>
        <w:rPr>
          <w:sz w:val="20"/>
          <w:szCs w:val="20"/>
          <w:color w:val="auto"/>
        </w:rPr>
      </w:pPr>
      <w:r>
        <w:rPr>
          <w:rFonts w:ascii="Arial" w:cs="Arial" w:eastAsia="Arial" w:hAnsi="Arial"/>
          <w:sz w:val="22"/>
          <w:szCs w:val="22"/>
          <w:b w:val="1"/>
          <w:bCs w:val="1"/>
          <w:color w:val="auto"/>
        </w:rPr>
        <w:t>UNIFORM FORM CERTIFICATE OF ACKNOWLEDGMENT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(Within New York State)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State of New York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 _______ ) ss.: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On the ____ day of ________ in the year ____ before me, the undersigned, personally appeared __________________________ , personally known to me or</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proved to me on the basis of satisfactory evidence to be the individual(s) whose name(s) is (are) subscribed to the within instrument and acknowledged to me that he/she/they executed the same in his/her/their capacity(ies), and that by his/her their signature(s) on the instrument, the individual(s), or the person upon behalf of which the individual(s) acted, executed the instrument.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taking acknowledgment</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UNIFORM FORM CERTIFICATE OF ACKNOWLEDGMENT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(Outside of New York State)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State, District of Columbia, Territory, Possession, or Foreign Country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 ) ss.: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On the __ day of _______ in the year _____ before me, the undersigned, personally appeared ___________ , personally known to me or proved to me on the</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basis of satisfactory evidence to be the individual(s) whose name(s) is (are) subscribed to the within instrument and acknowledged to me that he/she/they executed the same in his/her/their/ capacity (ies), that by his/her/their signature(s) on the instrument, the individual(s), or the person upon behalf of which the individual(s) acted, executed the instrument, and that such individual made such appearance before the undersigned in the ______________ . (Insert the city or other political subdivision and the state or country or other place the acknowledgment was taken).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taking acknowledgment.)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88" w:name="page289"/>
    <w:bookmarkEnd w:id="288"/>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EGAL</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ESCRIPTION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that certain plot, piece of land, situate, lying and being in the Town of Greenburgh, County of Westchester, and State of New York, being designated as Lot P-2 on a certain map entitled “Final Subdivision Plat prepared for Eastview Holdings LLC of premises located at Old Saw Mill River Road and NYS Route 9A, Town of Greenburgh, Westchester County, New York Scale 1”=100’” prepared by John Meyer Consulting, PC, dated March 23, 2004 and last revised March 13, 2006, and filed on April 8, 2006 in the Office of the County Clerk of the County of Westchester as Filed Map No. 27754, and being more particularly described as: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at a rebar set on the southwesterly right of way line of Old Saw Mill River Road, where said rebar is located South 35°43’37“West, a distance of 101.93 feet from the intersection formed by the dividing line between the lands n/f BMR-LANDMARK AT EASTVIEW (SBL 116.15-1-2.2 in the Town of Mount Pleasant), and other lands of BMR-LANDMARK AT EASTVIEW(SBL 116.15-1-2.1 in the Town of Mount Pleasant), thence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reputed owner Town of Greensburgh</w:t>
      </w:r>
    </w:p>
    <w:p>
      <w:pPr>
        <w:spacing w:after="0" w:line="225" w:lineRule="exact"/>
        <w:rPr>
          <w:sz w:val="20"/>
          <w:szCs w:val="20"/>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South 00°05’33” East a distance of 93.33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18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100.00 feet, turning a central angle of 21°36’34”, for an arc length of 37.72 feet, the chord of said arc bearing South 10°42’49” West for a distance of 37.50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South 21°31’01” West a distance of 81.08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19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98.25 feet, turning a central angle of 17°06’57”, for an arc length of 29.35 feet, the chord of said arc bearing South 12°57’32” West for a distance of 29.24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South 04°24’12” West a distance of 32.56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South 03°48’59” West a distance of 30.15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South 02°34’01” West a distance of 90.30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18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305.09 feet, turning a central angle of 34°07’44”, for an arc length of 181.73 feet, the chord of said arc bearing South 19°37’53” West for a distance of 179.06 feet to a rebar set, thence</w:t>
      </w:r>
    </w:p>
    <w:p>
      <w:pPr>
        <w:spacing w:after="0" w:line="170" w:lineRule="exact"/>
        <w:rPr>
          <w:rFonts w:ascii="Arial" w:cs="Arial" w:eastAsia="Arial" w:hAnsi="Arial"/>
          <w:sz w:val="18"/>
          <w:szCs w:val="18"/>
          <w:color w:val="auto"/>
        </w:rPr>
      </w:pPr>
    </w:p>
    <w:p>
      <w:pPr>
        <w:ind w:firstLine="8"/>
        <w:spacing w:after="0" w:line="277" w:lineRule="auto"/>
        <w:tabs>
          <w:tab w:leader="none" w:pos="18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Along a reverse curve to the left having a radius of 362.65 feet, turning a central angle of 33°16’57”, for an arc length of 210.66 feet, the chord of said arc bearing South 20°03’17” West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Memorandum of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t>for a distance of 207.71 feet to a rebar set, thence</w:t>
      </w:r>
    </w:p>
    <w:p>
      <w:pPr>
        <w:spacing w:after="0" w:line="225" w:lineRule="exact"/>
        <w:rPr>
          <w:sz w:val="20"/>
          <w:szCs w:val="20"/>
          <w:color w:val="auto"/>
        </w:rPr>
      </w:pPr>
    </w:p>
    <w:p>
      <w:pPr>
        <w:ind w:left="280" w:hanging="272"/>
        <w:spacing w:after="0"/>
        <w:tabs>
          <w:tab w:leader="none" w:pos="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South 03°24’29” West a distance of 152.00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6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172.07 feet, turning a central angle of 31°44’41”, for an arc length of 95.33 feet, the chord of said arc bearing South 19°16’50” West for a distance of 94.12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139.47 feet, turning a central angle of 71°37’16”, for an arc length of 174.34 feet, the chord of said arc bearing South 70°57’49” West for a distance of 163.21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North 73°13’58” West a distance of 128.84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South 16°03’11” West a distance of 16.68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North 73°56’49” West a distance of 29.11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27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242.01 feet, turning a central angle of 35°55’48”, for an arc length of 151.76 feet, the chord of said arc bearing South 88°05’17” West for a distance of 149.29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South 70°07’17” West a distance of 92.14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440.98 feet, turning a central angle of 40°10’49”, for an arc length of 309.25 feet, the chord of said arc bearing North 89°47’19” West for a distance of 302.95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South 20°18’00” West a distance of 20.89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North 65°49’54” West a distance of 101.52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1530.00 feet, turning a central angle of 21°27’50”, for an arc length of 573.16 feet, the chord of said arc bearing North 55°05’59” West for a distance of 569.81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400.00 feet, turning a central angle of 37°36’43”, for an arc length of 262.58 feet, the chord of said arc bearing North 25°33’43” West for a distance of 257.89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South 58°03’06” West a distance of 1501.30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North 11°11’33” West a distance of 441.76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Along reputed owner Consolidated Edison Company of New York, Inc North 34°43’49” East a distance of 1146.62 feet to a rebar set, thence Running the following courses and distances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Memorandum of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90" w:name="page291"/>
    <w:bookmarkEnd w:id="290"/>
    <w:p>
      <w:pPr>
        <w:spacing w:after="0" w:line="277" w:lineRule="auto"/>
        <w:rPr>
          <w:sz w:val="20"/>
          <w:szCs w:val="20"/>
          <w:color w:val="auto"/>
        </w:rPr>
      </w:pPr>
      <w:r>
        <w:rPr>
          <w:rFonts w:ascii="Arial" w:cs="Arial" w:eastAsia="Arial" w:hAnsi="Arial"/>
          <w:sz w:val="18"/>
          <w:szCs w:val="18"/>
          <w:color w:val="auto"/>
        </w:rPr>
        <w:t>along Lot 1 on a map entitled “Final Subdivision Plat Prepared for Eastview Holdings LLC” filed in the Westchester County Clerk’s Office, Division of Land Records on 11/15/2005 as Map No. 27669.</w:t>
      </w:r>
    </w:p>
    <w:p>
      <w:pPr>
        <w:spacing w:after="0" w:line="170" w:lineRule="exact"/>
        <w:rPr>
          <w:sz w:val="20"/>
          <w:szCs w:val="20"/>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South 55°16’11” East a distance of 225.33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South 67°59’01” East a distance of 614.61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27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Along a non-tangent curve to the right having a radius of 1124.93 feet, turning a central angle of 16°12’11”, for an arc length of 318.13 feet, the chord of said arc bearing North 30°03’42” East for a distance of 317.07 feet to a rebar set, thence</w:t>
      </w:r>
    </w:p>
    <w:p>
      <w:pPr>
        <w:spacing w:after="0" w:line="170" w:lineRule="exact"/>
        <w:rPr>
          <w:rFonts w:ascii="Arial" w:cs="Arial" w:eastAsia="Arial" w:hAnsi="Arial"/>
          <w:sz w:val="18"/>
          <w:szCs w:val="18"/>
          <w:color w:val="auto"/>
        </w:rPr>
      </w:pPr>
    </w:p>
    <w:p>
      <w:pPr>
        <w:ind w:firstLine="8"/>
        <w:spacing w:after="0" w:line="277" w:lineRule="auto"/>
        <w:tabs>
          <w:tab w:leader="none" w:pos="27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450.05 feet, turning a central angle of 10°26’59”, for an arc length of 82.08 feet, the chord of said arc bearing North 43°23’17” East for a distance of 81.97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North 32°22’35” East a distance of 262.04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28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North 27°10’46” East a distance of 172.97 feet to a rebar set, thence Running the following courses and distances along the southwesterly right of way line of Old Sawmill River Road,</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South 63°22’33” East a distance of 24.28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South 68°16’40” East a distance of 63.98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South 71°57’20” East a distance of 48.14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South 75°31’00” East a distance of 167.65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South 75°03’30” East a distance of 417.19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South 71°58’00” East a distance of 46.04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South 70°36’00” East a distance of 53.02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South 67°40’50” East a distance of 36.36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South 66°14’50” East a distance of 71.78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South 63°42’50” East a distance of 155.58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South 63°47’50” East a distance of 270.49 feet to the rebar set and place of beginning.</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Memorandum of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91" w:name="page292"/>
    <w:bookmarkEnd w:id="291"/>
    <w:p>
      <w:pPr>
        <w:jc w:val="both"/>
        <w:ind w:right="20"/>
        <w:spacing w:after="0" w:line="277" w:lineRule="auto"/>
        <w:rPr>
          <w:sz w:val="20"/>
          <w:szCs w:val="20"/>
          <w:color w:val="auto"/>
        </w:rPr>
      </w:pPr>
      <w:r>
        <w:rPr>
          <w:rFonts w:ascii="Arial" w:cs="Arial" w:eastAsia="Arial" w:hAnsi="Arial"/>
          <w:sz w:val="18"/>
          <w:szCs w:val="18"/>
          <w:color w:val="auto"/>
        </w:rPr>
        <w:t>Lot PAR on Filed Map 27754 filed in the office of the Clerk of Westchester County and conveyed in a deed dated 12/28/07 made by Eastview Holdings LLC to BMR-Landmark at Eastview LLC, recorded 2/6/09 as Control No. 483310118.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7.71, Block 6, Lot 1 (Sub Lots 1.1, 1.1A, 1.1B, 1.1C and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that certain plot, piece or parcel of land, situate, lying and being in the Town of Mount Pleasant, County of Westchester and State of New York, being designated as Lot 1 on a certain map entitled “Final Subdivision Plat prepared for Eastview Holdings LLC of premises located at Old Saw Mill River Road and NYS Route 9A Town of Mount Pleasant, Westchester County, New York Scale 1”=100’” prepared by John Meyer Consulting, PC, dated September 27, 2007 in the Office of the Clerk of the County of Westchester as Filed Map No. 28024, being more particularly described as: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Beginning at a rebar set on the northeasterly right of way line of Old Saw Mill River Road, at the intersection formed by the dividing line between the lands n/f BMR-LANDMARK AT EASTVIEW (SBL 116.15-1-2.2), and other lands of BMR-LANDMARK AT EASTVIEW(SBL 116.15-1-2.1),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northeasterly right of way line of Old Saw Mill River Road</w:t>
      </w:r>
    </w:p>
    <w:p>
      <w:pPr>
        <w:spacing w:after="0" w:line="225" w:lineRule="exact"/>
        <w:rPr>
          <w:sz w:val="20"/>
          <w:szCs w:val="20"/>
          <w:color w:val="auto"/>
        </w:rPr>
      </w:pPr>
    </w:p>
    <w:p>
      <w:pPr>
        <w:ind w:left="180" w:hanging="172"/>
        <w:spacing w:after="0"/>
        <w:tabs>
          <w:tab w:leader="none" w:pos="1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North 63°49’10” West a distance of 373.58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North 63°40’40” West a distance of 150.03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North 68°08’00” West a distance of 48.55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North 70°56’30” West a distance of 70.20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North 71°26’30” West a distance of 46.86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North 75°05’50” West a distance of 422.47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North 75°28’40” West a distance of 164.70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North 71°28’40” West a distance of 53.23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North 66°46’40” West a distance of 55.80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North 60°22’50” West a distance of 64.25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North 55°46’50” West a distance of 168.67 feet to a rebar set, thence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Memorandum of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92" w:name="page293"/>
    <w:bookmarkEnd w:id="292"/>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57°50’10” West a distance of 23.25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55°10’55” West a distance of 315.52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Along the dividing line between Reputed Owner Consolidated Edison and reputed owner BMR-LANDMARK AT EASTVIEW (SBL 116.15-1-2.1) North 41°22’40” East a distance of 117.30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8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88°40’52” East a distance of 368.78 feet to a point in Saw Mill River, thence Running the following courses and distances along the same and following the Saw Mill River</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South 63°24’21” East a distance of 101.76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South 82°58’51” East a distance of 62.51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67°02’49” East a distance of 39.00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40°05’34” East a distance of 35.47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22°26’57” East a distance of 54.23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12°57’05” East a distance of 73.98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46°15’28” East a distance of 50.93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57°39’41” East a distance of 47.17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39°04’03” East a distance of 72.47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21°22’50” East a distance of 121.63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23°17’46” East a distance of 104.78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29°08’32” East a distance of 26.42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53°38’21” East a distance of 27.20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69°06’38” East a distance of 34.18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50°34’22” East a distance of 41.23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20°13’22” East a distance of 59.81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North 28°16’38” East a distance of 37.59 feet to a point, thence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Memorandum of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93" w:name="page294"/>
    <w:bookmarkEnd w:id="293"/>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48°06’01” East a distance of 70.84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03°30’01” East a distance of 194.44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17°33’46” East a distance of 100.88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44°40’00” East a distance of 31.11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86°48’15” East a distance of 40.05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49°30’38” East a distance of 41.87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08°08’06” West a distance of 73.68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26°13’54” East a distance of 87.21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19°32’46” West a distance of 69.89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45°20’00” West a distance of 31.11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48°51’07” East a distance of 116.18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21°54’57” East a distance of 47.67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19°25’35” West a distance of 27.51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North 51°40’22” West a distance of 6.14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Along North 41°22’40” East a distance of 1119.15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Along South 73°06’25” East a distance of 37.33 feet to a rebar set, thence</w:t>
      </w:r>
    </w:p>
    <w:p>
      <w:pPr>
        <w:spacing w:after="0" w:line="225" w:lineRule="exact"/>
        <w:rPr>
          <w:rFonts w:ascii="Arial" w:cs="Arial" w:eastAsia="Arial" w:hAnsi="Arial"/>
          <w:sz w:val="18"/>
          <w:szCs w:val="18"/>
          <w:color w:val="auto"/>
        </w:rPr>
      </w:pPr>
    </w:p>
    <w:p>
      <w:pPr>
        <w:ind w:left="-8" w:right="1340" w:firstLine="8"/>
        <w:spacing w:after="0" w:line="530" w:lineRule="auto"/>
        <w:tabs>
          <w:tab w:leader="none" w:pos="262"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Along the southwesterly right of way line of Saw Mill River Road, South 07°54’30” East a distance of 532.24 feet to a rebar set, thence Running the following courses and distances along other lands of BMR-LANDMARK AT EASTVIEW (SBL 116.15-1-2.2)</w:t>
      </w:r>
    </w:p>
    <w:p>
      <w:pPr>
        <w:ind w:left="272" w:hanging="272"/>
        <w:spacing w:after="0"/>
        <w:tabs>
          <w:tab w:leader="none" w:pos="2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South 82°05’30” West a distance of 53.22 feet to a rebar set, thence</w:t>
      </w:r>
    </w:p>
    <w:p>
      <w:pPr>
        <w:spacing w:after="0" w:line="225" w:lineRule="exact"/>
        <w:rPr>
          <w:rFonts w:ascii="Arial" w:cs="Arial" w:eastAsia="Arial" w:hAnsi="Arial"/>
          <w:sz w:val="18"/>
          <w:szCs w:val="18"/>
          <w:color w:val="auto"/>
        </w:rPr>
      </w:pPr>
    </w:p>
    <w:p>
      <w:pPr>
        <w:ind w:left="-8" w:firstLine="8"/>
        <w:spacing w:after="0" w:line="277" w:lineRule="auto"/>
        <w:tabs>
          <w:tab w:leader="none" w:pos="26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120.00 feet, turning a central angle of 66°50’29”, for an arc length of 139.99 feet, the chord of said arc bearing South 48°40’15” West for a distance of 132.19 feet to a rebar set, thence</w:t>
      </w:r>
    </w:p>
    <w:p>
      <w:pPr>
        <w:spacing w:after="0" w:line="170" w:lineRule="exact"/>
        <w:rPr>
          <w:rFonts w:ascii="Arial" w:cs="Arial" w:eastAsia="Arial" w:hAnsi="Arial"/>
          <w:sz w:val="18"/>
          <w:szCs w:val="18"/>
          <w:color w:val="auto"/>
        </w:rPr>
      </w:pPr>
    </w:p>
    <w:p>
      <w:pPr>
        <w:ind w:left="-8" w:firstLine="8"/>
        <w:spacing w:after="0" w:line="277" w:lineRule="auto"/>
        <w:tabs>
          <w:tab w:leader="none" w:pos="26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Along a reverse curve to the right having a radius of 480.00 feet, turning a central angle of 21°46’49”, for an arc length of 182.47 feet, the chord of said arc bearing South 26°08’26” West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A to Memorandum of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24662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92"/>
          </w:cols>
          <w:pgMar w:left="248" w:top="409" w:right="25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t>for a distance of 181.37 feet to a rebar set, thence</w:t>
      </w:r>
    </w:p>
    <w:p>
      <w:pPr>
        <w:spacing w:after="0" w:line="225" w:lineRule="exact"/>
        <w:rPr>
          <w:sz w:val="20"/>
          <w:szCs w:val="20"/>
          <w:color w:val="auto"/>
        </w:rPr>
      </w:pPr>
    </w:p>
    <w:p>
      <w:pPr>
        <w:ind w:left="280" w:hanging="272"/>
        <w:spacing w:after="0"/>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South 37°01’48” West a distance of 287.70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South 46°17’40” West a distance of 85.62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South 57°32’20” West a distance of 65.29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North 61°07’50” West a distance of 113.60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73.50 feet, turning a central angle of 82°49’02”, for an arc length of 106.24 feet, the chord of said arc bearing South 77°27’39” West for a distance of 97.23 feet to a rebar set, thence</w:t>
      </w:r>
    </w:p>
    <w:p>
      <w:pPr>
        <w:spacing w:after="0" w:line="170" w:lineRule="exact"/>
        <w:rPr>
          <w:rFonts w:ascii="Arial" w:cs="Arial" w:eastAsia="Arial" w:hAnsi="Arial"/>
          <w:sz w:val="18"/>
          <w:szCs w:val="18"/>
          <w:color w:val="auto"/>
        </w:rPr>
      </w:pPr>
    </w:p>
    <w:p>
      <w:pPr>
        <w:ind w:firstLine="8"/>
        <w:spacing w:after="0" w:line="277" w:lineRule="auto"/>
        <w:tabs>
          <w:tab w:leader="none" w:pos="27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Along a compound curve to the left having a radius of 91.00 feet, turning a central angle of 68°00’38”, for an arc length of 108.02 feet, the chord of said arc bearing South 02°02’49” West for a distance of 101.79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South 31°57’30” East a distance of 305.66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South 30°02’00” West a distance of 347.72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South 60°12’00” East a distance of 333.26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500.00 feet, turning a central angle of 21°06’38”, for an arc length of 184.22 feet, the chord of said arc bearing South 49°38’41” East for a distance of 183.18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South 39°05’22” East a distance of 174.39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27°24’26”, for an arc length of 76.54 feet, the chord of said arc bearing South 25°23’09” East for a distance of 75.81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South 11°40’56” East a distance of 147.46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26°20’55”, for an arc length of 73.58 feet, the chord of said arc bearing South 01°29’32” West for a distance of 72.93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South 14°40’00” West a distance of 417.48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15°51’47”, for an arc length of 44.30 feet, the chord of said arc bearing South 22°35’53” West for a distance of 44.16 feet to a rebar set, thence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Memorandum of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color w:val="auto"/>
        </w:rPr>
        <w:t>69. South 30°21’46” West a distance of 251.53 feet to the place of beginning.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116.15, Block 1, Lot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PARCEL A:</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Lot 2 on a certain map entitled “Final Subdivision Plat prepared for Eastview Holdings LLC of premises located at Old Saw Mill River Road and NYS Route 9A Town of Mount Pleasant Westchester County, New York Scale 1”=100’” prepared by John Meyer Consulting, PC, dated September 5, 2007 and last revised September 18, 2007 and filed September 27, 2007 in the Office of the Clerk of the County of Westchester as Filed Map No. 28024.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Excepting therefrom the following tract of land: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Memorandum of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96" w:name="page297"/>
    <w:bookmarkEnd w:id="296"/>
    <w:p>
      <w:pPr>
        <w:jc w:val="both"/>
        <w:ind w:right="20"/>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PARCEL B:</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Memorandum of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t>River Road” prepared by Westchester County Department of Public Works, filed as Map No. 19473 and recorded May 4, 1978;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Memorandum of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color w:val="auto"/>
        </w:rPr>
        <w:t>TRACT IV:</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Lots 5 and 6 of the Tax Records of the Town of Mount Pleasant and as more particularly described as follows: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at the intersection of the Northerly boundary line of Saw Mill River Road (State Highway No. 52), also known as Route 9A, as widened, with the Northerly boundary line of Grasslands Road;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THENCE along said Northerly boundary line of Grasslands Road South 86 degrees 43 minutes 47 seconds, West 34.19 feet to a point of curvature;</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Westerly along a 225.00 foot radius curve deflecting to the right through a central angle of 47 degrees 34 minutes 53 seconds, an arc distance of 185.81 feet to a point on the Easterly boundary line of Old Saw Mill River Road;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Northerly along the Easterly boundary line of Old Saw Mill River Road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23 degrees 24 minutes 20 seconds West 18.96 feet;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 33 degrees 37 minutes 30 seconds West 33.32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30 degrees 41 minutes 10 seconds West 79.50 feet to a point;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THENCE Northerly on a course connecting the Easterly boundary line of Old Saw Mill River Road with the Southerly boundary line of a ramp connecting Old Saw Mill River Road with Saw Mill River Road, North 31 degrees 19 minutes 17 seconds East 52.17 feet to the intersection of a 185 foot radius curve, to which intersection a radial line bears South 05 degrees 46 minutes 57 seconds West;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Easterly along said Southerly boundary line of the ramp along said 185.00 foot radius curve deflecting to the left through a central angle of 53 degrees 28 minutes 04 seconds, an arc distance of 172.64 feet;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continuing along said Southerly boundary line of the ramp North 42 degrees 18 minutes 53 seconds East 80.44 feet to a point on the aforesaid Westerly boundary line of the Saw Mill River Road;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Southerly along said Westerly boundary line of the Saw Mill River Road, South 05 degrees 38 minutes 30 seconds East 277.85 feet and South 06 degrees 07 minutes 00 seconds East 62.61 feet to the point or place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Lots 5 &amp;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property has street addresses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Memorandum of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t>735 Old Saw Mill River Road (Building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Old Saw Mill River Road (Building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755 Old Saw Mill River Road (Building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763 Old Saw Mill River Road (Power Station);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765 &amp; 777 Old Saw Mill River Road (Buildings 1, 3 and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767 Old Saw Mill River Road (Building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769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771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785 Old Saw Mill River Road (Building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795 Old Saw Mill River Road (Building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799 Old Saw Mill River Road (Parking Garage);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in Tarrytown, New York 10591;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Saw Mill River Road (Home Depot), Hawthorne, New York 10532.</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Exhibit A to Memorandum of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9" w:right="1440" w:bottom="1440" w:gutter="0" w:footer="0" w:header="0"/>
        </w:sectPr>
      </w:pPr>
    </w:p>
    <w:bookmarkStart w:id="300" w:name="page301"/>
    <w:bookmarkEnd w:id="300"/>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UBORDINATION</w:t>
      </w:r>
      <w:r>
        <w:rPr>
          <w:rFonts w:ascii="Arial" w:cs="Arial" w:eastAsia="Arial" w:hAnsi="Arial"/>
          <w:sz w:val="22"/>
          <w:szCs w:val="22"/>
          <w:b w:val="1"/>
          <w:bCs w:val="1"/>
          <w:color w:val="auto"/>
        </w:rPr>
        <w:t>, N</w:t>
      </w:r>
      <w:r>
        <w:rPr>
          <w:rFonts w:ascii="Arial" w:cs="Arial" w:eastAsia="Arial" w:hAnsi="Arial"/>
          <w:sz w:val="14"/>
          <w:szCs w:val="14"/>
          <w:b w:val="1"/>
          <w:bCs w:val="1"/>
          <w:color w:val="auto"/>
        </w:rPr>
        <w:t>ON</w:t>
      </w:r>
      <w:r>
        <w:rPr>
          <w:rFonts w:ascii="Arial" w:cs="Arial" w:eastAsia="Arial" w:hAnsi="Arial"/>
          <w:sz w:val="22"/>
          <w:szCs w:val="22"/>
          <w:b w:val="1"/>
          <w:bCs w:val="1"/>
          <w:color w:val="auto"/>
        </w:rPr>
        <w:t>-D</w:t>
      </w:r>
      <w:r>
        <w:rPr>
          <w:rFonts w:ascii="Arial" w:cs="Arial" w:eastAsia="Arial" w:hAnsi="Arial"/>
          <w:sz w:val="14"/>
          <w:szCs w:val="14"/>
          <w:b w:val="1"/>
          <w:bCs w:val="1"/>
          <w:color w:val="auto"/>
        </w:rPr>
        <w:t>ISTURBANCE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TTORNMENT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EE ATTACHED</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160020</wp:posOffset>
            </wp:positionV>
            <wp:extent cx="724662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t>Recording requested by,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after recording, return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Philip M. J. Edison,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Chapman and Cutler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 West Monroe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UBORDINATION</w:t>
      </w:r>
      <w:r>
        <w:rPr>
          <w:rFonts w:ascii="Arial" w:cs="Arial" w:eastAsia="Arial" w:hAnsi="Arial"/>
          <w:sz w:val="22"/>
          <w:szCs w:val="22"/>
          <w:b w:val="1"/>
          <w:bCs w:val="1"/>
          <w:color w:val="auto"/>
        </w:rPr>
        <w:t>, N</w:t>
      </w:r>
      <w:r>
        <w:rPr>
          <w:rFonts w:ascii="Arial" w:cs="Arial" w:eastAsia="Arial" w:hAnsi="Arial"/>
          <w:sz w:val="14"/>
          <w:szCs w:val="14"/>
          <w:b w:val="1"/>
          <w:bCs w:val="1"/>
          <w:color w:val="auto"/>
        </w:rPr>
        <w:t>ONDISTURBANCE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TTORNMENT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w:t>
      </w:r>
      <w:r>
        <w:rPr>
          <w:rFonts w:ascii="Arial" w:cs="Arial" w:eastAsia="Arial" w:hAnsi="Arial"/>
          <w:sz w:val="11"/>
          <w:szCs w:val="11"/>
          <w:color w:val="auto"/>
        </w:rPr>
        <w:t>UBORDINATION</w:t>
      </w:r>
      <w:r>
        <w:rPr>
          <w:rFonts w:ascii="Arial" w:cs="Arial" w:eastAsia="Arial" w:hAnsi="Arial"/>
          <w:sz w:val="17"/>
          <w:szCs w:val="17"/>
          <w:color w:val="auto"/>
        </w:rPr>
        <w:t>, N</w:t>
      </w:r>
      <w:r>
        <w:rPr>
          <w:rFonts w:ascii="Arial" w:cs="Arial" w:eastAsia="Arial" w:hAnsi="Arial"/>
          <w:sz w:val="11"/>
          <w:szCs w:val="11"/>
          <w:color w:val="auto"/>
        </w:rPr>
        <w:t>ONDISTURBANCE AND</w:t>
      </w:r>
      <w:r>
        <w:rPr>
          <w:rFonts w:ascii="Arial" w:cs="Arial" w:eastAsia="Arial" w:hAnsi="Arial"/>
          <w:sz w:val="17"/>
          <w:szCs w:val="17"/>
          <w:color w:val="auto"/>
        </w:rPr>
        <w:t xml:space="preserve"> A</w:t>
      </w:r>
      <w:r>
        <w:rPr>
          <w:rFonts w:ascii="Arial" w:cs="Arial" w:eastAsia="Arial" w:hAnsi="Arial"/>
          <w:sz w:val="11"/>
          <w:szCs w:val="11"/>
          <w:color w:val="auto"/>
        </w:rPr>
        <w:t>TTORNMENT</w:t>
      </w:r>
      <w:r>
        <w:rPr>
          <w:rFonts w:ascii="Arial" w:cs="Arial" w:eastAsia="Arial" w:hAnsi="Arial"/>
          <w:sz w:val="17"/>
          <w:szCs w:val="17"/>
          <w:color w:val="auto"/>
        </w:rPr>
        <w:t xml:space="preserve"> A</w:t>
      </w:r>
      <w:r>
        <w:rPr>
          <w:rFonts w:ascii="Arial" w:cs="Arial" w:eastAsia="Arial" w:hAnsi="Arial"/>
          <w:sz w:val="11"/>
          <w:szCs w:val="11"/>
          <w:color w:val="auto"/>
        </w:rPr>
        <w:t>GREEMENT</w:t>
      </w:r>
      <w:r>
        <w:rPr>
          <w:rFonts w:ascii="Arial" w:cs="Arial" w:eastAsia="Arial" w:hAnsi="Arial"/>
          <w:sz w:val="17"/>
          <w:szCs w:val="17"/>
          <w:color w:val="auto"/>
        </w:rPr>
        <w:t xml:space="preserve"> (this “</w:t>
      </w:r>
      <w:r>
        <w:rPr>
          <w:rFonts w:ascii="Arial" w:cs="Arial" w:eastAsia="Arial" w:hAnsi="Arial"/>
          <w:sz w:val="17"/>
          <w:szCs w:val="17"/>
          <w:i w:val="1"/>
          <w:iCs w:val="1"/>
          <w:color w:val="auto"/>
        </w:rPr>
        <w:t>Agreement</w:t>
      </w:r>
      <w:r>
        <w:rPr>
          <w:rFonts w:ascii="Arial" w:cs="Arial" w:eastAsia="Arial" w:hAnsi="Arial"/>
          <w:sz w:val="17"/>
          <w:szCs w:val="17"/>
          <w:color w:val="auto"/>
        </w:rPr>
        <w:t>”) is entered into as of _______________, 20___, by and among</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BA L</w:t>
      </w:r>
      <w:r>
        <w:rPr>
          <w:rFonts w:ascii="Arial" w:cs="Arial" w:eastAsia="Arial" w:hAnsi="Arial"/>
          <w:sz w:val="11"/>
          <w:szCs w:val="11"/>
          <w:color w:val="auto"/>
        </w:rPr>
        <w:t>EASING</w:t>
      </w:r>
      <w:r>
        <w:rPr>
          <w:rFonts w:ascii="Arial" w:cs="Arial" w:eastAsia="Arial" w:hAnsi="Arial"/>
          <w:sz w:val="17"/>
          <w:szCs w:val="17"/>
          <w:color w:val="auto"/>
        </w:rPr>
        <w:t xml:space="preserve"> BSC, LLC, as Lessor (the “</w:t>
      </w:r>
      <w:r>
        <w:rPr>
          <w:rFonts w:ascii="Arial" w:cs="Arial" w:eastAsia="Arial" w:hAnsi="Arial"/>
          <w:sz w:val="17"/>
          <w:szCs w:val="17"/>
          <w:i w:val="1"/>
          <w:iCs w:val="1"/>
          <w:color w:val="auto"/>
        </w:rPr>
        <w:t>Lessor</w:t>
      </w:r>
      <w:r>
        <w:rPr>
          <w:rFonts w:ascii="Arial" w:cs="Arial" w:eastAsia="Arial" w:hAnsi="Arial"/>
          <w:sz w:val="17"/>
          <w:szCs w:val="17"/>
          <w:color w:val="auto"/>
        </w:rPr>
        <w:t>”), O</w:t>
      </w:r>
      <w:r>
        <w:rPr>
          <w:rFonts w:ascii="Arial" w:cs="Arial" w:eastAsia="Arial" w:hAnsi="Arial"/>
          <w:sz w:val="11"/>
          <w:szCs w:val="11"/>
          <w:color w:val="auto"/>
        </w:rPr>
        <w:t>LD</w:t>
      </w:r>
      <w:r>
        <w:rPr>
          <w:rFonts w:ascii="Arial" w:cs="Arial" w:eastAsia="Arial" w:hAnsi="Arial"/>
          <w:sz w:val="17"/>
          <w:szCs w:val="17"/>
          <w:color w:val="auto"/>
        </w:rPr>
        <w:t xml:space="preserve"> S</w:t>
      </w:r>
      <w:r>
        <w:rPr>
          <w:rFonts w:ascii="Arial" w:cs="Arial" w:eastAsia="Arial" w:hAnsi="Arial"/>
          <w:sz w:val="11"/>
          <w:szCs w:val="11"/>
          <w:color w:val="auto"/>
        </w:rPr>
        <w:t>AW</w:t>
      </w:r>
      <w:r>
        <w:rPr>
          <w:rFonts w:ascii="Arial" w:cs="Arial" w:eastAsia="Arial" w:hAnsi="Arial"/>
          <w:sz w:val="17"/>
          <w:szCs w:val="17"/>
          <w:color w:val="auto"/>
        </w:rPr>
        <w:t xml:space="preserve"> M</w:t>
      </w:r>
      <w:r>
        <w:rPr>
          <w:rFonts w:ascii="Arial" w:cs="Arial" w:eastAsia="Arial" w:hAnsi="Arial"/>
          <w:sz w:val="11"/>
          <w:szCs w:val="11"/>
          <w:color w:val="auto"/>
        </w:rPr>
        <w:t>ILL</w:t>
      </w:r>
      <w:r>
        <w:rPr>
          <w:rFonts w:ascii="Arial" w:cs="Arial" w:eastAsia="Arial" w:hAnsi="Arial"/>
          <w:sz w:val="17"/>
          <w:szCs w:val="17"/>
          <w:color w:val="auto"/>
        </w:rPr>
        <w:t xml:space="preserve"> H</w:t>
      </w:r>
      <w:r>
        <w:rPr>
          <w:rFonts w:ascii="Arial" w:cs="Arial" w:eastAsia="Arial" w:hAnsi="Arial"/>
          <w:sz w:val="11"/>
          <w:szCs w:val="11"/>
          <w:color w:val="auto"/>
        </w:rPr>
        <w:t>OLDINGS</w:t>
      </w:r>
      <w:r>
        <w:rPr>
          <w:rFonts w:ascii="Arial" w:cs="Arial" w:eastAsia="Arial" w:hAnsi="Arial"/>
          <w:sz w:val="17"/>
          <w:szCs w:val="17"/>
          <w:color w:val="auto"/>
        </w:rPr>
        <w:t xml:space="preserve"> LLC, as Lessee (the “</w:t>
      </w:r>
      <w:r>
        <w:rPr>
          <w:rFonts w:ascii="Arial" w:cs="Arial" w:eastAsia="Arial" w:hAnsi="Arial"/>
          <w:sz w:val="17"/>
          <w:szCs w:val="17"/>
          <w:i w:val="1"/>
          <w:iCs w:val="1"/>
          <w:color w:val="auto"/>
        </w:rPr>
        <w:t>Lessee</w:t>
      </w:r>
      <w:r>
        <w:rPr>
          <w:rFonts w:ascii="Arial" w:cs="Arial" w:eastAsia="Arial" w:hAnsi="Arial"/>
          <w:sz w:val="17"/>
          <w:szCs w:val="17"/>
          <w:color w:val="auto"/>
        </w:rPr>
        <w:t>”), B</w:t>
      </w:r>
      <w:r>
        <w:rPr>
          <w:rFonts w:ascii="Arial" w:cs="Arial" w:eastAsia="Arial" w:hAnsi="Arial"/>
          <w:sz w:val="11"/>
          <w:szCs w:val="11"/>
          <w:color w:val="auto"/>
        </w:rPr>
        <w:t>ANK OF</w:t>
      </w:r>
      <w:r>
        <w:rPr>
          <w:rFonts w:ascii="Arial" w:cs="Arial" w:eastAsia="Arial" w:hAnsi="Arial"/>
          <w:sz w:val="17"/>
          <w:szCs w:val="17"/>
          <w:color w:val="auto"/>
        </w:rPr>
        <w:t xml:space="preserve"> A</w:t>
      </w:r>
      <w:r>
        <w:rPr>
          <w:rFonts w:ascii="Arial" w:cs="Arial" w:eastAsia="Arial" w:hAnsi="Arial"/>
          <w:sz w:val="11"/>
          <w:szCs w:val="11"/>
          <w:color w:val="auto"/>
        </w:rPr>
        <w:t>MERICA</w:t>
      </w:r>
      <w:r>
        <w:rPr>
          <w:rFonts w:ascii="Arial" w:cs="Arial" w:eastAsia="Arial" w:hAnsi="Arial"/>
          <w:sz w:val="17"/>
          <w:szCs w:val="17"/>
          <w:color w:val="auto"/>
        </w:rPr>
        <w:t>, N.A., not in its individual capacity but solely as Administrative Agent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and [____________________], as Subtenant (the “</w:t>
      </w:r>
      <w:r>
        <w:rPr>
          <w:rFonts w:ascii="Arial" w:cs="Arial" w:eastAsia="Arial" w:hAnsi="Arial"/>
          <w:sz w:val="17"/>
          <w:szCs w:val="17"/>
          <w:i w:val="1"/>
          <w:iCs w:val="1"/>
          <w:color w:val="auto"/>
        </w:rPr>
        <w:t>Subtenant</w:t>
      </w:r>
      <w:r>
        <w:rPr>
          <w:rFonts w:ascii="Arial" w:cs="Arial" w:eastAsia="Arial" w:hAnsi="Arial"/>
          <w:sz w:val="17"/>
          <w:szCs w:val="17"/>
          <w:color w:val="auto"/>
        </w:rPr>
        <w:t>”). For all purposes</w:t>
      </w:r>
    </w:p>
    <w:p>
      <w:pPr>
        <w:jc w:val="both"/>
        <w:spacing w:after="0" w:line="255" w:lineRule="auto"/>
        <w:rPr>
          <w:sz w:val="20"/>
          <w:szCs w:val="20"/>
          <w:color w:val="auto"/>
        </w:rPr>
      </w:pPr>
      <w:r>
        <w:rPr>
          <w:rFonts w:ascii="Arial" w:cs="Arial" w:eastAsia="Arial" w:hAnsi="Arial"/>
          <w:sz w:val="18"/>
          <w:szCs w:val="18"/>
          <w:color w:val="auto"/>
        </w:rPr>
        <w:t>hereof, the capitalized terms used herein and not otherwise defined herein shall have the meanings assigned thereto in Appendix 1 to the Participation Agreement (as such is hereinafter defined); and the rules of interpretation set forth in Appendix 1 to the Participation Agreement shall apply to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Lessee and Subtenant have entered into that certain [lease agreement], dated as of _______________, 20__ (as amended, restated,</w:t>
      </w:r>
    </w:p>
    <w:p>
      <w:pPr>
        <w:spacing w:after="0" w:line="35"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supplemented or otherwise modified from time to time, the “</w:t>
      </w:r>
      <w:r>
        <w:rPr>
          <w:rFonts w:ascii="Arial" w:cs="Arial" w:eastAsia="Arial" w:hAnsi="Arial"/>
          <w:sz w:val="16"/>
          <w:szCs w:val="16"/>
          <w:i w:val="1"/>
          <w:iCs w:val="1"/>
          <w:color w:val="auto"/>
        </w:rPr>
        <w:t>Sublease</w:t>
      </w:r>
      <w:r>
        <w:rPr>
          <w:rFonts w:ascii="Arial" w:cs="Arial" w:eastAsia="Arial" w:hAnsi="Arial"/>
          <w:sz w:val="16"/>
          <w:szCs w:val="16"/>
          <w:color w:val="auto"/>
        </w:rPr>
        <w:t>”), covering certain premises located at the Property (as defined hereinafter), including, without limitation, [_________________, _________]</w:t>
      </w:r>
      <w:r>
        <w:rPr>
          <w:rFonts w:ascii="Arial" w:cs="Arial" w:eastAsia="Arial" w:hAnsi="Arial"/>
          <w:sz w:val="26"/>
          <w:szCs w:val="26"/>
          <w:color w:val="auto"/>
          <w:vertAlign w:val="superscript"/>
        </w:rPr>
        <w:t>1</w:t>
      </w:r>
      <w:r>
        <w:rPr>
          <w:rFonts w:ascii="Arial" w:cs="Arial" w:eastAsia="Arial" w:hAnsi="Arial"/>
          <w:sz w:val="16"/>
          <w:szCs w:val="16"/>
          <w:color w:val="auto"/>
        </w:rPr>
        <w:t>, New York. The “</w:t>
      </w:r>
      <w:r>
        <w:rPr>
          <w:rFonts w:ascii="Arial" w:cs="Arial" w:eastAsia="Arial" w:hAnsi="Arial"/>
          <w:sz w:val="16"/>
          <w:szCs w:val="16"/>
          <w:i w:val="1"/>
          <w:iCs w:val="1"/>
          <w:color w:val="auto"/>
        </w:rPr>
        <w:t>Property</w:t>
      </w:r>
      <w:r>
        <w:rPr>
          <w:rFonts w:ascii="Arial" w:cs="Arial" w:eastAsia="Arial" w:hAnsi="Arial"/>
          <w:sz w:val="16"/>
          <w:szCs w:val="16"/>
          <w:color w:val="auto"/>
        </w:rPr>
        <w:t xml:space="preserve">” is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incorporated herein.</w:t>
      </w:r>
    </w:p>
    <w:p>
      <w:pPr>
        <w:spacing w:after="0" w:line="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HEREAS</w:t>
      </w:r>
      <w:r>
        <w:rPr>
          <w:rFonts w:ascii="Arial" w:cs="Arial" w:eastAsia="Arial" w:hAnsi="Arial"/>
          <w:sz w:val="18"/>
          <w:szCs w:val="18"/>
          <w:color w:val="auto"/>
        </w:rPr>
        <w:t>, Lessee, Lessor, the Administrative Agent, and the financial institutions party thereto from time to time as Lenders have entered into (i) that certain Participation Agreement, dated as of March 3, 2017 (as amended and restated as of May 2, 2019, and as may be further amended, restated, supplemented or otherwise modified from time to time pursuant thereto, the “</w:t>
      </w:r>
      <w:r>
        <w:rPr>
          <w:rFonts w:ascii="Arial" w:cs="Arial" w:eastAsia="Arial" w:hAnsi="Arial"/>
          <w:sz w:val="18"/>
          <w:szCs w:val="18"/>
          <w:i w:val="1"/>
          <w:iCs w:val="1"/>
          <w:color w:val="auto"/>
        </w:rPr>
        <w:t>Participation Agreement</w:t>
      </w:r>
      <w:r>
        <w:rPr>
          <w:rFonts w:ascii="Arial" w:cs="Arial" w:eastAsia="Arial" w:hAnsi="Arial"/>
          <w:sz w:val="18"/>
          <w:szCs w:val="18"/>
          <w:color w:val="auto"/>
        </w:rPr>
        <w:t>”) and (ii) other Operative Documents for the purpose of providing financing to fund Participant Costs.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HEREAS</w:t>
      </w:r>
      <w:r>
        <w:rPr>
          <w:rFonts w:ascii="Arial" w:cs="Arial" w:eastAsia="Arial" w:hAnsi="Arial"/>
          <w:sz w:val="18"/>
          <w:szCs w:val="18"/>
          <w:color w:val="auto"/>
        </w:rPr>
        <w:t>, pursuant to the Loan Agreement, dated as of March 3, 2017 (as amended, restated, supplemented or otherwise modified from time to time, the “</w:t>
      </w:r>
      <w:r>
        <w:rPr>
          <w:rFonts w:ascii="Arial" w:cs="Arial" w:eastAsia="Arial" w:hAnsi="Arial"/>
          <w:sz w:val="18"/>
          <w:szCs w:val="18"/>
          <w:i w:val="1"/>
          <w:iCs w:val="1"/>
          <w:color w:val="auto"/>
        </w:rPr>
        <w:t>Loan Agreement</w:t>
      </w:r>
      <w:r>
        <w:rPr>
          <w:rFonts w:ascii="Arial" w:cs="Arial" w:eastAsia="Arial" w:hAnsi="Arial"/>
          <w:sz w:val="18"/>
          <w:szCs w:val="18"/>
          <w:color w:val="auto"/>
        </w:rPr>
        <w:t>”), among Lessor, the Administrative Agent and the Lenders party thereto, the Lenders have severally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490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1" w:lineRule="exact"/>
        <w:rPr>
          <w:sz w:val="20"/>
          <w:szCs w:val="20"/>
          <w:color w:val="auto"/>
        </w:rPr>
      </w:pPr>
    </w:p>
    <w:p>
      <w:pPr>
        <w:ind w:left="120" w:hanging="112"/>
        <w:spacing w:after="0"/>
        <w:tabs>
          <w:tab w:leader="none" w:pos="120" w:val="left"/>
        </w:tabs>
        <w:numPr>
          <w:ilvl w:val="0"/>
          <w:numId w:val="225"/>
        </w:numPr>
        <w:rPr>
          <w:rFonts w:ascii="Arial" w:cs="Arial" w:eastAsia="Arial" w:hAnsi="Arial"/>
          <w:sz w:val="30"/>
          <w:szCs w:val="30"/>
          <w:color w:val="auto"/>
          <w:vertAlign w:val="superscript"/>
        </w:rPr>
      </w:pPr>
      <w:r>
        <w:rPr>
          <w:rFonts w:ascii="Arial" w:cs="Arial" w:eastAsia="Arial" w:hAnsi="Arial"/>
          <w:sz w:val="18"/>
          <w:szCs w:val="18"/>
          <w:color w:val="auto"/>
        </w:rPr>
        <w:t>Insert street address.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02" w:name="page303"/>
    <w:bookmarkEnd w:id="302"/>
    <w:p>
      <w:pPr>
        <w:jc w:val="both"/>
        <w:ind w:right="20"/>
        <w:spacing w:after="0" w:line="277" w:lineRule="auto"/>
        <w:rPr>
          <w:sz w:val="20"/>
          <w:szCs w:val="20"/>
          <w:color w:val="auto"/>
        </w:rPr>
      </w:pPr>
      <w:r>
        <w:rPr>
          <w:rFonts w:ascii="Arial" w:cs="Arial" w:eastAsia="Arial" w:hAnsi="Arial"/>
          <w:sz w:val="18"/>
          <w:szCs w:val="18"/>
          <w:color w:val="auto"/>
        </w:rPr>
        <w:t>agreed to make Loans to Lessor in an aggregate amount not to exceed $648,000,000 upon the terms and subject to the conditions set forth therein and the other Operative Documents, to be evidenced by notes issued by Lessor from time to time under the Loan Agreement.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pursuant to the Participation Agreement, Lessor has agreed to fund an aggregate amount not to exceed $72,000,000 upon the terms and subject to the conditions set forth therein. The Lenders and Lessor are sometimes hereinafter collectively referred to as the “</w:t>
      </w:r>
      <w:r>
        <w:rPr>
          <w:rFonts w:ascii="Arial" w:cs="Arial" w:eastAsia="Arial" w:hAnsi="Arial"/>
          <w:sz w:val="17"/>
          <w:szCs w:val="17"/>
          <w:i w:val="1"/>
          <w:iCs w:val="1"/>
          <w:color w:val="auto"/>
        </w:rPr>
        <w:t>Participants.</w:t>
      </w:r>
      <w:r>
        <w:rPr>
          <w:rFonts w:ascii="Arial" w:cs="Arial" w:eastAsia="Arial" w:hAnsi="Arial"/>
          <w:sz w:val="17"/>
          <w:szCs w:val="17"/>
          <w:color w:val="auto"/>
        </w:rPr>
        <w:t>”</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w:t>
      </w:r>
      <w:r>
        <w:rPr>
          <w:rFonts w:ascii="Arial" w:cs="Arial" w:eastAsia="Arial" w:hAnsi="Arial"/>
          <w:sz w:val="11"/>
          <w:szCs w:val="11"/>
          <w:color w:val="auto"/>
        </w:rPr>
        <w:t>HEREAS</w:t>
      </w:r>
      <w:r>
        <w:rPr>
          <w:rFonts w:ascii="Arial" w:cs="Arial" w:eastAsia="Arial" w:hAnsi="Arial"/>
          <w:sz w:val="16"/>
          <w:szCs w:val="16"/>
          <w:color w:val="auto"/>
        </w:rPr>
        <w:t>, Lessor will use the amounts funded by the Participants to finance Participant Costs, and Lessor will hold a fee interest in and to the Property subject to the rights of Lessee under the Lease and Remedies Agreement, dated as of March 3, 2017, between Lessee and Lessor (as amended and restated as of May 2, 2019, and as may be further amended, restated, supplemented or otherwise modified from time to time pursuant thereto, the “</w:t>
      </w:r>
      <w:r>
        <w:rPr>
          <w:rFonts w:ascii="Arial" w:cs="Arial" w:eastAsia="Arial" w:hAnsi="Arial"/>
          <w:sz w:val="16"/>
          <w:szCs w:val="16"/>
          <w:i w:val="1"/>
          <w:iCs w:val="1"/>
          <w:color w:val="auto"/>
        </w:rPr>
        <w:t>Lease</w:t>
      </w:r>
      <w:r>
        <w:rPr>
          <w:rFonts w:ascii="Arial" w:cs="Arial" w:eastAsia="Arial" w:hAnsi="Arial"/>
          <w:sz w:val="16"/>
          <w:szCs w:val="16"/>
          <w:color w:val="auto"/>
        </w:rPr>
        <w:t>”), the Memorandum of Lease and Remedies Agreement, dated as of March 3, 2017 and recorded on [_______ __], 2017 in the Register’s Office of Westchester</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County, New York, and the other Operative Documents, to secure Lessee’s payment and performance under the Operative Documents. The Lease and Memorandum of Lease are sometimes hereinafter collectively referred to as the “</w:t>
      </w:r>
      <w:r>
        <w:rPr>
          <w:rFonts w:ascii="Arial" w:cs="Arial" w:eastAsia="Arial" w:hAnsi="Arial"/>
          <w:sz w:val="18"/>
          <w:szCs w:val="18"/>
          <w:i w:val="1"/>
          <w:iCs w:val="1"/>
          <w:color w:val="auto"/>
        </w:rPr>
        <w:t>Lease Documents.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as set forth in the Participation Agreement and pursuant to the Lease Documents, Lessor has agreed to lease to Lessee and Lessee has agreed to lease from Lessor the Leased Property, and where Lessee has agreed, in the Lease Documents, to grant certain liens on the Leased Property for the benefit of Lessor, and Lessee has executed and delivered the Lease Documents and certain other Operative Documents.</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Whereas, the Administrative Agent is the mortgagee under that certain Amended, Restated and Consolidated Mortgage, Assignment of Leases and Security Agreement (as amended, restated, supplemented or otherwise modified from time to time pursuant thereto, “</w:t>
      </w:r>
      <w:r>
        <w:rPr>
          <w:rFonts w:ascii="Arial" w:cs="Arial" w:eastAsia="Arial" w:hAnsi="Arial"/>
          <w:sz w:val="16"/>
          <w:szCs w:val="16"/>
          <w:i w:val="1"/>
          <w:iCs w:val="1"/>
          <w:color w:val="auto"/>
        </w:rPr>
        <w:t>Mortgage</w:t>
      </w:r>
      <w:r>
        <w:rPr>
          <w:rFonts w:ascii="Arial" w:cs="Arial" w:eastAsia="Arial" w:hAnsi="Arial"/>
          <w:sz w:val="16"/>
          <w:szCs w:val="16"/>
          <w:color w:val="auto"/>
        </w:rPr>
        <w:t>”), dated as of March 3, 2017, and recorded on [_______ __], 2017 as Instrument No. [__________] in the Register’s Office of Westchester County, New York, encumbering the Property. The Mortgage secures certain obligations to the Administrative Agent and Participants as more particularly described therein (the “</w:t>
      </w:r>
      <w:r>
        <w:rPr>
          <w:rFonts w:ascii="Arial" w:cs="Arial" w:eastAsia="Arial" w:hAnsi="Arial"/>
          <w:sz w:val="16"/>
          <w:szCs w:val="16"/>
          <w:i w:val="1"/>
          <w:iCs w:val="1"/>
          <w:color w:val="auto"/>
        </w:rPr>
        <w:t>Secured Obligations</w:t>
      </w:r>
      <w:r>
        <w:rPr>
          <w:rFonts w:ascii="Arial" w:cs="Arial" w:eastAsia="Arial" w:hAnsi="Arial"/>
          <w:sz w:val="16"/>
          <w:szCs w:val="16"/>
          <w:color w:val="auto"/>
        </w:rPr>
        <w:t>”).</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on the terms and conditions in this Agreement, the parties desire to subordinate Subtenant’s leasehold interest in the Property to the Lease and lien of the Mortgage and to assure Subtenant possession of the Property for the entire term of the Sublease, even though Administrative Agent may foreclose the lien of the Mortgage before expiration of the Sublease.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in consideration of the mutual covenants and agreements contained in this Agreement, the parties agree as follows:</w:t>
      </w:r>
    </w:p>
    <w:p>
      <w:pPr>
        <w:spacing w:after="0" w:line="2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1. S</w:t>
      </w:r>
      <w:r>
        <w:rPr>
          <w:rFonts w:ascii="Arial" w:cs="Arial" w:eastAsia="Arial" w:hAnsi="Arial"/>
          <w:sz w:val="14"/>
          <w:szCs w:val="14"/>
          <w:b w:val="1"/>
          <w:bCs w:val="1"/>
          <w:color w:val="auto"/>
        </w:rPr>
        <w:t>UBORDINATION</w:t>
      </w:r>
      <w:r>
        <w:rPr>
          <w:rFonts w:ascii="Arial" w:cs="Arial" w:eastAsia="Arial" w:hAnsi="Arial"/>
          <w:sz w:val="22"/>
          <w:szCs w:val="22"/>
          <w:b w:val="1"/>
          <w:bCs w:val="1"/>
          <w:color w:val="auto"/>
        </w:rPr>
        <w: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Sublease, the leasehold estate created thereby, and all rights and privileges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03" w:name="page304"/>
    <w:bookmarkEnd w:id="303"/>
    <w:p>
      <w:pPr>
        <w:jc w:val="both"/>
        <w:spacing w:after="0" w:line="342" w:lineRule="auto"/>
        <w:rPr>
          <w:sz w:val="20"/>
          <w:szCs w:val="20"/>
          <w:color w:val="auto"/>
        </w:rPr>
      </w:pPr>
      <w:r>
        <w:rPr>
          <w:rFonts w:ascii="Arial" w:cs="Arial" w:eastAsia="Arial" w:hAnsi="Arial"/>
          <w:sz w:val="16"/>
          <w:szCs w:val="16"/>
          <w:color w:val="auto"/>
        </w:rPr>
        <w:t>Subtenant thereunder shall be subject and subordinate to the Lease and lien of the Mortgage and to any renewals, modifications, consolidations, replacements, amendments, restatements and extensions of the Lease and Mortgage to the full extent of the obligations now or hereafter secured by the Mortgage.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2. N</w:t>
      </w:r>
      <w:r>
        <w:rPr>
          <w:rFonts w:ascii="Arial" w:cs="Arial" w:eastAsia="Arial" w:hAnsi="Arial"/>
          <w:sz w:val="14"/>
          <w:szCs w:val="14"/>
          <w:b w:val="1"/>
          <w:bCs w:val="1"/>
          <w:color w:val="auto"/>
        </w:rPr>
        <w:t>ONDISTURBANCE</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So long as no event of default by Subtenant has occurred and is continuing under the Sublease, beyond any period given to Subtenant to cure a default, in the payment of rent or in the performance of any of the terms, covenants, or conditions of the Sublease, Subtenant’s possession of the Property and Subtenant’s rights and privileges under the Sublease, including any extensions or renewals, shall not be diminished or interfered with by Lessor or Administrative Agent during the term of the Sublease or any extensions or renewals. So long as no event of default by Subtenant has occurred and is continuing under the Sublease, beyond any period given Subtenant to cure such default, in the payment of rent or in the performance of any of the terms, covenants, or conditions of the Sublease, Lessor and Administrative Agent will not join Subtenant as a party for the purpose of terminating or otherwise affecting Subtenant’s interest under the Sublease, in any action of foreclosure or other proceeding brought by Lessor or Administrative Agent to enforce any rights arising because of any default under the Lease or Mortgage. Lessor and Administrative Agent may, however, join Subtenant as a party if joinder is necessary under any statute or law to secure the remedies available to Lessor or Administrative Agent under the Lease or Mortgage, but joinder shall be for that purpose only and not for the purpose of terminating the Sublease or affecting Subtenant’s right to possession of the Property.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3. A</w:t>
      </w:r>
      <w:r>
        <w:rPr>
          <w:rFonts w:ascii="Arial" w:cs="Arial" w:eastAsia="Arial" w:hAnsi="Arial"/>
          <w:sz w:val="14"/>
          <w:szCs w:val="14"/>
          <w:b w:val="1"/>
          <w:bCs w:val="1"/>
          <w:color w:val="auto"/>
        </w:rPr>
        <w:t>TTORNMENT</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the Lessee’s interest is transferred to and owned by Lessor, Administrative Agent or any successor of Lessor or Administrative Agent (“</w:t>
      </w:r>
      <w:r>
        <w:rPr>
          <w:rFonts w:ascii="Arial" w:cs="Arial" w:eastAsia="Arial" w:hAnsi="Arial"/>
          <w:sz w:val="17"/>
          <w:szCs w:val="17"/>
          <w:i w:val="1"/>
          <w:iCs w:val="1"/>
          <w:color w:val="auto"/>
        </w:rPr>
        <w:t>Acquiring</w:t>
      </w:r>
      <w:r>
        <w:rPr>
          <w:rFonts w:ascii="Arial" w:cs="Arial" w:eastAsia="Arial" w:hAnsi="Arial"/>
          <w:sz w:val="17"/>
          <w:szCs w:val="17"/>
          <w:color w:val="auto"/>
        </w:rPr>
        <w:t xml:space="preserve"> </w:t>
      </w:r>
      <w:r>
        <w:rPr>
          <w:rFonts w:ascii="Arial" w:cs="Arial" w:eastAsia="Arial" w:hAnsi="Arial"/>
          <w:sz w:val="17"/>
          <w:szCs w:val="17"/>
          <w:i w:val="1"/>
          <w:iCs w:val="1"/>
          <w:color w:val="auto"/>
        </w:rPr>
        <w:t>Party</w:t>
      </w:r>
      <w:r>
        <w:rPr>
          <w:rFonts w:ascii="Arial" w:cs="Arial" w:eastAsia="Arial" w:hAnsi="Arial"/>
          <w:sz w:val="17"/>
          <w:szCs w:val="17"/>
          <w:color w:val="auto"/>
        </w:rPr>
        <w:t>”) because of foreclosure or other proceedings brought by Lessor or Administrative Agent, or by any other manner, and Lessor or Administrative Agent</w:t>
      </w:r>
      <w:r>
        <w:rPr>
          <w:rFonts w:ascii="Arial" w:cs="Arial" w:eastAsia="Arial" w:hAnsi="Arial"/>
          <w:sz w:val="17"/>
          <w:szCs w:val="17"/>
          <w:i w:val="1"/>
          <w:iCs w:val="1"/>
          <w:color w:val="auto"/>
        </w:rPr>
        <w:t xml:space="preserve"> </w:t>
      </w:r>
      <w:r>
        <w:rPr>
          <w:rFonts w:ascii="Arial" w:cs="Arial" w:eastAsia="Arial" w:hAnsi="Arial"/>
          <w:sz w:val="17"/>
          <w:szCs w:val="17"/>
          <w:color w:val="auto"/>
        </w:rPr>
        <w:t>succeeds to Lessee’s interest under the Sublease, Subtenant shall be bound to the Acquiring Party, and Acquiring Party shall be bound to Subtenant under all of the terms, covenants and conditions of the Sublease for the balance of the remaining term, including any extensions or renewals, with the same effect as if Acquiring Party were Lessee under the Sublease. Subtenant agrees to attorn to Acquiring Party as the Lessee, with the attornment being effective and self-operative immediately upon Acquiring Party succeeding to the interest of Lessee under the Sublease, all without the execution by the parties of any further instruments. However, Subtenant shall not be obligated to pay rent to Acquiring Party until Subtenant receives written notice from Acquiring Party, together with evidence satisfactory to Subtenant, demonstrating that Acquiring Party has succeeded to Lessee’s interest under the Sublease and directing where rent should be mailed. The respective rights and obligations of Subtenant and Acquiring Party upon attornment, to the extent of the then-remaining balance of the term of the Sublease, shall be the same as in the Sublease, which is incorporated by reference in this Agreement. If Acquiring Party succeeds to Lessee’s interest in the Sublease, Acquiring Party shall be bound to Subtenant under all the terms, covenants and conditions of the Sublease, and Subtenant shall, after Acquiring Party’s succession to Lessee’s interest, have the same remedies against Acquiring Party for the breach of any agreement in the Sublease that Subtenant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04" w:name="page305"/>
    <w:bookmarkEnd w:id="304"/>
    <w:p>
      <w:pPr>
        <w:jc w:val="both"/>
        <w:spacing w:after="0" w:line="259" w:lineRule="auto"/>
        <w:rPr>
          <w:sz w:val="20"/>
          <w:szCs w:val="20"/>
          <w:color w:val="auto"/>
        </w:rPr>
      </w:pPr>
      <w:r>
        <w:rPr>
          <w:rFonts w:ascii="Arial" w:cs="Arial" w:eastAsia="Arial" w:hAnsi="Arial"/>
          <w:sz w:val="18"/>
          <w:szCs w:val="18"/>
          <w:color w:val="auto"/>
        </w:rPr>
        <w:t>might have had against Lessee. The Acquiring Party shall have no obligation or liability to Subtenant for any obligations of Lessee under the terms of the Sublease which were owed or accruing prior to the date the Acquiring Party acquired Lessee’s interest, including without limitation, for acts or omissions of the Lessee, any default by the Lessee, offsets or defenses against the Lessee, advance rent, the refunding of any security deposit for which the Acquiring Party has not received, the funding of any construction obligations or tenant improvements.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4. S</w:t>
      </w:r>
      <w:r>
        <w:rPr>
          <w:rFonts w:ascii="Arial" w:cs="Arial" w:eastAsia="Arial" w:hAnsi="Arial"/>
          <w:sz w:val="14"/>
          <w:szCs w:val="14"/>
          <w:b w:val="1"/>
          <w:bCs w:val="1"/>
          <w:color w:val="auto"/>
        </w:rPr>
        <w:t>UBTENANT</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STOPPEL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Within ten (10) business days after Lessor’s or Administrative Agent’s request, Subtenant shall deliver to Lessor or Administrative Agent, as applicable, and to any person designated by Lessor or Administrative Agent, estoppel certificates executed by Subtenant, certifying (if such is the case) that the Sublease is in full force and effect, that there are no defenses or offsets outstanding under the Sublease (or stating those claimed by Subtenant, as the case may be) and such other information about Subtenant or the Sublease as Lessor or Administrative Agent may reasonably request.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5. S</w:t>
      </w:r>
      <w:r>
        <w:rPr>
          <w:rFonts w:ascii="Arial" w:cs="Arial" w:eastAsia="Arial" w:hAnsi="Arial"/>
          <w:sz w:val="14"/>
          <w:szCs w:val="14"/>
          <w:b w:val="1"/>
          <w:bCs w:val="1"/>
          <w:color w:val="auto"/>
        </w:rPr>
        <w:t>UBTENANT</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lien of the Mortgage shall unconditionally be and remain at all times a lien on the Property prior and superior to any existing or future option or right of first refusal of Subtenant to purchase the Property or any portion thereof. In the event of any transfer of Lessee’s interest in the Property by foreclosure or other action or proceeding for the enforcement of the Mortgage or by deed in lieu thereof, Subtenant specifically waives any right, whether arising out of the Sublease or otherwise, to exercise any purchase option or right of first refusal which remains unexercised at the time of such transfer.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6. 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HANGE IN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UBLEASE</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Lessee and Subtenant agree not to change, alter, amend or otherwise modify the Sublease without the prior written consent of Lessor. Any change, alteration, amendment, or other modification to the Sublease without the prior written consent Lessor shall be void as to Lessor and Administrative Agent.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7. N</w:t>
      </w:r>
      <w:r>
        <w:rPr>
          <w:rFonts w:ascii="Arial" w:cs="Arial" w:eastAsia="Arial" w:hAnsi="Arial"/>
          <w:sz w:val="14"/>
          <w:szCs w:val="14"/>
          <w:b w:val="1"/>
          <w:bCs w:val="1"/>
          <w:color w:val="auto"/>
        </w:rPr>
        <w:t>OTICES</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this Agreement, wherever it is required or permitted that notice and demand be given by any party to another party, that notice or demand shall be given in writing and forwarded by certified mail, addressed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Subtenant: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306705</wp:posOffset>
            </wp:positionV>
            <wp:extent cx="302704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027045"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160655</wp:posOffset>
            </wp:positionV>
            <wp:extent cx="302704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027045"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14605</wp:posOffset>
            </wp:positionV>
            <wp:extent cx="30270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18"/>
          <w:szCs w:val="18"/>
          <w:color w:val="auto"/>
        </w:rPr>
        <w:t>For Lessee:</w:t>
      </w:r>
      <w:r>
        <w:rPr>
          <w:sz w:val="20"/>
          <w:szCs w:val="20"/>
          <w:color w:val="auto"/>
        </w:rPr>
        <w:tab/>
      </w:r>
      <w:r>
        <w:rPr>
          <w:rFonts w:ascii="Arial" w:cs="Arial" w:eastAsia="Arial" w:hAnsi="Arial"/>
          <w:sz w:val="17"/>
          <w:szCs w:val="17"/>
          <w:color w:val="auto"/>
        </w:rPr>
        <w:t>Old Saw Mill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05" w:name="page306"/>
    <w:bookmarkEnd w:id="305"/>
    <w:p>
      <w:pPr>
        <w:ind w:left="2580"/>
        <w:spacing w:after="0"/>
        <w:rPr>
          <w:sz w:val="20"/>
          <w:szCs w:val="20"/>
          <w:color w:val="auto"/>
        </w:rPr>
      </w:pPr>
      <w:r>
        <w:rPr>
          <w:rFonts w:ascii="Arial" w:cs="Arial" w:eastAsia="Arial" w:hAnsi="Arial"/>
          <w:sz w:val="18"/>
          <w:szCs w:val="18"/>
          <w:color w:val="auto"/>
        </w:rPr>
        <w:t>777 Old Saw Mill River Road</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Old Saw Mill Holdings LLC</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Attention: Vice President, Facilities</w:t>
      </w:r>
    </w:p>
    <w:p>
      <w:pPr>
        <w:sectPr>
          <w:pgSz w:w="11900" w:h="16838" w:orient="portrait"/>
          <w:cols w:equalWidth="0" w:num="1">
            <w:col w:w="11420"/>
          </w:cols>
          <w:pgMar w:left="240" w:top="408" w:right="239" w:bottom="1440" w:gutter="0" w:footer="0" w:header="0"/>
        </w:sect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Lessor: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BA Leasing BSC,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11333 McCormick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Mailcode: MD5-032-07-05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Hunt Valley, Maryland 21031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Operations</w:t>
      </w:r>
    </w:p>
    <w:p>
      <w:pPr>
        <w:spacing w:after="0" w:line="200" w:lineRule="exact"/>
        <w:rPr>
          <w:sz w:val="20"/>
          <w:szCs w:val="20"/>
          <w:color w:val="auto"/>
        </w:rPr>
      </w:pPr>
    </w:p>
    <w:p>
      <w:pPr>
        <w:sectPr>
          <w:pgSz w:w="11900" w:h="16838" w:orient="portrait"/>
          <w:cols w:equalWidth="0" w:num="2">
            <w:col w:w="1860" w:space="720"/>
            <w:col w:w="8840"/>
          </w:cols>
          <w:pgMar w:left="240" w:top="408" w:right="239" w:bottom="1440" w:gutter="0" w:footer="0" w:header="0"/>
          <w:type w:val="continuous"/>
        </w:sectPr>
      </w:pPr>
    </w:p>
    <w:p>
      <w:pPr>
        <w:spacing w:after="0" w:line="11"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For 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 Fourth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Aamir Saleem, Vice President, Agency Management</w:t>
      </w:r>
    </w:p>
    <w:p>
      <w:pPr>
        <w:spacing w:after="0" w:line="200" w:lineRule="exact"/>
        <w:rPr>
          <w:sz w:val="20"/>
          <w:szCs w:val="20"/>
          <w:color w:val="auto"/>
        </w:rPr>
      </w:pPr>
    </w:p>
    <w:p>
      <w:pPr>
        <w:sectPr>
          <w:pgSz w:w="11900" w:h="16838" w:orient="portrait"/>
          <w:cols w:equalWidth="0" w:num="2">
            <w:col w:w="2560" w:space="640"/>
            <w:col w:w="8220"/>
          </w:cols>
          <w:pgMar w:left="240" w:top="408" w:right="2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party may change an address given for notice by giving written notice of that change by certified mail to all other parties.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8. A</w:t>
      </w:r>
      <w:r>
        <w:rPr>
          <w:rFonts w:ascii="Arial" w:cs="Arial" w:eastAsia="Arial" w:hAnsi="Arial"/>
          <w:sz w:val="14"/>
          <w:szCs w:val="14"/>
          <w:b w:val="1"/>
          <w:bCs w:val="1"/>
          <w:color w:val="auto"/>
        </w:rPr>
        <w:t>UTHORITY</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party is a corporation, limited liability company, or a partnership, all individuals executing this Agreement on behalf of such corporation, limited liability company, or partnership represent and warrant that they are authorized to execute and deliver this Agreement on behalf of the corporation, limited liability company, or partnership and that this Agreement is binding upon such corporation, limited liability company, or partnership.</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9. M</w:t>
      </w:r>
      <w:r>
        <w:rPr>
          <w:rFonts w:ascii="Arial" w:cs="Arial" w:eastAsia="Arial" w:hAnsi="Arial"/>
          <w:sz w:val="14"/>
          <w:szCs w:val="14"/>
          <w:b w:val="1"/>
          <w:bCs w:val="1"/>
          <w:color w:val="auto"/>
        </w:rPr>
        <w:t>ISCELLANEOUS</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Agreement may not be modified other than by an agreement in writing signed by the parties or by their respective successors in interest. If any party commences any action against any other party based on this Agreement, the prevailing party shall be entitled to recover reasonable attorney fees, expenses, and costs of suit. This Agreement shall be binding on and inure to the benefit of the parties and their respective heirs, successors and assigns. The headings of this Agreement are for reference only and shall not limit or define any meaning of this Agreement. This Agreement may be executed in one or more counterparts, each of which is an original, but all of which shall constitute one and the same instrument. This Agreement shall be construed in accordance with and governed by New York law.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type w:val="continuous"/>
        </w:sectPr>
      </w:pPr>
    </w:p>
    <w:bookmarkStart w:id="306" w:name="page307"/>
    <w:bookmarkEnd w:id="306"/>
    <w:p>
      <w:pPr>
        <w:jc w:val="center"/>
        <w:ind w:right="-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 PAGES FOLLOW</w:t>
      </w:r>
      <w:r>
        <w:rPr>
          <w:rFonts w:ascii="Arial" w:cs="Arial" w:eastAsia="Arial" w:hAnsi="Arial"/>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182245</wp:posOffset>
            </wp:positionV>
            <wp:extent cx="724662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307" w:name="page308"/>
    <w:bookmarkEnd w:id="307"/>
    <w:p>
      <w:pPr>
        <w:ind w:left="660"/>
        <w:spacing w:after="0"/>
        <w:rPr>
          <w:sz w:val="20"/>
          <w:szCs w:val="20"/>
          <w:color w:val="auto"/>
        </w:rPr>
      </w:pPr>
      <w:r>
        <w:rPr>
          <w:rFonts w:ascii="Arial" w:cs="Arial" w:eastAsia="Arial" w:hAnsi="Arial"/>
          <w:sz w:val="16"/>
          <w:szCs w:val="16"/>
          <w:color w:val="auto"/>
        </w:rPr>
        <w:t>I</w:t>
      </w:r>
      <w:r>
        <w:rPr>
          <w:rFonts w:ascii="Arial" w:cs="Arial" w:eastAsia="Arial" w:hAnsi="Arial"/>
          <w:sz w:val="11"/>
          <w:szCs w:val="11"/>
          <w:color w:val="auto"/>
        </w:rPr>
        <w:t>N</w:t>
      </w:r>
      <w:r>
        <w:rPr>
          <w:rFonts w:ascii="Arial" w:cs="Arial" w:eastAsia="Arial" w:hAnsi="Arial"/>
          <w:sz w:val="16"/>
          <w:szCs w:val="16"/>
          <w:color w:val="auto"/>
        </w:rPr>
        <w:t xml:space="preserve"> W</w:t>
      </w:r>
      <w:r>
        <w:rPr>
          <w:rFonts w:ascii="Arial" w:cs="Arial" w:eastAsia="Arial" w:hAnsi="Arial"/>
          <w:sz w:val="11"/>
          <w:szCs w:val="11"/>
          <w:color w:val="auto"/>
        </w:rPr>
        <w:t>ITNESS</w:t>
      </w:r>
      <w:r>
        <w:rPr>
          <w:rFonts w:ascii="Arial" w:cs="Arial" w:eastAsia="Arial" w:hAnsi="Arial"/>
          <w:sz w:val="16"/>
          <w:szCs w:val="16"/>
          <w:color w:val="auto"/>
        </w:rPr>
        <w:t xml:space="preserve"> W</w:t>
      </w:r>
      <w:r>
        <w:rPr>
          <w:rFonts w:ascii="Arial" w:cs="Arial" w:eastAsia="Arial" w:hAnsi="Arial"/>
          <w:sz w:val="11"/>
          <w:szCs w:val="11"/>
          <w:color w:val="auto"/>
        </w:rPr>
        <w:t>HEREOF</w:t>
      </w:r>
      <w:r>
        <w:rPr>
          <w:rFonts w:ascii="Arial" w:cs="Arial" w:eastAsia="Arial" w:hAnsi="Arial"/>
          <w:sz w:val="16"/>
          <w:szCs w:val="16"/>
          <w:color w:val="auto"/>
        </w:rPr>
        <w:t>, the parties have duly executed this Agreement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UBTENANT</w:t>
      </w:r>
      <w:r>
        <w:rPr>
          <w:rFonts w:ascii="Arial" w:cs="Arial" w:eastAsia="Arial" w:hAnsi="Arial"/>
          <w:sz w:val="18"/>
          <w:szCs w:val="18"/>
          <w:color w:val="auto"/>
        </w:rPr>
        <w:t>: [_______________________]</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By:________________________________</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Name:______________________________</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Title:_______________________________</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ESSEE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w:t>
      </w:r>
      <w:r>
        <w:rPr>
          <w:rFonts w:ascii="Arial" w:cs="Arial" w:eastAsia="Arial" w:hAnsi="Arial"/>
          <w:sz w:val="11"/>
          <w:szCs w:val="11"/>
          <w:color w:val="auto"/>
        </w:rPr>
        <w:t>LD</w:t>
      </w:r>
      <w:r>
        <w:rPr>
          <w:rFonts w:ascii="Arial" w:cs="Arial" w:eastAsia="Arial" w:hAnsi="Arial"/>
          <w:sz w:val="17"/>
          <w:szCs w:val="17"/>
          <w:color w:val="auto"/>
        </w:rPr>
        <w:t xml:space="preserve"> S</w:t>
      </w:r>
      <w:r>
        <w:rPr>
          <w:rFonts w:ascii="Arial" w:cs="Arial" w:eastAsia="Arial" w:hAnsi="Arial"/>
          <w:sz w:val="11"/>
          <w:szCs w:val="11"/>
          <w:color w:val="auto"/>
        </w:rPr>
        <w:t>AW</w:t>
      </w:r>
      <w:r>
        <w:rPr>
          <w:rFonts w:ascii="Arial" w:cs="Arial" w:eastAsia="Arial" w:hAnsi="Arial"/>
          <w:sz w:val="17"/>
          <w:szCs w:val="17"/>
          <w:color w:val="auto"/>
        </w:rPr>
        <w:t xml:space="preserve"> M</w:t>
      </w:r>
      <w:r>
        <w:rPr>
          <w:rFonts w:ascii="Arial" w:cs="Arial" w:eastAsia="Arial" w:hAnsi="Arial"/>
          <w:sz w:val="11"/>
          <w:szCs w:val="11"/>
          <w:color w:val="auto"/>
        </w:rPr>
        <w:t>ILL</w:t>
      </w:r>
      <w:r>
        <w:rPr>
          <w:rFonts w:ascii="Arial" w:cs="Arial" w:eastAsia="Arial" w:hAnsi="Arial"/>
          <w:sz w:val="17"/>
          <w:szCs w:val="17"/>
          <w:color w:val="auto"/>
        </w:rPr>
        <w:t xml:space="preserve"> H</w:t>
      </w:r>
      <w:r>
        <w:rPr>
          <w:rFonts w:ascii="Arial" w:cs="Arial" w:eastAsia="Arial" w:hAnsi="Arial"/>
          <w:sz w:val="11"/>
          <w:szCs w:val="11"/>
          <w:color w:val="auto"/>
        </w:rPr>
        <w:t>OLDINGS</w:t>
      </w:r>
      <w:r>
        <w:rPr>
          <w:rFonts w:ascii="Arial" w:cs="Arial" w:eastAsia="Arial" w:hAnsi="Arial"/>
          <w:sz w:val="17"/>
          <w:szCs w:val="17"/>
          <w:color w:val="auto"/>
        </w:rPr>
        <w:t xml:space="preserve"> LLC</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By:________________________________</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Name:______________________________</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Title:_______________________________</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ESSOR</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BA L</w:t>
      </w:r>
      <w:r>
        <w:rPr>
          <w:rFonts w:ascii="Arial" w:cs="Arial" w:eastAsia="Arial" w:hAnsi="Arial"/>
          <w:sz w:val="11"/>
          <w:szCs w:val="11"/>
          <w:color w:val="auto"/>
        </w:rPr>
        <w:t>EASING</w:t>
      </w:r>
      <w:r>
        <w:rPr>
          <w:rFonts w:ascii="Arial" w:cs="Arial" w:eastAsia="Arial" w:hAnsi="Arial"/>
          <w:sz w:val="17"/>
          <w:szCs w:val="17"/>
          <w:color w:val="auto"/>
        </w:rPr>
        <w:t xml:space="preserve"> BSC, LLC</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By:_______________________________</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Name:_____________________________</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Title:______________________________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DMINISTRATIVE</w:t>
      </w:r>
    </w:p>
    <w:p>
      <w:pPr>
        <w:spacing w:after="0" w:line="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GENT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w:t>
      </w:r>
      <w:r>
        <w:rPr>
          <w:rFonts w:ascii="Arial" w:cs="Arial" w:eastAsia="Arial" w:hAnsi="Arial"/>
          <w:sz w:val="11"/>
          <w:szCs w:val="11"/>
          <w:color w:val="auto"/>
        </w:rPr>
        <w:t>ANK OF</w:t>
      </w:r>
      <w:r>
        <w:rPr>
          <w:rFonts w:ascii="Arial" w:cs="Arial" w:eastAsia="Arial" w:hAnsi="Arial"/>
          <w:sz w:val="17"/>
          <w:szCs w:val="17"/>
          <w:color w:val="auto"/>
        </w:rPr>
        <w:t xml:space="preserve"> A</w:t>
      </w:r>
      <w:r>
        <w:rPr>
          <w:rFonts w:ascii="Arial" w:cs="Arial" w:eastAsia="Arial" w:hAnsi="Arial"/>
          <w:sz w:val="11"/>
          <w:szCs w:val="11"/>
          <w:color w:val="auto"/>
        </w:rPr>
        <w:t>MERICA</w:t>
      </w:r>
      <w:r>
        <w:rPr>
          <w:rFonts w:ascii="Arial" w:cs="Arial" w:eastAsia="Arial" w:hAnsi="Arial"/>
          <w:sz w:val="17"/>
          <w:szCs w:val="17"/>
          <w:color w:val="auto"/>
        </w:rPr>
        <w:t>, N.A., not in its individual capacity, but solely as Administrative Agent</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By:_______________________________</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Name:_____________________________</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Title:______________________________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 signatures must be acknowledged]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9" w:right="1440" w:bottom="1440" w:gutter="0" w:footer="0" w:header="0"/>
        </w:sectPr>
      </w:pPr>
    </w:p>
    <w:bookmarkStart w:id="308" w:name="page309"/>
    <w:bookmarkEnd w:id="308"/>
    <w:p>
      <w:pPr>
        <w:jc w:val="center"/>
        <w:ind w:right="-19"/>
        <w:spacing w:after="0"/>
        <w:rPr>
          <w:sz w:val="20"/>
          <w:szCs w:val="20"/>
          <w:color w:val="auto"/>
        </w:rPr>
      </w:pPr>
      <w:r>
        <w:rPr>
          <w:rFonts w:ascii="Arial" w:cs="Arial" w:eastAsia="Arial" w:hAnsi="Arial"/>
          <w:sz w:val="22"/>
          <w:szCs w:val="22"/>
          <w:b w:val="1"/>
          <w:bCs w:val="1"/>
          <w:color w:val="auto"/>
        </w:rPr>
        <w:t>UNIFORM FORM CERTIFICATE OF ACKNOWLEDGMENT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(Within New York State)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State of New York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 _______ ) ss.: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On the ____ day of ________ in the year ____ before me, the undersigned, personally appeared __________________________ , personally known to me or</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proved to me on the basis of satisfactory evidence to be the individual(s) whose name(s) is (are) subscribed to the within instrument and acknowledged to me that he/she/they executed the same in his/her/their capacity(ies), and that by his/her their signature(s) on the instrument, the individual(s), or the person upon behalf of which the individual(s) acted, executed the instrument.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taking acknowledgment</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UNIFORM FORM CERTIFICATE OF ACKNOWLEDGMENT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(Outside of New York State)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State, District of Columbia, Territory, Possession, or Foreign Country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 ) ss.: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On the __ day of _______ in the year _____ before me, the undersigned, personally appeared ___________ , personally known to me or proved to me on the</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basis of satisfactory evidence to be the individual(s) whose name(s) is (are) subscribed to the within instrument and acknowledged to me that he/she/they executed the same in his/her/their/ capacity (ies), that by his/her/their signature(s) on the instrument, the individual(s), or the person upon behalf of which the individual(s) acted, executed the instrument, and that such individual made such appearance before the undersigned in the ______________ . (Insert the city or other political subdivision and the state or country or other place the acknowledgment was taken).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taking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09" w:name="page310"/>
    <w:bookmarkEnd w:id="309"/>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that certain plot, piece of land, situate, lying and being in the Town of Greenburgh, County of Westchester, and State of New York, being designated as Lot P-2 on a certain map entitled “Final Subdivision Plat prepared for Eastview Holdings LLC of premises located at Old Saw Mill River Road and NYS Route 9A, Town of Greenburgh, Westchester County, New York Scale 1”=100’” prepared by John Meyer Consulting, PC, dated March 23, 2004 and last revised March 13, 2006, and filed on April 8, 2006 in the Office of the County Clerk of the County of Westchester as Filed Map No. 27754, and being more particularly described as: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at a rebar set on the southwesterly right of way line of Old Saw Mill River Road, where said rebar is located South 35°43’37“West, a distance of 101.93 feet from the intersection formed by the dividing line between the lands n/f BMR-LANDMARK AT EASTVIEW (SBL 116.15-1-2.2 in the Town of Mount Pleasant), and other lands of BMR-LANDMARK AT EASTVIEW(SBL 116.15-1-2.1 in the Town of Mount Pleasant), thence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reputed owner Town of Greensburgh</w:t>
      </w:r>
    </w:p>
    <w:p>
      <w:pPr>
        <w:spacing w:after="0" w:line="225" w:lineRule="exact"/>
        <w:rPr>
          <w:sz w:val="20"/>
          <w:szCs w:val="20"/>
          <w:color w:val="auto"/>
        </w:rPr>
      </w:pPr>
    </w:p>
    <w:p>
      <w:pPr>
        <w:ind w:left="180" w:hanging="172"/>
        <w:spacing w:after="0"/>
        <w:tabs>
          <w:tab w:leader="none" w:pos="1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South 00°05’33” East a distance of 93.33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18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100.00 feet, turning a central angle of 21°36’34”, for an arc length of 37.72 feet, the chord of said arc bearing South 10°42’49” West for a distance of 37.50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South 21°31’01” West a distance of 81.08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19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98.25 feet, turning a central angle of 17°06’57”, for an arc length of 29.35 feet, the chord of said arc bearing South 12°57’32” West for a distance of 29.24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South 04°24’12” West a distance of 32.56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South 03°48’59” West a distance of 30.15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South 02°34’01” West a distance of 90.30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18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305.09 feet, turning a central angle of 34°07’44”, for an arc length of 181.73 feet, the chord of said arc bearing South 19°37’53” West for a distance of 179.06 feet to a rebar set, thence</w:t>
      </w:r>
    </w:p>
    <w:p>
      <w:pPr>
        <w:spacing w:after="0" w:line="170" w:lineRule="exact"/>
        <w:rPr>
          <w:rFonts w:ascii="Arial" w:cs="Arial" w:eastAsia="Arial" w:hAnsi="Arial"/>
          <w:sz w:val="18"/>
          <w:szCs w:val="18"/>
          <w:color w:val="auto"/>
        </w:rPr>
      </w:pPr>
    </w:p>
    <w:p>
      <w:pPr>
        <w:ind w:firstLine="8"/>
        <w:spacing w:after="0" w:line="277" w:lineRule="auto"/>
        <w:tabs>
          <w:tab w:leader="none" w:pos="18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Along a reverse curve to the left having a radius of 362.65 feet, turning a central angle of 33°16’57”, for an arc length of 210.66 feet, the chord of said arc bearing South 20°03’17” West for a distance of 207.71 feet to a rebar set, thence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10" w:name="page311"/>
    <w:bookmarkEnd w:id="310"/>
    <w:p>
      <w:pPr>
        <w:ind w:left="280" w:hanging="272"/>
        <w:spacing w:after="0"/>
        <w:tabs>
          <w:tab w:leader="none" w:pos="2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South 03°24’29” West a distance of 152.00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6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172.07 feet, turning a central angle of 31°44’41”, for an arc length of 95.33 feet, the chord of said arc bearing South 19°16’50” West for a distance of 94.12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139.47 feet, turning a central angle of 71°37’16”, for an arc length of 174.34 feet, the chord of said arc bearing South 70°57’49” West for a distance of 163.21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North 73°13’58” West a distance of 128.84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South 16°03’11” West a distance of 16.68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North 73°56’49” West a distance of 29.11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27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242.01 feet, turning a central angle of 35°55’48”, for an arc length of 151.76 feet, the chord of said arc bearing South 88°05’17” West for a distance of 149.29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South 70°07’17” West a distance of 92.14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440.98 feet, turning a central angle of 40°10’49”, for an arc length of 309.25 feet, the chord of said arc bearing North 89°47’19” West for a distance of 302.95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South 20°18’00” West a distance of 20.89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North 65°49’54” West a distance of 101.52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1530.00 feet, turning a central angle of 21°27’50”, for an arc length of 573.16 feet, the chord of said arc bearing North 55°05’59” West for a distance of 569.81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400.00 feet, turning a central angle of 37°36’43”, for an arc length of 262.58 feet, the chord of said arc bearing North 25°33’43” West for a distance of 257.89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South 58°03’06” West a distance of 1501.30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North 11°11’33” West a distance of 441.76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Along reputed owner Consolidated Edison Company of New York, Inc North 34°43’49” East a distance of 1146.62 feet to a rebar set, thence Running the following courses and distances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11" w:name="page312"/>
    <w:bookmarkEnd w:id="311"/>
    <w:p>
      <w:pPr>
        <w:spacing w:after="0" w:line="277" w:lineRule="auto"/>
        <w:rPr>
          <w:sz w:val="20"/>
          <w:szCs w:val="20"/>
          <w:color w:val="auto"/>
        </w:rPr>
      </w:pPr>
      <w:r>
        <w:rPr>
          <w:rFonts w:ascii="Arial" w:cs="Arial" w:eastAsia="Arial" w:hAnsi="Arial"/>
          <w:sz w:val="18"/>
          <w:szCs w:val="18"/>
          <w:color w:val="auto"/>
        </w:rPr>
        <w:t>along Lot 1 on a map entitled “Final Subdivision Plat Prepared for Eastview Holdings LLC” filed in the Westchester County Clerk’s Office, Division of Land Records on 11/15/2005 as Map No. 27669.</w:t>
      </w:r>
    </w:p>
    <w:p>
      <w:pPr>
        <w:spacing w:after="0" w:line="170" w:lineRule="exact"/>
        <w:rPr>
          <w:sz w:val="20"/>
          <w:szCs w:val="20"/>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South 55°16’11” East a distance of 225.33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South 67°59’01” East a distance of 614.61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27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Along a non-tangent curve to the right having a radius of 1124.93 feet, turning a central angle of 16°12’11”, for an arc length of 318.13 feet, the chord of said arc bearing North 30°03’42” East for a distance of 317.07 feet to a rebar set, thence</w:t>
      </w:r>
    </w:p>
    <w:p>
      <w:pPr>
        <w:spacing w:after="0" w:line="170" w:lineRule="exact"/>
        <w:rPr>
          <w:rFonts w:ascii="Arial" w:cs="Arial" w:eastAsia="Arial" w:hAnsi="Arial"/>
          <w:sz w:val="18"/>
          <w:szCs w:val="18"/>
          <w:color w:val="auto"/>
        </w:rPr>
      </w:pPr>
    </w:p>
    <w:p>
      <w:pPr>
        <w:ind w:firstLine="8"/>
        <w:spacing w:after="0" w:line="277" w:lineRule="auto"/>
        <w:tabs>
          <w:tab w:leader="none" w:pos="27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450.05 feet, turning a central angle of 10°26’59”, for an arc length of 82.08 feet, the chord of said arc bearing North 43°23’17” East for a distance of 81.97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North 32°22’35” East a distance of 262.04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28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North 27°10’46” East a distance of 172.97 feet to a rebar set, thence Running the following courses and distances along the southwesterly right of way line of Old Sawmill River Road,</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South 63°22’33” East a distance of 24.28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South 68°16’40” East a distance of 63.98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South 71°57’20” East a distance of 48.14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South 75°31’00” East a distance of 167.65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South 75°03’30” East a distance of 417.19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South 71°58’00” East a distance of 46.04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South 70°36’00” East a distance of 53.02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South 67°40’50” East a distance of 36.36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South 66°14’50” East a distance of 71.78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South 63°42’50” East a distance of 155.58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South 63°47’50” East a distance of 270.49 feet to the rebar set and place of beginning.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12" w:name="page313"/>
    <w:bookmarkEnd w:id="312"/>
    <w:p>
      <w:pPr>
        <w:jc w:val="both"/>
        <w:spacing w:after="0" w:line="264" w:lineRule="auto"/>
        <w:rPr>
          <w:sz w:val="20"/>
          <w:szCs w:val="20"/>
          <w:color w:val="auto"/>
        </w:rPr>
      </w:pPr>
      <w:r>
        <w:rPr>
          <w:rFonts w:ascii="Arial" w:cs="Arial" w:eastAsia="Arial" w:hAnsi="Arial"/>
          <w:sz w:val="18"/>
          <w:szCs w:val="18"/>
          <w:color w:val="auto"/>
        </w:rPr>
        <w:t>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7.71, Block 6, Lot 1 (Sub Lots 1.1, 1.1A, 1.1B, 1.1C and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that certain plot, piece or parcel of land, situate, lying and being in the Town of Mount Pleasant, County of Westchester and State of New York, being designated as Lot 1 on a certain map entitled “Final Subdivision Plat prepared for Eastview Holdings LLC of premises located at Old Saw Mill River Road and NYS Route 9A Town of Mount Pleasant, Westchester County, New York Scale 1”=100’” prepared by John Meyer Consulting, PC, dated September 27, 2007 in the Office of the Clerk of the County of Westchester as Filed Map No. 28024, being more particularly described as: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Beginning at a rebar set on the northeasterly right of way line of Old Saw Mill River Road, at the intersection formed by the dividing line between the lands n/f BMR-LANDMARK AT EASTVIEW (SBL 116.15-1-2.2), and other lands of BMR-LANDMARK AT EASTVIEW(SBL 116.15-1-2.1),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northeasterly right of way line of Old Saw Mill River Road</w:t>
      </w:r>
    </w:p>
    <w:p>
      <w:pPr>
        <w:spacing w:after="0" w:line="225" w:lineRule="exact"/>
        <w:rPr>
          <w:sz w:val="20"/>
          <w:szCs w:val="20"/>
          <w:color w:val="auto"/>
        </w:rPr>
      </w:pPr>
    </w:p>
    <w:p>
      <w:pPr>
        <w:ind w:left="180" w:hanging="172"/>
        <w:spacing w:after="0"/>
        <w:tabs>
          <w:tab w:leader="none" w:pos="1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North 63°49’10” West a distance of 373.58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North 63°40’40” West a distance of 150.03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North 68°08’00” West a distance of 48.55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North 70°56’30” West a distance of 70.20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North 71°26’30” West a distance of 46.86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North 75°05’50” West a distance of 422.47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North 75°28’40” West a distance of 164.70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North 71°28’40” West a distance of 53.23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North 66°46’40” West a distance of 55.80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North 60°22’50” West a distance of 64.25 feet to a rebar set, thence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13" w:name="page314"/>
    <w:bookmarkEnd w:id="313"/>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55°46’50” West a distance of 168.67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57°50’10” West a distance of 23.25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55°10’55” West a distance of 315.52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Along the dividing line between Reputed Owner Consolidated Edison and reputed owner BMR-LANDMARK AT EASTVIEW (SBL 116.15-1-2.1) North 41°22’40” East a distance of 117.30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8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88°40’52” East a distance of 368.78 feet to a point in Saw Mill River, thence Running the following courses and distances along the same and following the Saw Mill River</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South 63°24’21” East a distance of 101.76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South 82°58’51” East a distance of 62.51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67°02’49” East a distance of 39.00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40°05’34” East a distance of 35.47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22°26’57” East a distance of 54.23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12°57’05” East a distance of 73.98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46°15’28” East a distance of 50.93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57°39’41” East a distance of 47.17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39°04’03” East a distance of 72.47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21°22’50” East a distance of 121.63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23°17’46” East a distance of 104.78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29°08’32” East a distance of 26.42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53°38’21” East a distance of 27.20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69°06’38” East a distance of 34.18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50°34’22” East a distance of 41.23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North 20°13’22” East a distance of 59.81 feet to a point, thence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14" w:name="page315"/>
    <w:bookmarkEnd w:id="314"/>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28°16’38” East a distance of 37.59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48°06’01” East a distance of 70.84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03°30’01” East a distance of 194.44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17°33’46” East a distance of 100.88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44°40’00” East a distance of 31.11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86°48’15” East a distance of 40.05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49°30’38” East a distance of 41.87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08°08’06” West a distance of 73.68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26°13’54” East a distance of 87.21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19°32’46” West a distance of 69.89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45°20’00” West a distance of 31.11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48°51’07” East a distance of 116.18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21°54’57” East a distance of 47.67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19°25’35” West a distance of 27.51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North 51°40’22” West a distance of 6.14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Along North 41°22’40” East a distance of 1119.15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Along South 73°06’25” East a distance of 37.33 feet to a rebar set, thence</w:t>
      </w:r>
    </w:p>
    <w:p>
      <w:pPr>
        <w:spacing w:after="0" w:line="225" w:lineRule="exact"/>
        <w:rPr>
          <w:rFonts w:ascii="Arial" w:cs="Arial" w:eastAsia="Arial" w:hAnsi="Arial"/>
          <w:sz w:val="18"/>
          <w:szCs w:val="18"/>
          <w:color w:val="auto"/>
        </w:rPr>
      </w:pPr>
    </w:p>
    <w:p>
      <w:pPr>
        <w:ind w:left="-8" w:right="1340" w:firstLine="8"/>
        <w:spacing w:after="0" w:line="530" w:lineRule="auto"/>
        <w:tabs>
          <w:tab w:leader="none" w:pos="262"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Along the southwesterly right of way line of Saw Mill River Road, South 07°54’30” East a distance of 532.24 feet to a rebar set, thence Running the following courses and distances along other lands of BMR-LANDMARK AT EASTVIEW (SBL 116.15-1-2.2)</w:t>
      </w:r>
    </w:p>
    <w:p>
      <w:pPr>
        <w:ind w:left="272" w:hanging="272"/>
        <w:spacing w:after="0"/>
        <w:tabs>
          <w:tab w:leader="none" w:pos="2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South 82°05’30” West a distance of 53.22 feet to a rebar set, thence</w:t>
      </w:r>
    </w:p>
    <w:p>
      <w:pPr>
        <w:spacing w:after="0" w:line="225" w:lineRule="exact"/>
        <w:rPr>
          <w:rFonts w:ascii="Arial" w:cs="Arial" w:eastAsia="Arial" w:hAnsi="Arial"/>
          <w:sz w:val="18"/>
          <w:szCs w:val="18"/>
          <w:color w:val="auto"/>
        </w:rPr>
      </w:pPr>
    </w:p>
    <w:p>
      <w:pPr>
        <w:ind w:left="-8" w:firstLine="8"/>
        <w:spacing w:after="0" w:line="277" w:lineRule="auto"/>
        <w:tabs>
          <w:tab w:leader="none" w:pos="26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120.00 feet, turning a central angle of 66°50’29”, for an arc length of 139.99 feet, the chord of said arc bearing South 48°40’15” West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A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24662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92"/>
          </w:cols>
          <w:pgMar w:left="248" w:top="408" w:right="25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color w:val="auto"/>
        </w:rPr>
        <w:t>for a distance of 132.19 feet to a rebar set, thence</w:t>
      </w:r>
    </w:p>
    <w:p>
      <w:pPr>
        <w:spacing w:after="0" w:line="225" w:lineRule="exact"/>
        <w:rPr>
          <w:sz w:val="20"/>
          <w:szCs w:val="20"/>
          <w:color w:val="auto"/>
        </w:rPr>
      </w:pPr>
    </w:p>
    <w:p>
      <w:pPr>
        <w:ind w:right="20" w:firstLine="8"/>
        <w:spacing w:after="0" w:line="277" w:lineRule="auto"/>
        <w:tabs>
          <w:tab w:leader="none" w:pos="27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Along a reverse curve to the right having a radius of 480.00 feet, turning a central angle of 21°46’49”, for an arc length of 182.47 feet, the chord of said arc bearing South 26°08’26” West for a distance of 181.37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South 37°01’48” West a distance of 287.70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South 46°17’40” West a distance of 85.62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South 57°32’20” West a distance of 65.29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North 61°07’50” West a distance of 113.60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73.50 feet, turning a central angle of 82°49’02”, for an arc length of 106.24 feet, the chord of said arc bearing South 77°27’39” West for a distance of 97.23 feet to a rebar set, thence</w:t>
      </w:r>
    </w:p>
    <w:p>
      <w:pPr>
        <w:spacing w:after="0" w:line="170" w:lineRule="exact"/>
        <w:rPr>
          <w:rFonts w:ascii="Arial" w:cs="Arial" w:eastAsia="Arial" w:hAnsi="Arial"/>
          <w:sz w:val="18"/>
          <w:szCs w:val="18"/>
          <w:color w:val="auto"/>
        </w:rPr>
      </w:pPr>
    </w:p>
    <w:p>
      <w:pPr>
        <w:ind w:firstLine="8"/>
        <w:spacing w:after="0" w:line="277" w:lineRule="auto"/>
        <w:tabs>
          <w:tab w:leader="none" w:pos="27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Along a compound curve to the left having a radius of 91.00 feet, turning a central angle of 68°00’38”, for an arc length of 108.02 feet, the chord of said arc bearing South 02°02’49” West for a distance of 101.79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South 31°57’30” East a distance of 305.66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South 30°02’00” West a distance of 347.72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South 60°12’00” East a distance of 333.26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500.00 feet, turning a central angle of 21°06’38”, for an arc length of 184.22 feet, the chord of said arc bearing South 49°38’41” East for a distance of 183.18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South 39°05’22” East a distance of 174.39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27°24’26”, for an arc length of 76.54 feet, the chord of said arc bearing South 25°23’09” East for a distance of 75.81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South 11°40’56” East a distance of 147.46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26°20’55”, for an arc length of 73.58 feet, the chord of said arc bearing South 01°29’32” West for a distance of 72.93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South 14°40’00” West a distance of 417.48 feet to a rebar set, thence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16" w:name="page317"/>
    <w:bookmarkEnd w:id="316"/>
    <w:p>
      <w:pPr>
        <w:ind w:firstLine="8"/>
        <w:spacing w:after="0" w:line="277" w:lineRule="auto"/>
        <w:tabs>
          <w:tab w:leader="none" w:pos="27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15°51’47”, for an arc length of 44.30 feet, the chord of said arc bearing South 22°35’53” West for a distance of 44.16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South 30°21’46” West a distance of 251.53 feet to the place of beginning.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116.15, Block 1, Lot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PARCEL A:</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Lot 2 on a certain map entitled “Final Subdivision Plat prepared for Eastview Holdings LLC of premises located at Old Saw Mill River Road and NYS Route 9A Town of Mount Pleasant Westchester County, New York Scale 1”=100’” prepared by John Meyer Consulting, PC, dated September 5, 2007 and last revised September 18, 2007 and filed September 27, 2007 in the Office of the Clerk of the County of Westchester as Filed Map No. 28024.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Excepting therefrom the following tract of land: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17" w:name="page318"/>
    <w:bookmarkEnd w:id="317"/>
    <w:p>
      <w:pPr>
        <w:jc w:val="both"/>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PARCEL B:</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that certain plot, piece or parcel of land, situate, lying and being in the Town of Mount Pleasant, County of Westchester and State of New York, being designated as Section 116.15,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color w:val="auto"/>
        </w:rPr>
        <w:t>Block 1, Tax Lot 2.3 of the Tax Records of the Town of Mount Pleasant and as more particularly described as follows: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t>New York, Inc. and the aforesaid Tax Lot 2;</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IV:</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Lots 5 and 6 of the Tax Records of the Town of Mount Pleasant and as more particularly described as follows: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at the intersection of the Northerly boundary line of Saw Mill River Road (State Highway No. 52), also known as Route 9A, as widened, with the Northerly boundary line of Grasslands Road;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THENCE along said Northerly boundary line of Grasslands Road South 86 degrees 43 minutes 47 seconds, West 34.19 feet to a point of curvature;</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Westerly along a 225.00 foot radius curve deflecting to the right through a central angle of 47 degrees 34 minutes 53 seconds, an arc distance of 185.81 feet to a point on the Easterly boundary line of Old Saw Mill River Road;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Northerly along the Easterly boundary line of Old Saw Mill River Road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23 degrees 24 minutes 20 seconds West 18.96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33 degrees 37 minutes 30 seconds West 33.32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30 degrees 41 minutes 10 seconds West 79.50 feet to a point;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THENCE Northerly on a course connecting the Easterly boundary line of Old Saw Mill River Road with the Southerly boundary line of a ramp connecting Old Saw Mill River Road with Saw Mill River Road, North 31 degrees 19 minutes 17 seconds East 52.17 feet to the intersection of a 185 foot radius curve, to which intersection a radial line bears South 05 degrees 46 minutes 57 seconds West;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Easterly along said Southerly boundary line of the ramp along said 185.00 foot radius curve deflecting to the left through a central angle of 53 degrees 28 minutes 04 seconds, an arc distance of 172.64 feet;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continuing along said Southerly boundary line of the ramp North 42 degrees 18 minutes 53 seconds East 80.44 feet to a point on the aforesaid Westerly boundary line of the Saw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color w:val="auto"/>
        </w:rPr>
        <w:t>Mill River Road;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Southerly along said Westerly boundary line of the Saw Mill River Road, South 05 degrees 38 minutes 30 seconds East 277.85 feet and South 06 degrees 07 minutes 00 seconds East 62.61 feet to the point or place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Lots 5 &amp;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property has street addresses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735 Old Saw Mill River Road (Building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Old Saw Mill River Road (Building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755 Old Saw Mill River Road (Building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763 Old Saw Mill River Road (Power Station);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765 &amp; 777 Old Saw Mill River Road (Buildings 1, 3 and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767 Old Saw Mill River Road (Building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769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771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785 Old Saw Mill River Road (Building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795 Old Saw Mill River Road (Building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799 Old Saw Mill River Road (Parking Garage);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in Tarrytown, New York 10591;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Saw Mill River Road (Home Depot), Hawthorne, New York 10532.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21" w:name="page322"/>
    <w:bookmarkEnd w:id="321"/>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A</w:t>
      </w:r>
    </w:p>
    <w:p>
      <w:pPr>
        <w:spacing w:after="0" w:line="233"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ERMITTED</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Existing Development Plans with respect to Undeveloped Areas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Project Description: Construction of a new four (4) story building totaling 128,564 square feet, off-street parking, landscaping and related amenities, which will affect certain real property known and designated on Tax Assessment Map of the Town of Greenburgh as Parcel ID: 7.71-6- 1, and situated on the south side of Old Saw Mill River Road approximately 500 ft. from the intersection of Saw Mill River Road (NCYS Route 9A) and Old Saw Mill River Road.</w:t>
      </w:r>
    </w:p>
    <w:p>
      <w:pPr>
        <w:spacing w:after="0" w:line="147" w:lineRule="exact"/>
        <w:rPr>
          <w:sz w:val="20"/>
          <w:szCs w:val="20"/>
          <w:color w:val="auto"/>
        </w:rPr>
      </w:pPr>
    </w:p>
    <w:p>
      <w:pPr>
        <w:ind w:left="220" w:hanging="212"/>
        <w:spacing w:after="0"/>
        <w:tabs>
          <w:tab w:leader="none" w:pos="220"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Existing Development Plans with respect to Permitted Developed Areas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 Entitlements: While current development entitlements allow for demolition of two (2) outdated buildings totaling 137,110 square feet of building space and the redevelopment of certain real property known and designated on the Tax Assessment Map of the Town of Mount Pleasant as Section 116.15, Block 1, Tax Lot 2.1, which totals 69.88 acres, to support four (4) new laboratory and research buildings totaling 519,140 square feet, the Project Development Plans are as follows: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Project Description: Demolition of one (1) outdated building totaling 72,894 square feet of building space and the redevelopment of certain real property known and designated on the Tax Assessment Map of the Town of Mount Pleasant as Section 116.15, Block 1, Tax Lot 2.1, which totals 69.88 acres, to support two (2) or three (3) new laboratory and research buildings totaling approximately 416,440 square feet. The new buildings are intended to be supported by cafe and amenity spaces for the building tenants, accessory parking garage structures accommodating up to two parking garages with between 1,045 and 1,880 parking spaces, related storm water management, utility, landscaping and associated site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ERMITTED</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REAS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[A copy of Schedule B to the Amended and Restated Lease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is on file with the Lessee and the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160020</wp:posOffset>
            </wp:positionV>
            <wp:extent cx="724662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323" w:name="page324"/>
    <w:bookmarkEnd w:id="323"/>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ERMITTED</w:t>
      </w:r>
      <w:r>
        <w:rPr>
          <w:rFonts w:ascii="Arial" w:cs="Arial" w:eastAsia="Arial" w:hAnsi="Arial"/>
          <w:sz w:val="22"/>
          <w:szCs w:val="22"/>
          <w:b w:val="1"/>
          <w:bCs w:val="1"/>
          <w:color w:val="auto"/>
        </w:rPr>
        <w:t xml:space="preserve"> 767 I</w:t>
      </w:r>
      <w:r>
        <w:rPr>
          <w:rFonts w:ascii="Arial" w:cs="Arial" w:eastAsia="Arial" w:hAnsi="Arial"/>
          <w:sz w:val="14"/>
          <w:szCs w:val="14"/>
          <w:b w:val="1"/>
          <w:bCs w:val="1"/>
          <w:color w:val="auto"/>
        </w:rPr>
        <w:t>MPROVEMENTS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Description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project is known as “Building 767 Renovation Project” and will deliver a lab, specialty lab and office fit out in the three level plus basement and penthouse, 78,000 SF fully demolished shell space. The building does have core HVAC and fire protection services installed, although it has not been determined to the extent that these services will remain or be replaced. Levels 1 &amp; 2 will be configured at roughly 70% laboratories and 30% open office workstations, private offices, conference rooms, general circulation and ancillary support and amenities. The third level will be fully dedicated to specialty lab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project is located at 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NY 10591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Project Scope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project consists of the following scope:</w:t>
      </w:r>
    </w:p>
    <w:p>
      <w:pPr>
        <w:spacing w:after="0" w:line="225" w:lineRule="exact"/>
        <w:rPr>
          <w:sz w:val="20"/>
          <w:szCs w:val="20"/>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Curtainwall Replacement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Entrance canopy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Building Structural Upgrades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MEP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Roofing Modifications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Penthouse Modifications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Building prep 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New loading dock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Interior Fit-out Lab/Lab Support/Specialty Lab</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BMS/IT/AV/DAS/Security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FF&amp;E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Site 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Landscaping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LEED Silver requirements (minimum)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Exclusions from scope are:</w:t>
      </w:r>
    </w:p>
    <w:p>
      <w:pPr>
        <w:spacing w:after="0" w:line="225" w:lineRule="exact"/>
        <w:rPr>
          <w:sz w:val="20"/>
          <w:szCs w:val="20"/>
          <w:color w:val="auto"/>
        </w:rPr>
      </w:pPr>
    </w:p>
    <w:p>
      <w:pPr>
        <w:ind w:left="660" w:hanging="328"/>
        <w:spacing w:after="0"/>
        <w:tabs>
          <w:tab w:leader="none" w:pos="6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Fuel Cell (outside of contract but coordination with building renovation scope included)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DNA Learning Center</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Exact scope of work is subject to change and will be adjusted as design progresses.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color w:val="auto"/>
        </w:rPr>
        <w:t>1.4 Value</w:t>
      </w:r>
    </w:p>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Preliminary estimates place the value of the project at $55M – $65M. The anticipated Architectural/Engineering design, site works, project management, other consulting services, and construction budget based on the Scheme Design (titled the Design Development progress set dated 12/20/16) has yet to be defined.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1.5 High Level Construction Plan</w:t>
            </w:r>
          </w:p>
        </w:tc>
        <w:tc>
          <w:tcPr>
            <w:tcW w:w="8480" w:type="dxa"/>
            <w:vAlign w:val="bottom"/>
          </w:tcPr>
          <w:p>
            <w:pPr>
              <w:spacing w:after="0"/>
              <w:rPr>
                <w:sz w:val="20"/>
                <w:szCs w:val="20"/>
                <w:color w:val="auto"/>
              </w:rPr>
            </w:pPr>
          </w:p>
        </w:tc>
      </w:tr>
      <w:tr>
        <w:trPr>
          <w:trHeight w:val="418"/>
        </w:trPr>
        <w:tc>
          <w:tcPr>
            <w:tcW w:w="2940" w:type="dxa"/>
            <w:vAlign w:val="bottom"/>
          </w:tcPr>
          <w:p>
            <w:pPr>
              <w:ind w:left="660"/>
              <w:spacing w:after="0"/>
              <w:rPr>
                <w:sz w:val="20"/>
                <w:szCs w:val="20"/>
                <w:color w:val="auto"/>
              </w:rPr>
            </w:pPr>
            <w:r>
              <w:rPr>
                <w:rFonts w:ascii="Arial" w:cs="Arial" w:eastAsia="Arial" w:hAnsi="Arial"/>
                <w:sz w:val="18"/>
                <w:szCs w:val="18"/>
                <w:color w:val="auto"/>
              </w:rPr>
              <w:t>Scheduled Start:</w:t>
            </w:r>
          </w:p>
        </w:tc>
        <w:tc>
          <w:tcPr>
            <w:tcW w:w="8480" w:type="dxa"/>
            <w:vAlign w:val="bottom"/>
          </w:tcPr>
          <w:p>
            <w:pPr>
              <w:ind w:left="340"/>
              <w:spacing w:after="0"/>
              <w:rPr>
                <w:sz w:val="20"/>
                <w:szCs w:val="20"/>
                <w:color w:val="auto"/>
              </w:rPr>
            </w:pPr>
            <w:r>
              <w:rPr>
                <w:rFonts w:ascii="Arial" w:cs="Arial" w:eastAsia="Arial" w:hAnsi="Arial"/>
                <w:sz w:val="18"/>
                <w:szCs w:val="18"/>
                <w:color w:val="auto"/>
              </w:rPr>
              <w:t>June 2017</w:t>
            </w:r>
          </w:p>
        </w:tc>
      </w:tr>
      <w:tr>
        <w:trPr>
          <w:trHeight w:val="230"/>
        </w:trPr>
        <w:tc>
          <w:tcPr>
            <w:tcW w:w="2940" w:type="dxa"/>
            <w:vAlign w:val="bottom"/>
          </w:tcPr>
          <w:p>
            <w:pPr>
              <w:ind w:left="660"/>
              <w:spacing w:after="0"/>
              <w:rPr>
                <w:sz w:val="20"/>
                <w:szCs w:val="20"/>
                <w:color w:val="auto"/>
              </w:rPr>
            </w:pPr>
            <w:r>
              <w:rPr>
                <w:rFonts w:ascii="Arial" w:cs="Arial" w:eastAsia="Arial" w:hAnsi="Arial"/>
                <w:sz w:val="18"/>
                <w:szCs w:val="18"/>
                <w:color w:val="auto"/>
              </w:rPr>
              <w:t>Scheduled Completion:</w:t>
            </w:r>
          </w:p>
        </w:tc>
        <w:tc>
          <w:tcPr>
            <w:tcW w:w="8480" w:type="dxa"/>
            <w:vAlign w:val="bottom"/>
          </w:tcPr>
          <w:p>
            <w:pPr>
              <w:ind w:left="340"/>
              <w:spacing w:after="0"/>
              <w:rPr>
                <w:sz w:val="20"/>
                <w:szCs w:val="20"/>
                <w:color w:val="auto"/>
              </w:rPr>
            </w:pPr>
            <w:r>
              <w:rPr>
                <w:rFonts w:ascii="Arial" w:cs="Arial" w:eastAsia="Arial" w:hAnsi="Arial"/>
                <w:sz w:val="18"/>
                <w:szCs w:val="18"/>
                <w:color w:val="auto"/>
              </w:rPr>
              <w:t>May 2018</w:t>
            </w:r>
          </w:p>
        </w:tc>
      </w:tr>
      <w:tr>
        <w:trPr>
          <w:trHeight w:val="277"/>
        </w:trPr>
        <w:tc>
          <w:tcPr>
            <w:tcW w:w="2940" w:type="dxa"/>
            <w:vAlign w:val="bottom"/>
            <w:tcBorders>
              <w:bottom w:val="single" w:sz="8" w:color="C0C0C0"/>
            </w:tcBorders>
          </w:tcPr>
          <w:p>
            <w:pPr>
              <w:spacing w:after="0"/>
              <w:rPr>
                <w:sz w:val="24"/>
                <w:szCs w:val="24"/>
                <w:color w:val="auto"/>
              </w:rPr>
            </w:pPr>
          </w:p>
        </w:tc>
        <w:tc>
          <w:tcPr>
            <w:tcW w:w="84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5" w:right="2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G</w:t>
      </w:r>
      <w:r>
        <w:rPr>
          <w:rFonts w:ascii="Arial" w:cs="Arial" w:eastAsia="Arial" w:hAnsi="Arial"/>
          <w:sz w:val="12"/>
          <w:szCs w:val="12"/>
          <w:color w:val="auto"/>
        </w:rPr>
        <w:t>UARANTY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May 2, 2019</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Parent Guarantor,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The Subsidiary Guarantors party hereto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332105</wp:posOffset>
            </wp:positionV>
            <wp:extent cx="724662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81"/>
        </w:trPr>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tcPr>
          <w:p>
            <w:pPr>
              <w:ind w:left="248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ONTENTS</w:t>
            </w:r>
          </w:p>
        </w:tc>
        <w:tc>
          <w:tcPr>
            <w:tcW w:w="2600" w:type="dxa"/>
            <w:vAlign w:val="bottom"/>
          </w:tcPr>
          <w:p>
            <w:pPr>
              <w:spacing w:after="0"/>
              <w:rPr>
                <w:sz w:val="24"/>
                <w:szCs w:val="24"/>
                <w:color w:val="auto"/>
              </w:rPr>
            </w:pPr>
          </w:p>
        </w:tc>
      </w:tr>
      <w:tr>
        <w:trPr>
          <w:trHeight w:val="449"/>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700" w:type="dxa"/>
            <w:vAlign w:val="bottom"/>
          </w:tcPr>
          <w:p>
            <w:pPr>
              <w:ind w:left="6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646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18"/>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1.</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Guarantee</w:t>
            </w:r>
          </w:p>
        </w:tc>
        <w:tc>
          <w:tcPr>
            <w:tcW w:w="2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2.</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Guarantor’s Obligations Unconditional</w:t>
            </w:r>
          </w:p>
        </w:tc>
        <w:tc>
          <w:tcPr>
            <w:tcW w:w="2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3.</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Waiver of Subrogation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4.</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Reasonableness and Effect of Waivers</w:t>
            </w:r>
          </w:p>
        </w:tc>
        <w:tc>
          <w:tcPr>
            <w:tcW w:w="2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5.</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Transfers by Beneficiaries</w:t>
            </w:r>
          </w:p>
        </w:tc>
        <w:tc>
          <w:tcPr>
            <w:tcW w:w="2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6.</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No Waiver by Beneficiaries</w:t>
            </w:r>
          </w:p>
        </w:tc>
        <w:tc>
          <w:tcPr>
            <w:tcW w:w="2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7.</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Guarantor Representations and Warranties</w:t>
            </w:r>
          </w:p>
        </w:tc>
        <w:tc>
          <w:tcPr>
            <w:tcW w:w="2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8.</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Guarantor Affirmative Covenants</w:t>
            </w:r>
          </w:p>
        </w:tc>
        <w:tc>
          <w:tcPr>
            <w:tcW w:w="2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9.</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Guarantor Negative Covenants</w:t>
            </w:r>
          </w:p>
        </w:tc>
        <w:tc>
          <w:tcPr>
            <w:tcW w:w="2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10.</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Successors and Assigns</w:t>
            </w:r>
          </w:p>
        </w:tc>
        <w:tc>
          <w:tcPr>
            <w:tcW w:w="2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11.</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12.</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Submission to Jurisdiction; Service of Process</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13.</w:t>
            </w:r>
          </w:p>
        </w:tc>
        <w:tc>
          <w:tcPr>
            <w:tcW w:w="700" w:type="dxa"/>
            <w:vAlign w:val="bottom"/>
          </w:tcPr>
          <w:p>
            <w:pPr>
              <w:ind w:left="60"/>
              <w:spacing w:after="0"/>
              <w:rPr>
                <w:sz w:val="20"/>
                <w:szCs w:val="20"/>
                <w:color w:val="auto"/>
              </w:rPr>
            </w:pPr>
            <w:r>
              <w:rPr>
                <w:rFonts w:ascii="Arial" w:cs="Arial" w:eastAsia="Arial" w:hAnsi="Arial"/>
                <w:sz w:val="18"/>
                <w:szCs w:val="18"/>
                <w:color w:val="auto"/>
              </w:rPr>
              <w:t>Notices</w:t>
            </w:r>
          </w:p>
        </w:tc>
        <w:tc>
          <w:tcPr>
            <w:tcW w:w="646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14.</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Amendment</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15.</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Governing Law; Waiver of Jury Trial</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16.</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No Advisory or Fiduciary Responsibility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17.</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Releases; Termination of Guaranty</w:t>
            </w:r>
          </w:p>
        </w:tc>
        <w:tc>
          <w:tcPr>
            <w:tcW w:w="2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18.</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Contribution with Respect to Liabilities</w:t>
            </w:r>
          </w:p>
        </w:tc>
        <w:tc>
          <w:tcPr>
            <w:tcW w:w="2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660" w:type="dxa"/>
            <w:vAlign w:val="bottom"/>
            <w:gridSpan w:val="3"/>
          </w:tcPr>
          <w:p>
            <w:pPr>
              <w:ind w:left="360"/>
              <w:spacing w:after="0"/>
              <w:rPr>
                <w:sz w:val="20"/>
                <w:szCs w:val="20"/>
                <w:color w:val="auto"/>
              </w:rPr>
            </w:pPr>
            <w:r>
              <w:rPr>
                <w:rFonts w:ascii="Arial" w:cs="Arial" w:eastAsia="Arial" w:hAnsi="Arial"/>
                <w:sz w:val="18"/>
                <w:szCs w:val="18"/>
                <w:color w:val="auto"/>
              </w:rPr>
              <w:t>Section 19.</w:t>
            </w:r>
          </w:p>
        </w:tc>
        <w:tc>
          <w:tcPr>
            <w:tcW w:w="7160" w:type="dxa"/>
            <w:vAlign w:val="bottom"/>
            <w:gridSpan w:val="2"/>
          </w:tcPr>
          <w:p>
            <w:pPr>
              <w:ind w:left="60"/>
              <w:spacing w:after="0"/>
              <w:rPr>
                <w:sz w:val="20"/>
                <w:szCs w:val="20"/>
                <w:color w:val="auto"/>
              </w:rPr>
            </w:pPr>
            <w:r>
              <w:rPr>
                <w:rFonts w:ascii="Arial" w:cs="Arial" w:eastAsia="Arial" w:hAnsi="Arial"/>
                <w:sz w:val="18"/>
                <w:szCs w:val="18"/>
                <w:color w:val="auto"/>
              </w:rPr>
              <w:t>Effect of Restatement</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92"/>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S</w:t>
            </w:r>
            <w:r>
              <w:rPr>
                <w:rFonts w:ascii="Arial" w:cs="Arial" w:eastAsia="Arial" w:hAnsi="Arial"/>
                <w:sz w:val="12"/>
                <w:szCs w:val="12"/>
                <w:b w:val="1"/>
                <w:bCs w:val="1"/>
                <w:color w:val="auto"/>
                <w:w w:val="97"/>
              </w:rPr>
              <w:t>CHEDULES</w:t>
            </w:r>
          </w:p>
        </w:tc>
        <w:tc>
          <w:tcPr>
            <w:tcW w:w="88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80"/>
        </w:trPr>
        <w:tc>
          <w:tcPr>
            <w:tcW w:w="166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7(a)</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6460" w:type="dxa"/>
            <w:vAlign w:val="bottom"/>
          </w:tcPr>
          <w:p>
            <w:pPr>
              <w:ind w:left="60"/>
              <w:spacing w:after="0"/>
              <w:rPr>
                <w:sz w:val="20"/>
                <w:szCs w:val="20"/>
                <w:color w:val="auto"/>
              </w:rPr>
            </w:pPr>
            <w:r>
              <w:rPr>
                <w:rFonts w:ascii="Arial" w:cs="Arial" w:eastAsia="Arial" w:hAnsi="Arial"/>
                <w:sz w:val="18"/>
                <w:szCs w:val="18"/>
                <w:color w:val="auto"/>
              </w:rPr>
              <w:t>Subsidiaries</w:t>
            </w:r>
          </w:p>
        </w:tc>
        <w:tc>
          <w:tcPr>
            <w:tcW w:w="2600" w:type="dxa"/>
            <w:vAlign w:val="bottom"/>
          </w:tcPr>
          <w:p>
            <w:pPr>
              <w:spacing w:after="0"/>
              <w:rPr>
                <w:sz w:val="24"/>
                <w:szCs w:val="24"/>
                <w:color w:val="auto"/>
              </w:rPr>
            </w:pPr>
          </w:p>
        </w:tc>
      </w:tr>
      <w:tr>
        <w:trPr>
          <w:trHeight w:val="243"/>
        </w:trPr>
        <w:tc>
          <w:tcPr>
            <w:tcW w:w="166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9(a)</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6460" w:type="dxa"/>
            <w:vAlign w:val="bottom"/>
          </w:tcPr>
          <w:p>
            <w:pPr>
              <w:ind w:left="60"/>
              <w:spacing w:after="0"/>
              <w:rPr>
                <w:sz w:val="20"/>
                <w:szCs w:val="20"/>
                <w:color w:val="auto"/>
              </w:rPr>
            </w:pPr>
            <w:r>
              <w:rPr>
                <w:rFonts w:ascii="Arial" w:cs="Arial" w:eastAsia="Arial" w:hAnsi="Arial"/>
                <w:sz w:val="18"/>
                <w:szCs w:val="18"/>
                <w:color w:val="auto"/>
              </w:rPr>
              <w:t>Existing Indebtedness</w:t>
            </w:r>
          </w:p>
        </w:tc>
        <w:tc>
          <w:tcPr>
            <w:tcW w:w="2600" w:type="dxa"/>
            <w:vAlign w:val="bottom"/>
          </w:tcPr>
          <w:p>
            <w:pPr>
              <w:spacing w:after="0"/>
              <w:rPr>
                <w:sz w:val="21"/>
                <w:szCs w:val="21"/>
                <w:color w:val="auto"/>
              </w:rPr>
            </w:pPr>
          </w:p>
        </w:tc>
      </w:tr>
      <w:tr>
        <w:trPr>
          <w:trHeight w:val="243"/>
        </w:trPr>
        <w:tc>
          <w:tcPr>
            <w:tcW w:w="166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9(b)</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6460" w:type="dxa"/>
            <w:vAlign w:val="bottom"/>
          </w:tcPr>
          <w:p>
            <w:pPr>
              <w:ind w:left="60"/>
              <w:spacing w:after="0"/>
              <w:rPr>
                <w:sz w:val="20"/>
                <w:szCs w:val="20"/>
                <w:color w:val="auto"/>
              </w:rPr>
            </w:pPr>
            <w:r>
              <w:rPr>
                <w:rFonts w:ascii="Arial" w:cs="Arial" w:eastAsia="Arial" w:hAnsi="Arial"/>
                <w:sz w:val="18"/>
                <w:szCs w:val="18"/>
                <w:color w:val="auto"/>
              </w:rPr>
              <w:t>Existing Liens</w:t>
            </w:r>
          </w:p>
        </w:tc>
        <w:tc>
          <w:tcPr>
            <w:tcW w:w="2600" w:type="dxa"/>
            <w:vAlign w:val="bottom"/>
          </w:tcPr>
          <w:p>
            <w:pPr>
              <w:spacing w:after="0"/>
              <w:rPr>
                <w:sz w:val="21"/>
                <w:szCs w:val="21"/>
                <w:color w:val="auto"/>
              </w:rPr>
            </w:pPr>
          </w:p>
        </w:tc>
      </w:tr>
      <w:tr>
        <w:trPr>
          <w:trHeight w:val="392"/>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NNEXES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XHIBITS</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80"/>
        </w:trPr>
        <w:tc>
          <w:tcPr>
            <w:tcW w:w="1660" w:type="dxa"/>
            <w:vAlign w:val="bottom"/>
            <w:gridSpan w:val="3"/>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NNEX</w:t>
            </w:r>
            <w:r>
              <w:rPr>
                <w:rFonts w:ascii="Arial" w:cs="Arial" w:eastAsia="Arial" w:hAnsi="Arial"/>
                <w:sz w:val="18"/>
                <w:szCs w:val="18"/>
                <w:color w:val="auto"/>
              </w:rPr>
              <w:t xml:space="preserve"> I</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6460" w:type="dxa"/>
            <w:vAlign w:val="bottom"/>
          </w:tcPr>
          <w:p>
            <w:pPr>
              <w:ind w:left="60"/>
              <w:spacing w:after="0"/>
              <w:rPr>
                <w:sz w:val="20"/>
                <w:szCs w:val="20"/>
                <w:color w:val="auto"/>
              </w:rPr>
            </w:pPr>
            <w:r>
              <w:rPr>
                <w:rFonts w:ascii="Arial" w:cs="Arial" w:eastAsia="Arial" w:hAnsi="Arial"/>
                <w:sz w:val="18"/>
                <w:szCs w:val="18"/>
                <w:color w:val="auto"/>
              </w:rPr>
              <w:t>Form of Supplement to Guaranty</w:t>
            </w:r>
          </w:p>
        </w:tc>
        <w:tc>
          <w:tcPr>
            <w:tcW w:w="2600" w:type="dxa"/>
            <w:vAlign w:val="bottom"/>
          </w:tcPr>
          <w:p>
            <w:pPr>
              <w:spacing w:after="0"/>
              <w:rPr>
                <w:sz w:val="24"/>
                <w:szCs w:val="24"/>
                <w:color w:val="auto"/>
              </w:rPr>
            </w:pPr>
          </w:p>
        </w:tc>
      </w:tr>
      <w:tr>
        <w:trPr>
          <w:trHeight w:val="277"/>
        </w:trPr>
        <w:tc>
          <w:tcPr>
            <w:tcW w:w="78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40" w:type="dxa"/>
            <w:vAlign w:val="bottom"/>
            <w:tcBorders>
              <w:bottom w:val="single" w:sz="8" w:color="C0C0C0"/>
            </w:tcBorders>
          </w:tcPr>
          <w:p>
            <w:pPr>
              <w:spacing w:after="0"/>
              <w:rPr>
                <w:sz w:val="24"/>
                <w:szCs w:val="24"/>
                <w:color w:val="auto"/>
              </w:rPr>
            </w:pPr>
          </w:p>
        </w:tc>
        <w:tc>
          <w:tcPr>
            <w:tcW w:w="700" w:type="dxa"/>
            <w:vAlign w:val="bottom"/>
            <w:tcBorders>
              <w:bottom w:val="single" w:sz="8" w:color="C0C0C0"/>
            </w:tcBorders>
          </w:tcPr>
          <w:p>
            <w:pPr>
              <w:spacing w:after="0"/>
              <w:rPr>
                <w:sz w:val="24"/>
                <w:szCs w:val="24"/>
                <w:color w:val="auto"/>
              </w:rPr>
            </w:pPr>
          </w:p>
        </w:tc>
        <w:tc>
          <w:tcPr>
            <w:tcW w:w="6460" w:type="dxa"/>
            <w:vAlign w:val="bottom"/>
            <w:tcBorders>
              <w:bottom w:val="single" w:sz="8" w:color="C0C0C0"/>
            </w:tcBorders>
          </w:tcPr>
          <w:p>
            <w:pPr>
              <w:spacing w:after="0"/>
              <w:rPr>
                <w:sz w:val="24"/>
                <w:szCs w:val="24"/>
                <w:color w:val="auto"/>
              </w:rPr>
            </w:pPr>
          </w:p>
        </w:tc>
        <w:tc>
          <w:tcPr>
            <w:tcW w:w="26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396" w:right="2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UARANTY</w:t>
      </w:r>
    </w:p>
    <w:p>
      <w:pPr>
        <w:spacing w:after="0" w:line="2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HIS</w:t>
      </w:r>
      <w:r>
        <w:rPr>
          <w:rFonts w:ascii="Arial" w:cs="Arial" w:eastAsia="Arial" w:hAnsi="Arial"/>
          <w:sz w:val="17"/>
          <w:szCs w:val="17"/>
          <w:color w:val="auto"/>
        </w:rPr>
        <w:t xml:space="preserve"> A</w:t>
      </w:r>
      <w:r>
        <w:rPr>
          <w:rFonts w:ascii="Arial" w:cs="Arial" w:eastAsia="Arial" w:hAnsi="Arial"/>
          <w:sz w:val="11"/>
          <w:szCs w:val="11"/>
          <w:color w:val="auto"/>
        </w:rPr>
        <w:t>MENDED AND RESTATED GUARANTY</w:t>
      </w:r>
      <w:r>
        <w:rPr>
          <w:rFonts w:ascii="Arial" w:cs="Arial" w:eastAsia="Arial" w:hAnsi="Arial"/>
          <w:sz w:val="17"/>
          <w:szCs w:val="17"/>
          <w:color w:val="auto"/>
        </w:rPr>
        <w:t xml:space="preserve"> (as amended, restated, supplemented or otherwise modified from time to time, this “</w:t>
      </w:r>
      <w:r>
        <w:rPr>
          <w:rFonts w:ascii="Arial" w:cs="Arial" w:eastAsia="Arial" w:hAnsi="Arial"/>
          <w:sz w:val="17"/>
          <w:szCs w:val="17"/>
          <w:i w:val="1"/>
          <w:iCs w:val="1"/>
          <w:color w:val="auto"/>
        </w:rPr>
        <w:t>Guaranty</w:t>
      </w:r>
      <w:r>
        <w:rPr>
          <w:rFonts w:ascii="Arial" w:cs="Arial" w:eastAsia="Arial" w:hAnsi="Arial"/>
          <w:sz w:val="17"/>
          <w:szCs w:val="17"/>
          <w:color w:val="auto"/>
        </w:rPr>
        <w:t>”), dated as of May 2, 2019, is made by (i) R</w:t>
      </w:r>
      <w:r>
        <w:rPr>
          <w:rFonts w:ascii="Arial" w:cs="Arial" w:eastAsia="Arial" w:hAnsi="Arial"/>
          <w:sz w:val="11"/>
          <w:szCs w:val="11"/>
          <w:color w:val="auto"/>
        </w:rPr>
        <w:t>EGENERON</w:t>
      </w:r>
      <w:r>
        <w:rPr>
          <w:rFonts w:ascii="Arial" w:cs="Arial" w:eastAsia="Arial" w:hAnsi="Arial"/>
          <w:sz w:val="17"/>
          <w:szCs w:val="17"/>
          <w:color w:val="auto"/>
        </w:rPr>
        <w:t xml:space="preserve"> P</w:t>
      </w:r>
      <w:r>
        <w:rPr>
          <w:rFonts w:ascii="Arial" w:cs="Arial" w:eastAsia="Arial" w:hAnsi="Arial"/>
          <w:sz w:val="11"/>
          <w:szCs w:val="11"/>
          <w:color w:val="auto"/>
        </w:rPr>
        <w:t>HARMACEUTICALS</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 New York corporation (the “</w:t>
      </w:r>
      <w:r>
        <w:rPr>
          <w:rFonts w:ascii="Arial" w:cs="Arial" w:eastAsia="Arial" w:hAnsi="Arial"/>
          <w:sz w:val="17"/>
          <w:szCs w:val="17"/>
          <w:i w:val="1"/>
          <w:iCs w:val="1"/>
          <w:color w:val="auto"/>
        </w:rPr>
        <w:t>Parent Guarantor</w:t>
      </w:r>
      <w:r>
        <w:rPr>
          <w:rFonts w:ascii="Arial" w:cs="Arial" w:eastAsia="Arial" w:hAnsi="Arial"/>
          <w:sz w:val="17"/>
          <w:szCs w:val="17"/>
          <w:color w:val="auto"/>
        </w:rPr>
        <w:t>”), (ii) each of the undersigned Subsidiaries (as hereinafter defined) of the Parent Guarantor (the “</w:t>
      </w:r>
      <w:r>
        <w:rPr>
          <w:rFonts w:ascii="Arial" w:cs="Arial" w:eastAsia="Arial" w:hAnsi="Arial"/>
          <w:sz w:val="17"/>
          <w:szCs w:val="17"/>
          <w:i w:val="1"/>
          <w:iCs w:val="1"/>
          <w:color w:val="auto"/>
        </w:rPr>
        <w:t>Initial Subsidiary Guarantors</w:t>
      </w:r>
      <w:r>
        <w:rPr>
          <w:rFonts w:ascii="Arial" w:cs="Arial" w:eastAsia="Arial" w:hAnsi="Arial"/>
          <w:sz w:val="17"/>
          <w:szCs w:val="17"/>
          <w:color w:val="auto"/>
        </w:rPr>
        <w:t>” and together with Parent Guarantor, the “</w:t>
      </w:r>
      <w:r>
        <w:rPr>
          <w:rFonts w:ascii="Arial" w:cs="Arial" w:eastAsia="Arial" w:hAnsi="Arial"/>
          <w:sz w:val="17"/>
          <w:szCs w:val="17"/>
          <w:i w:val="1"/>
          <w:iCs w:val="1"/>
          <w:color w:val="auto"/>
        </w:rPr>
        <w:t>Initial Guarantors</w:t>
      </w:r>
      <w:r>
        <w:rPr>
          <w:rFonts w:ascii="Arial" w:cs="Arial" w:eastAsia="Arial" w:hAnsi="Arial"/>
          <w:sz w:val="17"/>
          <w:szCs w:val="17"/>
          <w:color w:val="auto"/>
        </w:rPr>
        <w:t>”) and (iii) any additional Subsidiaries of the Parent Guarantor which become parties to this Guaranty by executing a supplement hereto in the form attached as Annex I (collectively with the Initial Subsidiary Guarantors, the “</w:t>
      </w:r>
      <w:r>
        <w:rPr>
          <w:rFonts w:ascii="Arial" w:cs="Arial" w:eastAsia="Arial" w:hAnsi="Arial"/>
          <w:sz w:val="17"/>
          <w:szCs w:val="17"/>
          <w:i w:val="1"/>
          <w:iCs w:val="1"/>
          <w:color w:val="auto"/>
        </w:rPr>
        <w:t>Subsidiary Guarantors</w:t>
      </w:r>
      <w:r>
        <w:rPr>
          <w:rFonts w:ascii="Arial" w:cs="Arial" w:eastAsia="Arial" w:hAnsi="Arial"/>
          <w:sz w:val="17"/>
          <w:szCs w:val="17"/>
          <w:color w:val="auto"/>
        </w:rPr>
        <w:t>” and together with Parent Guarantor, the “</w:t>
      </w:r>
      <w:r>
        <w:rPr>
          <w:rFonts w:ascii="Arial" w:cs="Arial" w:eastAsia="Arial" w:hAnsi="Arial"/>
          <w:sz w:val="17"/>
          <w:szCs w:val="17"/>
          <w:i w:val="1"/>
          <w:iCs w:val="1"/>
          <w:color w:val="auto"/>
        </w:rPr>
        <w:t>Guarantors</w:t>
      </w:r>
      <w:r>
        <w:rPr>
          <w:rFonts w:ascii="Arial" w:cs="Arial" w:eastAsia="Arial" w:hAnsi="Arial"/>
          <w:sz w:val="17"/>
          <w:szCs w:val="17"/>
          <w:color w:val="auto"/>
        </w:rPr>
        <w:t>”) in favor of (a) each Participant (as hereinafter defined) and (b) Bank of America, N.A., not in its individual capacity, except as expressly stated therein, but solely as Administrative Agent (together with its successors and permitted assigns, in its capacity as Administrative Agent,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for the benefit of itself and the other Beneficiaries (as hereinafter defined).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ITNESSETH</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w:t>
      </w:r>
      <w:r>
        <w:rPr>
          <w:rFonts w:ascii="Arial" w:cs="Arial" w:eastAsia="Arial" w:hAnsi="Arial"/>
          <w:sz w:val="11"/>
          <w:szCs w:val="11"/>
          <w:color w:val="auto"/>
        </w:rPr>
        <w:t>HEREAS</w:t>
      </w:r>
      <w:r>
        <w:rPr>
          <w:rFonts w:ascii="Arial" w:cs="Arial" w:eastAsia="Arial" w:hAnsi="Arial"/>
          <w:sz w:val="16"/>
          <w:szCs w:val="16"/>
          <w:color w:val="auto"/>
        </w:rPr>
        <w:t>, Old Saw Mill Holdings LLC, a New York limited liability company, as Lessee (together with its successors and permitted assigns, in its capacity as lessee, “</w:t>
      </w:r>
      <w:r>
        <w:rPr>
          <w:rFonts w:ascii="Arial" w:cs="Arial" w:eastAsia="Arial" w:hAnsi="Arial"/>
          <w:sz w:val="16"/>
          <w:szCs w:val="16"/>
          <w:i w:val="1"/>
          <w:iCs w:val="1"/>
          <w:color w:val="auto"/>
        </w:rPr>
        <w:t>Lessee</w:t>
      </w:r>
      <w:r>
        <w:rPr>
          <w:rFonts w:ascii="Arial" w:cs="Arial" w:eastAsia="Arial" w:hAnsi="Arial"/>
          <w:sz w:val="16"/>
          <w:szCs w:val="16"/>
          <w:color w:val="auto"/>
        </w:rPr>
        <w:t>”), BA Leasing BSC LLC, a Delaware limited liability company, as lessor (together with its successors and permitted assigns, in its capacity as Lessor, “</w:t>
      </w:r>
      <w:r>
        <w:rPr>
          <w:rFonts w:ascii="Arial" w:cs="Arial" w:eastAsia="Arial" w:hAnsi="Arial"/>
          <w:sz w:val="16"/>
          <w:szCs w:val="16"/>
          <w:i w:val="1"/>
          <w:iCs w:val="1"/>
          <w:color w:val="auto"/>
        </w:rPr>
        <w:t>Lessor</w:t>
      </w:r>
      <w:r>
        <w:rPr>
          <w:rFonts w:ascii="Arial" w:cs="Arial" w:eastAsia="Arial" w:hAnsi="Arial"/>
          <w:sz w:val="16"/>
          <w:szCs w:val="16"/>
          <w:color w:val="auto"/>
        </w:rPr>
        <w:t>”), the Administrative Agent, and the lenders from time to time party thereto have entered into that certain Amended and Restated Participation Agreement, dated as of May 2, 2019 (as amended, restated, supplemented or otherwise modified from time to time, the “</w:t>
      </w:r>
      <w:r>
        <w:rPr>
          <w:rFonts w:ascii="Arial" w:cs="Arial" w:eastAsia="Arial" w:hAnsi="Arial"/>
          <w:sz w:val="16"/>
          <w:szCs w:val="16"/>
          <w:i w:val="1"/>
          <w:iCs w:val="1"/>
          <w:color w:val="auto"/>
        </w:rPr>
        <w:t>Participation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unless otherwise defined herein or the context hereof otherwise requires, capitalized terms used herein but not otherwise defined herein or</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herein by reference to the Participation Agreement shall have the same meanings assigned to such terms in the Participation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HEREAS</w:t>
      </w:r>
      <w:r>
        <w:rPr>
          <w:rFonts w:ascii="Arial" w:cs="Arial" w:eastAsia="Arial" w:hAnsi="Arial"/>
          <w:sz w:val="18"/>
          <w:szCs w:val="18"/>
          <w:color w:val="auto"/>
        </w:rPr>
        <w:t>, the Initial Guarantors and the Administrative Agent are currently party to that certain Guaranty, dated as of March 3, 2017 (as amended, supplemented or otherwise modified prior to the Restatement Date, the “</w:t>
      </w:r>
      <w:r>
        <w:rPr>
          <w:rFonts w:ascii="Arial" w:cs="Arial" w:eastAsia="Arial" w:hAnsi="Arial"/>
          <w:sz w:val="18"/>
          <w:szCs w:val="18"/>
          <w:i w:val="1"/>
          <w:iCs w:val="1"/>
          <w:color w:val="auto"/>
        </w:rPr>
        <w:t>Original Guaranty</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Parent Guarantor has requested that the Original Guaranty be amended and restated as set forth herein, which amendment and restatement shall become effective on the Restatement Date; and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it is the intent of the parties hereto that this Guaranty (i) shall amend, restate and supersede in its entirety the Original Guaranty and (ii) shall re-evidence the “Liabilities” (under, and as defined in, the Original Guaranty) as contemplated hereby (and it shall not constitute a novation of the obligations and liabilities of the parties under the Original Guaranty).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w:t>
      </w:r>
      <w:r>
        <w:rPr>
          <w:rFonts w:ascii="Arial" w:cs="Arial" w:eastAsia="Arial" w:hAnsi="Arial"/>
          <w:sz w:val="18"/>
          <w:szCs w:val="18"/>
          <w:color w:val="auto"/>
        </w:rPr>
        <w:t>, T</w:t>
      </w:r>
      <w:r>
        <w:rPr>
          <w:rFonts w:ascii="Arial" w:cs="Arial" w:eastAsia="Arial" w:hAnsi="Arial"/>
          <w:sz w:val="12"/>
          <w:szCs w:val="12"/>
          <w:color w:val="auto"/>
        </w:rPr>
        <w:t>HEREFORE</w:t>
      </w:r>
      <w:r>
        <w:rPr>
          <w:rFonts w:ascii="Arial" w:cs="Arial" w:eastAsia="Arial" w:hAnsi="Arial"/>
          <w:sz w:val="18"/>
          <w:szCs w:val="18"/>
          <w:color w:val="auto"/>
        </w:rPr>
        <w:t>, in consideration of the foregoing and for other good and valuable consideration, the parties hereto hereby agree that the Original Guaranty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28" w:name="page329"/>
    <w:bookmarkEnd w:id="328"/>
    <w:p>
      <w:pPr>
        <w:jc w:val="both"/>
        <w:ind w:firstLine="648"/>
        <w:spacing w:after="0" w:line="267" w:lineRule="auto"/>
        <w:rPr>
          <w:sz w:val="20"/>
          <w:szCs w:val="20"/>
          <w:color w:val="auto"/>
        </w:rPr>
      </w:pPr>
      <w:r>
        <w:rPr>
          <w:rFonts w:ascii="Arial" w:cs="Arial" w:eastAsia="Arial" w:hAnsi="Arial"/>
          <w:sz w:val="17"/>
          <w:szCs w:val="17"/>
          <w:i w:val="1"/>
          <w:iCs w:val="1"/>
          <w:color w:val="auto"/>
        </w:rPr>
        <w:t>Section 1. Guarantee</w:t>
      </w:r>
      <w:r>
        <w:rPr>
          <w:rFonts w:ascii="Arial" w:cs="Arial" w:eastAsia="Arial" w:hAnsi="Arial"/>
          <w:sz w:val="17"/>
          <w:szCs w:val="17"/>
          <w:color w:val="auto"/>
        </w:rPr>
        <w:t>. Each Guarantor, jointly and severally, hereby irrevocably and unconditionally guarantees to (i) each Participant, for the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of itself and its Related Parties that are Beneficiaries (as hereinafter defined), and (ii) the Administrative Agent, for the benefit of itself and the other Beneficiaries (a) the full and prompt payment when due, whether by acceleration or otherwise, and at all times thereafter, and (b) the full and prompt performance when due of all of the Liabilities (as hereinafter defined) (or, in the case of such guarantee to each Participant, all of the Liabilities owed to such Participant and its Related Parties that are Beneficiaries), including, interest or yield on any such Liabilities, whether accruing before or after any bankruptcy or insolvency case or proceeding involving Lessee or any other Person, and, if interest or yield on any portion of such obligations ceases to accrue by operation of law by reason of the commencement of such case or proceeding, including such interest and yield as would have accrued on any such portion of such obligations if such case or proceeding had not commenced. Each Guarantor further agrees to pay all expenses (including reasonable attorneys’ fees actually incurred and legal expenses) paid or incurred by any Beneficiary in endeavoring to collect the Liabilities, or any part thereof, and in enforcing this Guaranty, subject to the limitations set forth in Section 15.17 of the Participation Agreement (including with respect to attorneys’ fees). The term “</w:t>
      </w:r>
      <w:r>
        <w:rPr>
          <w:rFonts w:ascii="Arial" w:cs="Arial" w:eastAsia="Arial" w:hAnsi="Arial"/>
          <w:sz w:val="17"/>
          <w:szCs w:val="17"/>
          <w:i w:val="1"/>
          <w:iCs w:val="1"/>
          <w:color w:val="auto"/>
        </w:rPr>
        <w:t>Beneficiaries</w:t>
      </w:r>
      <w:r>
        <w:rPr>
          <w:rFonts w:ascii="Arial" w:cs="Arial" w:eastAsia="Arial" w:hAnsi="Arial"/>
          <w:sz w:val="17"/>
          <w:szCs w:val="17"/>
          <w:color w:val="auto"/>
        </w:rPr>
        <w:t>,” as used herein, shall mean each of Lessor, Administrative Agent, each other Participant and each other Indemnitee. The term “</w:t>
      </w:r>
      <w:r>
        <w:rPr>
          <w:rFonts w:ascii="Arial" w:cs="Arial" w:eastAsia="Arial" w:hAnsi="Arial"/>
          <w:sz w:val="17"/>
          <w:szCs w:val="17"/>
          <w:i w:val="1"/>
          <w:iCs w:val="1"/>
          <w:color w:val="auto"/>
        </w:rPr>
        <w:t>Liabilities,</w:t>
      </w:r>
      <w:r>
        <w:rPr>
          <w:rFonts w:ascii="Arial" w:cs="Arial" w:eastAsia="Arial" w:hAnsi="Arial"/>
          <w:sz w:val="17"/>
          <w:szCs w:val="17"/>
          <w:color w:val="auto"/>
        </w:rPr>
        <w:t>” as used herein, shall mean all of the following, in each case howsoever created, arising or evidenced, whether direct or indirect, joint or several, absolute or contingent, or now or hereafter existing, or due or to become due: all Rent (including, but not limited to Basic Rent and Supplemental Rent), Lease Balance, Purchase Amount, Sale Option Recourse Amount, indemnities and all additional amounts and other sums at any time due and owing, and required to be paid, in each case of the foregoing, by Lessee under the terms of the Lease, the Participation Agreement or any other Operative Document and all other obligations, covenants and agreements to be performed by Lessee under the Lease, the Participation Agreement or any other Operative Document (whether or not Lessee, any Guarantor or any other Person shall be relieved or released from any or all liability or obligations under any thereof, except on account of the full and indefeasible payment and performance of all Liabilities).</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any action or proceeding involving any state corporate law, or any state or federal bankruptcy, insolvency, reorganization or any other law affecting the rights of creditors generally, if the obligations of any Guarantor under this Guaranty would otherwise be held or determined to be void, invalid or unenforceable, or subordinated to the claims of any other creditors, on account of the amount of its liability under this Guaranty, then, notwithstanding any other provision hereof to the contrary, the amount of such liability shall, without any further action by such Guarantor or any other Person, be automatically limited and reduced to the highest amount which is valid and enforceable as determined in such action or proceeding.</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Guarantor agrees that upon the occurrence of an Event of Default described in Section 16.1(h) or (i) of the Lease, the Guarantors will pay to the Administrative Agent, for the benefit of the Beneficiaries, forthwith the full amount which would be payable hereunder by the Guarantors as if all Liabilities were then due and payable.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Guaranty shall in all respects be an absolute and unconditional guaranty of payment and performance (and not of collection), and shall remain in full force and effect until the full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29" w:name="page330"/>
    <w:bookmarkEnd w:id="329"/>
    <w:p>
      <w:pPr>
        <w:jc w:val="both"/>
        <w:spacing w:after="0" w:line="293" w:lineRule="auto"/>
        <w:rPr>
          <w:sz w:val="20"/>
          <w:szCs w:val="20"/>
          <w:color w:val="auto"/>
        </w:rPr>
      </w:pPr>
      <w:r>
        <w:rPr>
          <w:rFonts w:ascii="Arial" w:cs="Arial" w:eastAsia="Arial" w:hAnsi="Arial"/>
          <w:sz w:val="16"/>
          <w:szCs w:val="16"/>
          <w:color w:val="auto"/>
        </w:rPr>
        <w:t>and indefeasible payment and performance of all of the Liabilities and Guarantors’ obligations hereunder (notwithstanding, without limitation, the dissolution of Guarantors). The liability of Guarantors hereunder may be enforced without the Beneficiaries being required to resort to any other right, remedy or security; provided that any such enforcement shall be subject to any applicable grace or notice and cure period and shall be in accordance with Section 5.2 of the Loan Agreement and 16.2 of the Lease; provided, further, that, if an Acceleration has not occurred and a Payment Default exists under clause (ii) of such definition with respect to amounts owed to any Participant or its Related Parties that are Beneficiaries (other than a Payment Default with respect to (x) Basic Rent or (y) amounts owed to all Lenders or all Participants), then such Participant may demand payment hereunder for such amounts.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obligations of Guarantor are independent of any obligations of Lessor, Administrative Agent, any Participant or any other Person under any of the Operative Documents. Each and every Event of Default under any of the Operative Documents with respect to the Liabilities shall give rise to a separate claim and cause of action hereunder, and separate claims or suits may be made and brought, as the case may be, hereunder as each such Event of Default occurs (subject to the provisos at the end of the immediately preceding paragraph).</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Lessor and/or Administrative Agent on behalf of itself and the Beneficiaries may, from time to time at its discretion and without notice to any Guarantor, but subject to the provisions of the Operative Documents, take any or all of the following actions: (a) retain or obtain a lien upon or a security interest in any property to secure any of the Liabilities or any obligation hereunder; (b) retain or obtain the primary or secondary obligation of any obligor or obligors, in addition to the Guarantors, with respect to any of the Liabilities; (c) extend or renew for one or more periods (regardless of whether longer than the original period), alter or exchange any of the Liabilities, or release or compromise any obligation of any Guarantor hereunder or any obligation of any nature of any other obligor with respect to any of the Liabilities (including, without limitation, Lessee); (d) release or fail to perfect its lien upon or security interest in, or impair, surrender, release or permit any substitution or exchange for, all or any part of any property securing any of the Liabilities or any obligation hereunder, or extend or renew for one or more periods (regardless of whether longer than the original period) or release, compromise, alter or exchange any obligations of any nature of any obligor with respect to any such property; and (e) resort to any Guarantor for payment of any of the Liabilities, regardless of whether Lessor, any Lender or any other Person shall have resorted to any property securing any of the Liabilities or any obligation hereunder or shall have proceeded against any other obligor primarily or secondarily obligated with respect to any of the Liabilities (all of the actions referred to in this paragraph being hereby expressly waived by each Guarantor).</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to the contrary herein, amounts paid or collected under this Guaranty shall be subject to Section 5.3 of the Participation Agreement, except to the extent otherwise expressly provided in any other applicable provision of the Participation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2. Guarantor’s Obligations Unconditional</w:t>
      </w:r>
      <w:r>
        <w:rPr>
          <w:rFonts w:ascii="Arial" w:cs="Arial" w:eastAsia="Arial" w:hAnsi="Arial"/>
          <w:sz w:val="18"/>
          <w:szCs w:val="18"/>
          <w:color w:val="auto"/>
        </w:rPr>
        <w:t>. Guarantors’ obligations hereunder are independent of Lessee’s obligations under the Lease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Operative Documents or in respect of any other Person, and the Administrative Agent, for the benefit of the Beneficiaries,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30" w:name="page331"/>
    <w:bookmarkEnd w:id="330"/>
    <w:p>
      <w:pPr>
        <w:jc w:val="both"/>
        <w:spacing w:after="0" w:line="271" w:lineRule="auto"/>
        <w:rPr>
          <w:sz w:val="20"/>
          <w:szCs w:val="20"/>
          <w:color w:val="auto"/>
        </w:rPr>
      </w:pPr>
      <w:r>
        <w:rPr>
          <w:rFonts w:ascii="Arial" w:cs="Arial" w:eastAsia="Arial" w:hAnsi="Arial"/>
          <w:sz w:val="17"/>
          <w:szCs w:val="17"/>
          <w:color w:val="auto"/>
        </w:rPr>
        <w:t>may enforce any of its rights hereunder independently of any other right or remedy that it or any other Beneficiary may at any time hold with respect to the Liabilities or any security or other guaranty therefor. Such obligations shall be absolute and unconditional, shall not be subject to any counterclaim, setoff, deduction (other than deductions or withholdings in respect of Taxes that are permitted by the Operative Documents), diminution, abatement, recoupment, suspension, deferment, reduction or defense (other than full and indefeasible payment and performance of all of the Liabilities), whether based upon any claim that Lessee, Guarantor or any other Person may have against any Beneficiary or any other Person or otherwise, and shall remain in full force and effect without regard to, and shall not be released, discharged or in any way affected by, any circumstance or condition whatsoever (other than full and indefeasible payment and performance of all of the Liabilities or as otherwise expressly permitted by Section 17) (whether or not any Guarantor or any other Person shall have any knowledge or notice thereof) including, without limitation, any of the following:</w:t>
      </w:r>
    </w:p>
    <w:p>
      <w:pPr>
        <w:spacing w:after="0" w:line="179" w:lineRule="exact"/>
        <w:rPr>
          <w:sz w:val="20"/>
          <w:szCs w:val="20"/>
          <w:color w:val="auto"/>
        </w:rPr>
      </w:pPr>
    </w:p>
    <w:p>
      <w:pPr>
        <w:jc w:val="both"/>
        <w:ind w:left="660" w:firstLine="645"/>
        <w:spacing w:after="0" w:line="255" w:lineRule="auto"/>
        <w:tabs>
          <w:tab w:leader="none" w:pos="161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subject to the terms of the Lease and the other Operative Documents, any amendment, modification, addition, deletion, supplement or renewal to or of or other change in the Liabilities or any Operative Document or any of the agreements referred to in any thereof, or any other instrument or agreement applicable to any Operative Document or any of the parties to such agreements, or to the Leased Property, or any assignment, mortgage or transfer thereof or of any interest therein, or any furnishing or acceptance of additional security for, guaranty of or right of offset with respect to, any of the Liabilities; or the failure of any security or the failure of any Beneficiary to perfect or insure any interest in any collateral;</w:t>
      </w:r>
    </w:p>
    <w:p>
      <w:pPr>
        <w:spacing w:after="0" w:line="193" w:lineRule="exact"/>
        <w:rPr>
          <w:rFonts w:ascii="Arial" w:cs="Arial" w:eastAsia="Arial" w:hAnsi="Arial"/>
          <w:sz w:val="18"/>
          <w:szCs w:val="18"/>
          <w:color w:val="auto"/>
        </w:rPr>
      </w:pPr>
    </w:p>
    <w:p>
      <w:pPr>
        <w:ind w:left="660" w:right="20" w:firstLine="645"/>
        <w:spacing w:after="0" w:line="277" w:lineRule="auto"/>
        <w:tabs>
          <w:tab w:leader="none" w:pos="159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failure, omission or delay on the part of Lessee, any Beneficiary or any other Guarantor to conform or comply with any term of any instrument or agreement referred to in clause (A) above;</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6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waiver, consent, extension, indulgence, compromise, release or other action or inaction under or in respect of any instrument, agreement, guaranty, right of offset or security referred to in clause (A) above or any obligation or liability of Lessee or any Beneficiary or any other Person, or any exercise or non-exercise by any Beneficiary or any other Person of any right, remedy, power or privilege under or in respect of any such instrument, agreement, guaranty, right of offset or security or any such obligation or liability;</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61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bankruptcy, insolvency, reorganization, arrangement, readjustment, composition, liquidation or similar proceeding with respect to Lessee, any Beneficiary, any Guarantor or any other guarantor or obligor of any Liabilities or any of their respective properties, or any action taken by any trustee, receiver or court in any such proceeding;</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6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subject to Sections 15.15 and 15.16 of the Participation Agreement, any limitation on the liability or obligations of any Person (including, without limitation, Lessee) under any Operative Document, the Liabilities, any collateral security for the Liabilities, any other guaranty of the Liabilities or any discharge, termination,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31" w:name="page332"/>
    <w:bookmarkEnd w:id="331"/>
    <w:p>
      <w:pPr>
        <w:jc w:val="both"/>
        <w:ind w:left="660"/>
        <w:spacing w:after="0" w:line="264" w:lineRule="auto"/>
        <w:rPr>
          <w:sz w:val="20"/>
          <w:szCs w:val="20"/>
          <w:color w:val="auto"/>
        </w:rPr>
      </w:pPr>
      <w:r>
        <w:rPr>
          <w:rFonts w:ascii="Arial" w:cs="Arial" w:eastAsia="Arial" w:hAnsi="Arial"/>
          <w:sz w:val="18"/>
          <w:szCs w:val="18"/>
          <w:color w:val="auto"/>
        </w:rPr>
        <w:t>cancellation, frustration, irregularity, invalidity or unenforceability, in whole or in part, of any of the foregoing or any other agreement, instrument, guaranty or security referred to in clause (A) above or any term of any thereof (other than any such discharge, termination or cancellation as a result of full and indefeasible payment and performance of all of the Liabilities);</w:t>
      </w:r>
    </w:p>
    <w:p>
      <w:pPr>
        <w:spacing w:after="0" w:line="181" w:lineRule="exact"/>
        <w:rPr>
          <w:sz w:val="20"/>
          <w:szCs w:val="20"/>
          <w:color w:val="auto"/>
        </w:rPr>
      </w:pPr>
    </w:p>
    <w:p>
      <w:pPr>
        <w:jc w:val="both"/>
        <w:ind w:left="660" w:firstLine="645"/>
        <w:spacing w:after="0" w:line="297" w:lineRule="auto"/>
        <w:tabs>
          <w:tab w:leader="none" w:pos="159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any defect in the title, compliance with specifications, condition, design, operation or fitness for use of, or any damage to or loss or destruction of, or any interruption or cessation in the use of the Leased Property by Lessee or any other Person for any reason whatsoever (including, without limitation, any governmental prohibition or restriction, condemnation, requisition, seizure or any other act on the part of any governmental or military authority, or any act of God or of the public enemy) regardless of the duration thereof (even though such duration would otherwise constitute a frustration of a lease), whether or not resulting from accident and whether or not without fault on the part of Lessee or any other Person;</w:t>
      </w:r>
    </w:p>
    <w:p>
      <w:pPr>
        <w:spacing w:after="0" w:line="158" w:lineRule="exact"/>
        <w:rPr>
          <w:rFonts w:ascii="Arial" w:cs="Arial" w:eastAsia="Arial" w:hAnsi="Arial"/>
          <w:sz w:val="16"/>
          <w:szCs w:val="16"/>
          <w:color w:val="auto"/>
        </w:rPr>
      </w:pPr>
    </w:p>
    <w:p>
      <w:pPr>
        <w:ind w:left="660" w:firstLine="645"/>
        <w:spacing w:after="0" w:line="277" w:lineRule="auto"/>
        <w:tabs>
          <w:tab w:leader="none" w:pos="160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merger or consolidation of Lessee or any Guarantor into or with any other Person, or any sale, lease or transfer of any of the assets of Lessee or any Guarantor to any other Person, except as otherwise expressly provided by Section 17;</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62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change in the ownership of any shares of capital stock of Lessee or any Guarantor or any corporate change in Lessee or any Guarantor, except as otherwise expressly provided by Section 17;</w:t>
      </w:r>
    </w:p>
    <w:p>
      <w:pPr>
        <w:spacing w:after="0" w:line="170" w:lineRule="exact"/>
        <w:rPr>
          <w:rFonts w:ascii="Arial" w:cs="Arial" w:eastAsia="Arial" w:hAnsi="Arial"/>
          <w:sz w:val="18"/>
          <w:szCs w:val="18"/>
          <w:color w:val="auto"/>
        </w:rPr>
      </w:pPr>
    </w:p>
    <w:p>
      <w:pPr>
        <w:ind w:left="660" w:firstLine="645"/>
        <w:spacing w:after="0" w:line="277" w:lineRule="auto"/>
        <w:tabs>
          <w:tab w:leader="none" w:pos="154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recovery of judgment against Lessee, or by any levy of any writ or process of execution under any such judgment (except to the extent such recovery indefeasibly reduces the Liabilities);</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any legal characterization of the obligations created by the Lease and the other Operative Documents as a lease, a secured financing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otherwise;</w:t>
      </w:r>
    </w:p>
    <w:p>
      <w:pPr>
        <w:spacing w:after="0" w:line="210" w:lineRule="exact"/>
        <w:rPr>
          <w:rFonts w:ascii="Arial" w:cs="Arial" w:eastAsia="Arial" w:hAnsi="Arial"/>
          <w:sz w:val="16"/>
          <w:szCs w:val="16"/>
          <w:color w:val="auto"/>
        </w:rPr>
      </w:pPr>
    </w:p>
    <w:p>
      <w:pPr>
        <w:ind w:left="1600" w:hanging="295"/>
        <w:spacing w:after="0"/>
        <w:tabs>
          <w:tab w:leader="none" w:pos="160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absence of any notice to, or knowledge of, Guarantors of the existence or occurrence of any of the foregoing clauses (A) through (J); or</w:t>
      </w:r>
    </w:p>
    <w:p>
      <w:pPr>
        <w:spacing w:after="0" w:line="248" w:lineRule="exact"/>
        <w:rPr>
          <w:rFonts w:ascii="Arial" w:cs="Arial" w:eastAsia="Arial" w:hAnsi="Arial"/>
          <w:sz w:val="16"/>
          <w:szCs w:val="16"/>
          <w:color w:val="auto"/>
        </w:rPr>
      </w:pPr>
    </w:p>
    <w:p>
      <w:pPr>
        <w:jc w:val="both"/>
        <w:ind w:left="660" w:firstLine="645"/>
        <w:spacing w:after="0" w:line="312" w:lineRule="auto"/>
        <w:tabs>
          <w:tab w:leader="none" w:pos="158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any other occurrence or circumstance whatsoever, whether similar or dissimilar to the foregoing, and any other circumstance that might otherwise constitute a legal or equitable defense or discharge of the liabilities of a guarantor or surety or that might otherwise limit recourse against the Guarantors (other than full and indefeasible payment and performance of all of the Liabilities or as otherwise expressly permitted by Section 17).</w:t>
      </w:r>
    </w:p>
    <w:p>
      <w:pPr>
        <w:spacing w:after="0" w:line="14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obligations of the Guarantors set forth herein constitute the full recourse obligations of the Guarantors enforceable against them on a joint and several basis to the full extent of all their respective assets and properties, notwithstanding any provision in the Lease or any other Operative Documents.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32" w:name="page333"/>
    <w:bookmarkEnd w:id="332"/>
    <w:p>
      <w:pPr>
        <w:jc w:val="both"/>
        <w:ind w:firstLine="648"/>
        <w:spacing w:after="0" w:line="285" w:lineRule="auto"/>
        <w:rPr>
          <w:sz w:val="20"/>
          <w:szCs w:val="20"/>
          <w:color w:val="auto"/>
        </w:rPr>
      </w:pPr>
      <w:r>
        <w:rPr>
          <w:rFonts w:ascii="Arial" w:cs="Arial" w:eastAsia="Arial" w:hAnsi="Arial"/>
          <w:sz w:val="16"/>
          <w:szCs w:val="16"/>
          <w:color w:val="auto"/>
        </w:rPr>
        <w:t>Each Guarantor waives any and all notice of the creation, renewal, extension or accrual of any of the Liabilities and notice of or proof of reliance by any Beneficiary upon this Guaranty or acceptance of this Guaranty, and the Liabilities, and any of them, shall conclusively be deemed to have been created, contracted or incurred in reliance upon this Guaranty; provided that the foregoing shall not constitute a waiver of any notice specifically required to be given to such Guarantor by any Beneficiary under any of the Operative Documents. Each Guarantor unconditionally waives, to the extent permitted by law: (a) acceptance of this Guaranty and proof of reliance by any Beneficiary hereon; (b) notice of any of the matters referred to in clauses (A) through (L) above (other than any notice specifically required to be given to such Guarantor by any Beneficiary under any of the Operative Documents), or any right to consent or assent to any thereof (except to the extent the consent of such Guarantor with respect thereto is specifically required under any of the Operative Documents); (c) all notices that may be required by statute, rule of law or otherwise, now or hereafter in effect, to preserve intact any rights against Guarantor, including, without limitation, any demand, presentment, protest, proof or notice of nonpayment under any Operative Document, and notice of default or any failure on the part of Lessee to perform and comply with any covenant, agreement, term or condition of any Operative Document (in any such case, other than any notice specifically required to be given to such Guarantor by any Beneficiary under any of the Operative Documents); (d) any right to the enforcement, assertion or exercise against Lessee of any right, power, privilege or remedy conferred in any Operative Document or otherwise; (e) any requirement of diligence on the part of any Person; (f) any requirement of any Beneficiary to take any action whatsoever, to exhaust any remedies or to mitigate the damages resulting from a default by any Person under any Operative Document; (g) any notice of any sale, transfer or other disposition by any Person of any right under, title to or interest in any Operative Document or the Leased Property; and (h) any other circumstance whatsoever that might otherwise constitute a legal or equitable discharge, release or defense of a guarantor or surety, or that might otherwise limit recourse against any Guarantor (other than full and indefeasible payment and performance of all of the Liabilities or as otherwise expressly permitted by Section 17).</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Guarantor agrees that this Guaranty shall be automatically reinstated if and to the extent that for any reason any payment under any Operative Document by or on behalf of itself or Lessee is rescinded or must be otherwise disgorged or restored by any Beneficiary whether as a result of any proceedings in bankruptcy or reorganization or otherwise.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Guarantor further agrees that, without limiting the generality of this Guaranty, if an Event of Default shall have occurred and be continuing and any Beneficiary is prevented by Applicable Law from exercising its remedies under the Operative Documents, the Administrative Agent shall be entitled to receive hereunder from Guarantors, upon demand therefor, the sums which would have otherwise been due from Lessee to any such Beneficiary had such remedies been exercised.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anything to the contrary herein, nothing contained in this Section 2 shall (i) prevent the assertion by any Guarantor or Lessee of any claim such Person may have against any Beneficiary by separate suit or proceedings or by compulsory counterclaim or (ii) constitute a waiver of any such claim, including, without limitation, any such claim arising from any breach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33" w:name="page334"/>
    <w:bookmarkEnd w:id="333"/>
    <w:p>
      <w:pPr>
        <w:jc w:val="both"/>
        <w:spacing w:after="0" w:line="277" w:lineRule="auto"/>
        <w:rPr>
          <w:sz w:val="20"/>
          <w:szCs w:val="20"/>
          <w:color w:val="auto"/>
        </w:rPr>
      </w:pPr>
      <w:r>
        <w:rPr>
          <w:rFonts w:ascii="Arial" w:cs="Arial" w:eastAsia="Arial" w:hAnsi="Arial"/>
          <w:sz w:val="18"/>
          <w:szCs w:val="18"/>
          <w:color w:val="auto"/>
        </w:rPr>
        <w:t>or non-compliance by any Beneficiary of any Operative Document or any term of any instrument or agreement referred to in clause (A) of the first paragraph of this Section 2.</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Section 3. Subordination of Subrogation. </w:t>
      </w:r>
      <w:r>
        <w:rPr>
          <w:rFonts w:ascii="Arial" w:cs="Arial" w:eastAsia="Arial" w:hAnsi="Arial"/>
          <w:sz w:val="17"/>
          <w:szCs w:val="17"/>
          <w:color w:val="auto"/>
        </w:rPr>
        <w:t>Until full and indefeasible payment and performance of all of the Liabilities or the termination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Guaranty pursuant to Section 17(d), no Guarantor will exercise any rights with respect to any claim or other rights which it may now or hereafter acquire against Lessee arising from the existence, payment, performance or enforcement of such Guarantor’s obligations under this Guaranty or any other Operative Document, including any right of subrogation, reimbursement, contribution, exoneration, or indemnification, any right to participate in any claim or remedy of any Beneficiary against Lessee or any property or assets now or hereafter constituting part of the Collateral, whether or not such claim, remedy or right arises in equity, or under contract, statute or common law, including the right to take or receive from Lessee directly or indirectly, in cash or other property or by setoff or in any manner, payment or security on account of such claim or other rights (other than to file proofs of claims only if the obligation owing to each Beneficiary hereunder has been fully satisfied). If any amount shall be paid to any Guarantor in violation of the preceding sentence and the Liabilities shall not have been indefeasibly paid in cash or this Guaranty terminated pursuant to Section 17(d), such amount shall be deemed to have been paid to such Guarantor for the benefit of, and held in trust for, the Administrative Agent, for the benefit of the Beneficiaries, and shall forthwith be paid to the Administrative Agent to be credited and applied pursuant to the terms of the Operative Documents. Each Guarantor acknowledges that it will receive direct and indirect benefits from the financing arrangements contemplated by the Operative Documents and that the waiver set forth in this paragraph is knowingly made in contemplation of such benefits.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Guarantor hereby absolutely, unconditionally and irrevocably waives and agrees not to assert or take advantage of any defense based upon an election of remedies by any Beneficiary, including an election to proceed by nonjudicial rather than judicial foreclosure, which destroys or impairs any right of subrogation of such Guarantor or the right of such Guarantor to proceed against any Person for reimbursement, or both.</w:t>
      </w:r>
    </w:p>
    <w:p>
      <w:pPr>
        <w:spacing w:after="0" w:line="16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If all the Liabilities shall be paid indefeasibly in full or performed, Lessee, Lessor, Administrative Agent and/or the Lenders, as the case may be, will, at Guarantors’ request and expense, execute and deliver to Guarantors appropriate documents, without recourse and without warranty or representation, necessary to evidence the transfer by subrogation to Guarantors of an interest in the Liabilities resulting from such payment by Guarantors.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4. Reasonableness and Effect of Waivers</w:t>
      </w:r>
      <w:r>
        <w:rPr>
          <w:rFonts w:ascii="Arial" w:cs="Arial" w:eastAsia="Arial" w:hAnsi="Arial"/>
          <w:sz w:val="18"/>
          <w:szCs w:val="18"/>
          <w:color w:val="auto"/>
        </w:rPr>
        <w:t>. Each Guarantor warrants and agrees that each of the waivers set forth in this Guaranty is made with</w:t>
      </w:r>
      <w:r>
        <w:rPr>
          <w:rFonts w:ascii="Arial" w:cs="Arial" w:eastAsia="Arial" w:hAnsi="Arial"/>
          <w:sz w:val="18"/>
          <w:szCs w:val="18"/>
          <w:i w:val="1"/>
          <w:iCs w:val="1"/>
          <w:color w:val="auto"/>
        </w:rPr>
        <w:t xml:space="preserve"> </w:t>
      </w:r>
      <w:r>
        <w:rPr>
          <w:rFonts w:ascii="Arial" w:cs="Arial" w:eastAsia="Arial" w:hAnsi="Arial"/>
          <w:sz w:val="18"/>
          <w:szCs w:val="18"/>
          <w:color w:val="auto"/>
        </w:rPr>
        <w:t>full knowledge of its significance and consequences and that, under the circumstances, the waivers are reasonable and not contrary to public policy or law. If any of such waivers are determined to be contrary to any Applicable Law or public policy, such waivers shall be effective only to the maximum extent permitted by law.</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5. Transfers by Beneficiaries</w:t>
      </w:r>
      <w:r>
        <w:rPr>
          <w:rFonts w:ascii="Arial" w:cs="Arial" w:eastAsia="Arial" w:hAnsi="Arial"/>
          <w:sz w:val="18"/>
          <w:szCs w:val="18"/>
          <w:color w:val="auto"/>
        </w:rPr>
        <w:t>. Each Beneficiary may, from time to time, whether before or after any discontinuance of this Guaranty, at its</w:t>
      </w:r>
      <w:r>
        <w:rPr>
          <w:rFonts w:ascii="Arial" w:cs="Arial" w:eastAsia="Arial" w:hAnsi="Arial"/>
          <w:sz w:val="18"/>
          <w:szCs w:val="18"/>
          <w:i w:val="1"/>
          <w:iCs w:val="1"/>
          <w:color w:val="auto"/>
        </w:rPr>
        <w:t xml:space="preserve"> </w:t>
      </w:r>
      <w:r>
        <w:rPr>
          <w:rFonts w:ascii="Arial" w:cs="Arial" w:eastAsia="Arial" w:hAnsi="Arial"/>
          <w:sz w:val="18"/>
          <w:szCs w:val="18"/>
          <w:color w:val="auto"/>
        </w:rPr>
        <w:t>sole discretion and without notice to Guarantors, assign or transfer any or all of its portion of the Liabilities or any interest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34" w:name="page335"/>
    <w:bookmarkEnd w:id="334"/>
    <w:p>
      <w:pPr>
        <w:jc w:val="both"/>
        <w:spacing w:after="0" w:line="302" w:lineRule="auto"/>
        <w:rPr>
          <w:sz w:val="20"/>
          <w:szCs w:val="20"/>
          <w:color w:val="auto"/>
        </w:rPr>
      </w:pPr>
      <w:r>
        <w:rPr>
          <w:rFonts w:ascii="Arial" w:cs="Arial" w:eastAsia="Arial" w:hAnsi="Arial"/>
          <w:sz w:val="16"/>
          <w:szCs w:val="16"/>
          <w:color w:val="auto"/>
        </w:rPr>
        <w:t>therein in accordance with the terms and conditions of the Operative Documents; and, notwithstanding any such assignment or transfer or any subsequent assignment or transfer thereof, such Liabilities shall be and remain Liabilities for the purposes of this Guaranty, and each and every immediate and successive permitted assignee or transferee of any of the Liabilities or of any interest therein shall, to the extent of such assignee’s or transferee’s interest in the Liabilities, be entitled to the benefits of this Guaranty to the same extent as if such assignee or transferee were such Beneficiary.</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Section 6. No Waiver by Beneficiaries. </w:t>
      </w:r>
      <w:r>
        <w:rPr>
          <w:rFonts w:ascii="Arial" w:cs="Arial" w:eastAsia="Arial" w:hAnsi="Arial"/>
          <w:sz w:val="17"/>
          <w:szCs w:val="17"/>
          <w:color w:val="auto"/>
        </w:rPr>
        <w:t>No delay in the exercise of any right or remedy shall operate as a waiver thereof, and no single or partial</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any right or remedy shall preclude other or further exercise thereof or the exercise of any other right or remedy. The rights and remedies provided in this Guaranty shall be cumulative and not exclusive of any rights or remedies provided by Applicable Law. Each Guarantor hereby acknowledges that there are no conditions to the effectiveness of this Guaranty, other than the occurrence of the Restatement Date.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Section 7. Guarantor Representations and Warranties. </w:t>
      </w:r>
      <w:r>
        <w:rPr>
          <w:rFonts w:ascii="Arial" w:cs="Arial" w:eastAsia="Arial" w:hAnsi="Arial"/>
          <w:sz w:val="18"/>
          <w:szCs w:val="18"/>
          <w:color w:val="auto"/>
        </w:rPr>
        <w:t>Parent Guarantor, on behalf of itself and its Subsidiaries, and as applicable, each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(as to itself), represents and warrants to the Administrative Agent and each of the Participants as of the Restatement Date, other than with respect to Disclosed Matters, that:</w:t>
      </w:r>
    </w:p>
    <w:p>
      <w:pPr>
        <w:spacing w:after="0" w:line="181" w:lineRule="exact"/>
        <w:rPr>
          <w:sz w:val="20"/>
          <w:szCs w:val="20"/>
          <w:color w:val="auto"/>
        </w:rPr>
      </w:pPr>
    </w:p>
    <w:p>
      <w:pPr>
        <w:jc w:val="both"/>
        <w:ind w:firstLine="1305"/>
        <w:spacing w:after="0" w:line="286" w:lineRule="auto"/>
        <w:tabs>
          <w:tab w:leader="none" w:pos="1541" w:val="left"/>
        </w:tabs>
        <w:numPr>
          <w:ilvl w:val="0"/>
          <w:numId w:val="239"/>
        </w:numPr>
        <w:rPr>
          <w:rFonts w:ascii="Arial" w:cs="Arial" w:eastAsia="Arial" w:hAnsi="Arial"/>
          <w:sz w:val="16"/>
          <w:szCs w:val="16"/>
          <w:color w:val="auto"/>
        </w:rPr>
      </w:pPr>
      <w:r>
        <w:rPr>
          <w:rFonts w:ascii="Arial" w:cs="Arial" w:eastAsia="Arial" w:hAnsi="Arial"/>
          <w:sz w:val="16"/>
          <w:szCs w:val="16"/>
          <w:i w:val="1"/>
          <w:iCs w:val="1"/>
          <w:color w:val="auto"/>
        </w:rPr>
        <w:t>Organization; Powers; Subsidiaries</w:t>
      </w:r>
      <w:r>
        <w:rPr>
          <w:rFonts w:ascii="Arial" w:cs="Arial" w:eastAsia="Arial" w:hAnsi="Arial"/>
          <w:sz w:val="16"/>
          <w:szCs w:val="16"/>
          <w:color w:val="auto"/>
        </w:rPr>
        <w:t>. Each Guarantor and its Material Subsidiaries (i) is duly organized or incorporated, as the case may</w:t>
      </w:r>
      <w:r>
        <w:rPr>
          <w:rFonts w:ascii="Arial" w:cs="Arial" w:eastAsia="Arial" w:hAnsi="Arial"/>
          <w:sz w:val="16"/>
          <w:szCs w:val="16"/>
          <w:i w:val="1"/>
          <w:iCs w:val="1"/>
          <w:color w:val="auto"/>
        </w:rPr>
        <w:t xml:space="preserve"> </w:t>
      </w:r>
      <w:r>
        <w:rPr>
          <w:rFonts w:ascii="Arial" w:cs="Arial" w:eastAsia="Arial" w:hAnsi="Arial"/>
          <w:sz w:val="16"/>
          <w:szCs w:val="16"/>
          <w:color w:val="auto"/>
        </w:rPr>
        <w:t>be, validly existing and in good standing (to the extent the concept is applicable in such jurisdiction) under the laws of the jurisdiction of its organization or incorporation, as applicable, (ii) has all requisite organizational power and authority to carry on its business as now conducted and (iii) is qualified to do business in, and (to the extent the concept is applicable in such jurisdiction) is in good standing in, every jurisdiction where its ownership, lease or operation of properties or the conduct of its business requires such qualification, in any such clauses (i) (solely with respect to the good standing status of any such Subsidiary that is not a Guarantor), (ii) (solely with respect to the power and authority of any such Subsidiary that is not a Guarantor) and (iii), except where the failure to do so could not reasonably be expected to result in a Material Adverse Effect. Schedule 7(a) hereto identifies each Subsidiary as of the Restatement Date, noting whether such Subsidiary is a Material Domestic Subsidiary and/or a Material Subsidiary as of the Restatement Date, the jurisdiction of its incorporation or organization, as the case may be, the percentage of issued and outstanding shares of each class of its capital stock or other equity interests owned by the Parent Guarantor and the other Subsidiaries and, if such percentage is not 100% (excluding (i) directors’ qualifying shares and (ii) shares issued to foreign nationals to the extent required by applicable law), a description of each class issued and outstanding. All of the outstanding shares of capital stock and other equity interests of the Lessee and each Material Subsidiary are validly issued and outstanding and fully paid and nonassessable and all such shares and other equity interests indicated on Schedule 7(a) as owned by the Parent Guarantor or another Subsidiary are owned, beneficially and of record, by the Parent Guarantor or any Subsidiary as of the Restatement Date free and clear of all Liens, other than Liens permitted pursuant to Section 9(b).</w:t>
      </w:r>
    </w:p>
    <w:p>
      <w:pPr>
        <w:spacing w:after="0" w:line="171" w:lineRule="exact"/>
        <w:rPr>
          <w:rFonts w:ascii="Arial" w:cs="Arial" w:eastAsia="Arial" w:hAnsi="Arial"/>
          <w:sz w:val="16"/>
          <w:szCs w:val="16"/>
          <w:color w:val="auto"/>
        </w:rPr>
      </w:pPr>
    </w:p>
    <w:p>
      <w:pPr>
        <w:ind w:left="1560" w:hanging="255"/>
        <w:spacing w:after="0"/>
        <w:tabs>
          <w:tab w:leader="none" w:pos="1560"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Enforceability. </w:t>
      </w:r>
      <w:r>
        <w:rPr>
          <w:rFonts w:ascii="Arial" w:cs="Arial" w:eastAsia="Arial" w:hAnsi="Arial"/>
          <w:sz w:val="18"/>
          <w:szCs w:val="18"/>
          <w:color w:val="auto"/>
        </w:rPr>
        <w:t>The Operative Documents are within each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35" w:name="page336"/>
    <w:bookmarkEnd w:id="335"/>
    <w:p>
      <w:pPr>
        <w:jc w:val="both"/>
        <w:spacing w:after="0" w:line="276" w:lineRule="auto"/>
        <w:rPr>
          <w:sz w:val="20"/>
          <w:szCs w:val="20"/>
          <w:color w:val="auto"/>
        </w:rPr>
      </w:pPr>
      <w:r>
        <w:rPr>
          <w:rFonts w:ascii="Arial" w:cs="Arial" w:eastAsia="Arial" w:hAnsi="Arial"/>
          <w:sz w:val="17"/>
          <w:szCs w:val="17"/>
          <w:color w:val="auto"/>
        </w:rPr>
        <w:t>Guarantor’s organizational powers and have been duly authorized by all necessary organizational actions and, if required, actions by equity holders of such Guarantor. The Operative Documents to which any Guarantor is a party have been duly executed and delivered by such Guarantor and constitute a legal, valid and binding obligation of such Guarantor, enforceable against such Guarantor in accordance with its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173" w:lineRule="exact"/>
        <w:rPr>
          <w:sz w:val="20"/>
          <w:szCs w:val="20"/>
          <w:color w:val="auto"/>
        </w:rPr>
      </w:pPr>
    </w:p>
    <w:p>
      <w:pPr>
        <w:jc w:val="both"/>
        <w:ind w:firstLine="1305"/>
        <w:spacing w:after="0" w:line="288" w:lineRule="auto"/>
        <w:tabs>
          <w:tab w:leader="none" w:pos="1555" w:val="left"/>
        </w:tabs>
        <w:numPr>
          <w:ilvl w:val="1"/>
          <w:numId w:val="240"/>
        </w:numPr>
        <w:rPr>
          <w:rFonts w:ascii="Arial" w:cs="Arial" w:eastAsia="Arial" w:hAnsi="Arial"/>
          <w:sz w:val="16"/>
          <w:szCs w:val="16"/>
          <w:color w:val="auto"/>
        </w:rPr>
      </w:pPr>
      <w:r>
        <w:rPr>
          <w:rFonts w:ascii="Arial" w:cs="Arial" w:eastAsia="Arial" w:hAnsi="Arial"/>
          <w:sz w:val="16"/>
          <w:szCs w:val="16"/>
          <w:i w:val="1"/>
          <w:iCs w:val="1"/>
          <w:color w:val="auto"/>
        </w:rPr>
        <w:t>Governmental Approvals; No Conflicts</w:t>
      </w:r>
      <w:r>
        <w:rPr>
          <w:rFonts w:ascii="Arial" w:cs="Arial" w:eastAsia="Arial" w:hAnsi="Arial"/>
          <w:sz w:val="16"/>
          <w:szCs w:val="16"/>
          <w:color w:val="auto"/>
        </w:rPr>
        <w:t>. The execution, delivery and performance by each Guarantor of the Operative Documents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such Guarantor is a party (i) do not require any consent or approval of, registration or filing with, or any other action by, any Governmental Authority, except such as are not material or have been, or will be by the time required, obtained or made and are, or will be by the time required, in full force and effect,</w:t>
      </w:r>
    </w:p>
    <w:p>
      <w:pPr>
        <w:jc w:val="both"/>
        <w:ind w:firstLine="8"/>
        <w:spacing w:after="0" w:line="269" w:lineRule="auto"/>
        <w:tabs>
          <w:tab w:leader="none" w:pos="26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will not violate in any material respect any applicable material law or regulation or the charter, by-laws, constitution or other organizational documents of such Guarantor or any material order of any Governmental Authority binding upon any Guarantor or its assets, (iii) will not violate in any material respect or result in a default under any indenture, material agreement or other material instrument binding upon such Guarantor or any of its Material Subsidiaries or its assets, or give rise to a right thereunder to require any payment to be made by any Guarantor or any of its Material Subsidiaries, except, in the case of this clause (iii), for any such violations, defaults or rights that could not reasonably be expected to result in a Material Adverse Effect, and (iv) will not result in the creation or imposition of any Lien on any asset of such Guarantor or any of its Material Subsidiaries, other than Permitted Liens and requirements (if any) to provide cash collateral or deposits under any of the Operative Documents.</w:t>
      </w:r>
    </w:p>
    <w:p>
      <w:pPr>
        <w:spacing w:after="0" w:line="180" w:lineRule="exact"/>
        <w:rPr>
          <w:rFonts w:ascii="Arial" w:cs="Arial" w:eastAsia="Arial" w:hAnsi="Arial"/>
          <w:sz w:val="17"/>
          <w:szCs w:val="17"/>
          <w:color w:val="auto"/>
        </w:rPr>
      </w:pPr>
    </w:p>
    <w:p>
      <w:pPr>
        <w:jc w:val="both"/>
        <w:ind w:firstLine="1305"/>
        <w:spacing w:after="0" w:line="279" w:lineRule="auto"/>
        <w:tabs>
          <w:tab w:leader="none" w:pos="1551" w:val="left"/>
        </w:tabs>
        <w:numPr>
          <w:ilvl w:val="1"/>
          <w:numId w:val="241"/>
        </w:numPr>
        <w:rPr>
          <w:rFonts w:ascii="Arial" w:cs="Arial" w:eastAsia="Arial" w:hAnsi="Arial"/>
          <w:sz w:val="17"/>
          <w:szCs w:val="17"/>
          <w:color w:val="auto"/>
        </w:rPr>
      </w:pPr>
      <w:r>
        <w:rPr>
          <w:rFonts w:ascii="Arial" w:cs="Arial" w:eastAsia="Arial" w:hAnsi="Arial"/>
          <w:sz w:val="17"/>
          <w:szCs w:val="17"/>
          <w:i w:val="1"/>
          <w:iCs w:val="1"/>
          <w:color w:val="auto"/>
        </w:rPr>
        <w:t>Financial Condition; No Material Adverse Change</w:t>
      </w:r>
      <w:r>
        <w:rPr>
          <w:rFonts w:ascii="Arial" w:cs="Arial" w:eastAsia="Arial" w:hAnsi="Arial"/>
          <w:sz w:val="17"/>
          <w:szCs w:val="17"/>
          <w:color w:val="auto"/>
        </w:rPr>
        <w:t>. (i) The Parent Guarantor has heretofore furnished to the Participants its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and statements of operations, stockholders equity and cash flows as of and for the fiscal year ended December 31, 2018. Such financial statements present fairly, in all material respects, the financial position of the Parent Guarantor and its consolidated Subsidiaries as of the end of such fiscal year and their results of operations for such fiscal year on a consolidated basis in accordance with GAAP.</w:t>
      </w:r>
    </w:p>
    <w:p>
      <w:pPr>
        <w:spacing w:after="0" w:line="171" w:lineRule="exact"/>
        <w:rPr>
          <w:sz w:val="20"/>
          <w:szCs w:val="20"/>
          <w:color w:val="auto"/>
        </w:rPr>
      </w:pPr>
    </w:p>
    <w:p>
      <w:pPr>
        <w:ind w:left="660" w:firstLine="645"/>
        <w:spacing w:after="0" w:line="308" w:lineRule="auto"/>
        <w:tabs>
          <w:tab w:leader="none" w:pos="157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As of the Restatement Date and excluding any Disclosed Matters, since December 31, 2018, there has been no material adverse change in the business, results of operations or financial condition of the Parent Guarantor and its Subsidiaries, taken as a whole.</w:t>
      </w:r>
    </w:p>
    <w:p>
      <w:pPr>
        <w:spacing w:after="0" w:line="147" w:lineRule="exact"/>
        <w:rPr>
          <w:sz w:val="20"/>
          <w:szCs w:val="20"/>
          <w:color w:val="auto"/>
        </w:rPr>
      </w:pPr>
    </w:p>
    <w:p>
      <w:pPr>
        <w:jc w:val="both"/>
        <w:ind w:firstLine="1305"/>
        <w:spacing w:after="0" w:line="312" w:lineRule="auto"/>
        <w:tabs>
          <w:tab w:leader="none" w:pos="1555" w:val="left"/>
        </w:tabs>
        <w:numPr>
          <w:ilvl w:val="0"/>
          <w:numId w:val="243"/>
        </w:numPr>
        <w:rPr>
          <w:rFonts w:ascii="Arial" w:cs="Arial" w:eastAsia="Arial" w:hAnsi="Arial"/>
          <w:sz w:val="16"/>
          <w:szCs w:val="16"/>
          <w:color w:val="auto"/>
        </w:rPr>
      </w:pPr>
      <w:r>
        <w:rPr>
          <w:rFonts w:ascii="Arial" w:cs="Arial" w:eastAsia="Arial" w:hAnsi="Arial"/>
          <w:sz w:val="16"/>
          <w:szCs w:val="16"/>
          <w:i w:val="1"/>
          <w:iCs w:val="1"/>
          <w:color w:val="auto"/>
        </w:rPr>
        <w:t xml:space="preserve">Properties. </w:t>
      </w:r>
      <w:r>
        <w:rPr>
          <w:rFonts w:ascii="Arial" w:cs="Arial" w:eastAsia="Arial" w:hAnsi="Arial"/>
          <w:sz w:val="16"/>
          <w:szCs w:val="16"/>
          <w:color w:val="auto"/>
        </w:rPr>
        <w:t>(i) Except for Liens permitted pursuant to Section 9(b), each of the Parent Guarantor and its Subsidiaries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Lessee) has good title to, or (to the knowledge of the Parent Guarantor) valid leasehold interests in, all its real and personal property (other than intellectual property, which is subject to Section 7(e)(ii)) material to its business, except as could not reasonably be expected to result in a Material Adverse Effect.</w:t>
      </w:r>
    </w:p>
    <w:p>
      <w:pPr>
        <w:spacing w:after="0" w:line="147" w:lineRule="exact"/>
        <w:rPr>
          <w:sz w:val="20"/>
          <w:szCs w:val="20"/>
          <w:color w:val="auto"/>
        </w:rPr>
      </w:pPr>
    </w:p>
    <w:p>
      <w:pPr>
        <w:ind w:left="5660" w:right="4720" w:hanging="4355"/>
        <w:spacing w:after="0" w:line="540" w:lineRule="auto"/>
        <w:tabs>
          <w:tab w:leader="none" w:pos="15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Except for Disclosed Matters or as could not reasonably be expected to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36" w:name="page337"/>
    <w:bookmarkEnd w:id="336"/>
    <w:p>
      <w:pPr>
        <w:jc w:val="both"/>
        <w:ind w:left="660"/>
        <w:spacing w:after="0" w:line="259" w:lineRule="auto"/>
        <w:rPr>
          <w:sz w:val="20"/>
          <w:szCs w:val="20"/>
          <w:color w:val="auto"/>
        </w:rPr>
      </w:pPr>
      <w:r>
        <w:rPr>
          <w:rFonts w:ascii="Arial" w:cs="Arial" w:eastAsia="Arial" w:hAnsi="Arial"/>
          <w:sz w:val="18"/>
          <w:szCs w:val="18"/>
          <w:color w:val="auto"/>
        </w:rPr>
        <w:t>result in a Material Adverse Effect, (A) each of the Parent Guarantor and its Subsidiaries (including the Lessee) owns or is licensed to use (subject to the knowledge-qualified infringement representation in this Section 7(e)) all trademarks, trade names, copyrights, patents and other intellectual property material to its business, and (B) the use thereof by the Parent Guarantor and its Subsidiaries (including the Lessee), to the Parent Guarantor’s knowledge, does not infringe upon the rights of any other Person.</w:t>
      </w:r>
    </w:p>
    <w:p>
      <w:pPr>
        <w:spacing w:after="0" w:line="187" w:lineRule="exact"/>
        <w:rPr>
          <w:sz w:val="20"/>
          <w:szCs w:val="20"/>
          <w:color w:val="auto"/>
        </w:rPr>
      </w:pPr>
    </w:p>
    <w:p>
      <w:pPr>
        <w:jc w:val="both"/>
        <w:ind w:firstLine="1305"/>
        <w:spacing w:after="0" w:line="279" w:lineRule="auto"/>
        <w:tabs>
          <w:tab w:leader="none" w:pos="1548" w:val="left"/>
        </w:tabs>
        <w:numPr>
          <w:ilvl w:val="0"/>
          <w:numId w:val="245"/>
        </w:numPr>
        <w:rPr>
          <w:rFonts w:ascii="Arial" w:cs="Arial" w:eastAsia="Arial" w:hAnsi="Arial"/>
          <w:sz w:val="17"/>
          <w:szCs w:val="17"/>
          <w:color w:val="auto"/>
        </w:rPr>
      </w:pPr>
      <w:r>
        <w:rPr>
          <w:rFonts w:ascii="Arial" w:cs="Arial" w:eastAsia="Arial" w:hAnsi="Arial"/>
          <w:sz w:val="17"/>
          <w:szCs w:val="17"/>
          <w:i w:val="1"/>
          <w:iCs w:val="1"/>
          <w:color w:val="auto"/>
        </w:rPr>
        <w:t>Litigation; Environmental Matters</w:t>
      </w:r>
      <w:r>
        <w:rPr>
          <w:rFonts w:ascii="Arial" w:cs="Arial" w:eastAsia="Arial" w:hAnsi="Arial"/>
          <w:sz w:val="17"/>
          <w:szCs w:val="17"/>
          <w:color w:val="auto"/>
        </w:rPr>
        <w:t>. (i) As of the Restatement Date and except for Disclosed Matters, there are no actions, suits,</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or investigations by or before any arbitrator or Governmental Authority pending against or, to the knowledge of the Parent Guarantor, threatened in writing against or affecting the Parent Guarantor or any of its Subsidiaries (including the Lessee) (A) that could reasonably be expected to result in a Material Adverse Effect or (B) that involve this Guaranty, the Operative Documents or the Overall Transaction.</w:t>
      </w:r>
    </w:p>
    <w:p>
      <w:pPr>
        <w:spacing w:after="0" w:line="171" w:lineRule="exact"/>
        <w:rPr>
          <w:sz w:val="20"/>
          <w:szCs w:val="20"/>
          <w:color w:val="auto"/>
        </w:rPr>
      </w:pPr>
    </w:p>
    <w:p>
      <w:pPr>
        <w:jc w:val="both"/>
        <w:ind w:left="660" w:firstLine="645"/>
        <w:spacing w:after="0" w:line="276" w:lineRule="auto"/>
        <w:tabs>
          <w:tab w:leader="none" w:pos="1577"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Except with respect to (x) Disclosed Matters and (y) other matters that could not reasonably be expected to result in a Material Adverse Effect (and other than with respect to the Site or Leased Property, which is subject to Section 7(p)), the Parent Guarantor and its Subsidiaries (including the Lessee) (A) are in compliance with all applicable Environmental Laws (which compliance includes possession of and compliance with all permits, licenses or other approvals required under applicable Environmental Laws), (B) are not subject to any Environmental Liability or (C) have not received written notice of any claim with respect to any Environmental Liability.</w:t>
      </w:r>
    </w:p>
    <w:p>
      <w:pPr>
        <w:spacing w:after="0" w:line="173" w:lineRule="exact"/>
        <w:rPr>
          <w:sz w:val="20"/>
          <w:szCs w:val="20"/>
          <w:color w:val="auto"/>
        </w:rPr>
      </w:pPr>
    </w:p>
    <w:p>
      <w:pPr>
        <w:jc w:val="both"/>
        <w:ind w:firstLine="1305"/>
        <w:spacing w:after="0" w:line="264" w:lineRule="auto"/>
        <w:tabs>
          <w:tab w:leader="none" w:pos="1578"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Compliance with Laws</w:t>
      </w:r>
      <w:r>
        <w:rPr>
          <w:rFonts w:ascii="Arial" w:cs="Arial" w:eastAsia="Arial" w:hAnsi="Arial"/>
          <w:sz w:val="18"/>
          <w:szCs w:val="18"/>
          <w:color w:val="auto"/>
        </w:rPr>
        <w:t>. Each of the Parent Guarantor and its Subsidiaries (including the Lessee) is in compliance with all laws,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and orders of any Governmental Authority applicable to it or its property, except (i) for Disclosed Matters or (ii) where the failure to do so could not reasonably be expected to result in a Material Adverse Effect.</w:t>
      </w:r>
    </w:p>
    <w:p>
      <w:pPr>
        <w:spacing w:after="0" w:line="181" w:lineRule="exact"/>
        <w:rPr>
          <w:rFonts w:ascii="Arial" w:cs="Arial" w:eastAsia="Arial" w:hAnsi="Arial"/>
          <w:sz w:val="18"/>
          <w:szCs w:val="18"/>
          <w:color w:val="auto"/>
        </w:rPr>
      </w:pPr>
    </w:p>
    <w:p>
      <w:pPr>
        <w:ind w:firstLine="1305"/>
        <w:spacing w:after="0" w:line="308" w:lineRule="auto"/>
        <w:tabs>
          <w:tab w:leader="none" w:pos="1556" w:val="left"/>
        </w:tabs>
        <w:numPr>
          <w:ilvl w:val="0"/>
          <w:numId w:val="247"/>
        </w:numPr>
        <w:rPr>
          <w:rFonts w:ascii="Arial" w:cs="Arial" w:eastAsia="Arial" w:hAnsi="Arial"/>
          <w:sz w:val="17"/>
          <w:szCs w:val="17"/>
          <w:color w:val="auto"/>
        </w:rPr>
      </w:pPr>
      <w:r>
        <w:rPr>
          <w:rFonts w:ascii="Arial" w:cs="Arial" w:eastAsia="Arial" w:hAnsi="Arial"/>
          <w:sz w:val="17"/>
          <w:szCs w:val="17"/>
          <w:i w:val="1"/>
          <w:iCs w:val="1"/>
          <w:color w:val="auto"/>
        </w:rPr>
        <w:t>Investment Company Status</w:t>
      </w:r>
      <w:r>
        <w:rPr>
          <w:rFonts w:ascii="Arial" w:cs="Arial" w:eastAsia="Arial" w:hAnsi="Arial"/>
          <w:sz w:val="17"/>
          <w:szCs w:val="17"/>
          <w:color w:val="auto"/>
        </w:rPr>
        <w:t>. Neither the Parent Guarantor nor any of its Subsidiaries (including the Lessee) is required to be registered</w:t>
      </w:r>
      <w:r>
        <w:rPr>
          <w:rFonts w:ascii="Arial" w:cs="Arial" w:eastAsia="Arial" w:hAnsi="Arial"/>
          <w:sz w:val="17"/>
          <w:szCs w:val="17"/>
          <w:i w:val="1"/>
          <w:iCs w:val="1"/>
          <w:color w:val="auto"/>
        </w:rPr>
        <w:t xml:space="preserve"> </w:t>
      </w:r>
      <w:r>
        <w:rPr>
          <w:rFonts w:ascii="Arial" w:cs="Arial" w:eastAsia="Arial" w:hAnsi="Arial"/>
          <w:sz w:val="17"/>
          <w:szCs w:val="17"/>
          <w:color w:val="auto"/>
        </w:rPr>
        <w:t>as an “investment company” as defined in the Investment Company Act or subject to regulation as an “investment company” thereunder.</w:t>
      </w:r>
    </w:p>
    <w:p>
      <w:pPr>
        <w:spacing w:after="0" w:line="146" w:lineRule="exact"/>
        <w:rPr>
          <w:rFonts w:ascii="Arial" w:cs="Arial" w:eastAsia="Arial" w:hAnsi="Arial"/>
          <w:sz w:val="17"/>
          <w:szCs w:val="17"/>
          <w:color w:val="auto"/>
        </w:rPr>
      </w:pPr>
    </w:p>
    <w:p>
      <w:pPr>
        <w:jc w:val="both"/>
        <w:ind w:firstLine="1305"/>
        <w:spacing w:after="0" w:line="276" w:lineRule="auto"/>
        <w:tabs>
          <w:tab w:leader="none" w:pos="1511" w:val="left"/>
        </w:tabs>
        <w:numPr>
          <w:ilvl w:val="0"/>
          <w:numId w:val="247"/>
        </w:numPr>
        <w:rPr>
          <w:rFonts w:ascii="Arial" w:cs="Arial" w:eastAsia="Arial" w:hAnsi="Arial"/>
          <w:sz w:val="17"/>
          <w:szCs w:val="17"/>
          <w:color w:val="auto"/>
        </w:rPr>
      </w:pPr>
      <w:r>
        <w:rPr>
          <w:rFonts w:ascii="Arial" w:cs="Arial" w:eastAsia="Arial" w:hAnsi="Arial"/>
          <w:sz w:val="17"/>
          <w:szCs w:val="17"/>
          <w:i w:val="1"/>
          <w:iCs w:val="1"/>
          <w:color w:val="auto"/>
        </w:rPr>
        <w:t>Taxes</w:t>
      </w:r>
      <w:r>
        <w:rPr>
          <w:rFonts w:ascii="Arial" w:cs="Arial" w:eastAsia="Arial" w:hAnsi="Arial"/>
          <w:sz w:val="17"/>
          <w:szCs w:val="17"/>
          <w:color w:val="auto"/>
        </w:rPr>
        <w:t>. Each of the Parent Guarantor and its Subsidiaries (including the Lessee) has timely filed or caused to be filed all federal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 returns and all other material Tax returns and reports required to have been filed by it and has paid, caused to be paid or made a provision for the payment of, all federal income Taxes and all other material Taxes required to have been paid by it, except (A) Taxes that are being contested in good faith by appropriate proceedings and for which the Parent Guarantor and/or such Subsidiary, as applicable, has set aside on its books adequate reserves in accordance with GAAP or (B) to the extent that the failure to do so could not reasonably be expected to result in a Material Adverse Effect.</w:t>
      </w:r>
    </w:p>
    <w:p>
      <w:pPr>
        <w:spacing w:after="0" w:line="172" w:lineRule="exact"/>
        <w:rPr>
          <w:rFonts w:ascii="Arial" w:cs="Arial" w:eastAsia="Arial" w:hAnsi="Arial"/>
          <w:sz w:val="17"/>
          <w:szCs w:val="17"/>
          <w:color w:val="auto"/>
        </w:rPr>
      </w:pPr>
    </w:p>
    <w:p>
      <w:pPr>
        <w:ind w:right="20" w:firstLine="1305"/>
        <w:spacing w:after="0" w:line="277" w:lineRule="auto"/>
        <w:tabs>
          <w:tab w:leader="none" w:pos="1511"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No ERISA Event has occurred or is reasonably expected to occur that, when taken together with all other such ERISA Events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liability is reasonably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t>expected to occur, could reasonably be expected to result in a Material Adverse Effect.</w:t>
      </w:r>
    </w:p>
    <w:p>
      <w:pPr>
        <w:spacing w:after="0" w:line="225" w:lineRule="exact"/>
        <w:rPr>
          <w:sz w:val="20"/>
          <w:szCs w:val="20"/>
          <w:color w:val="auto"/>
        </w:rPr>
      </w:pPr>
    </w:p>
    <w:p>
      <w:pPr>
        <w:jc w:val="both"/>
        <w:ind w:firstLine="1305"/>
        <w:spacing w:after="0" w:line="287" w:lineRule="auto"/>
        <w:tabs>
          <w:tab w:leader="none" w:pos="1565"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Disclosure</w:t>
      </w:r>
      <w:r>
        <w:rPr>
          <w:rFonts w:ascii="Arial" w:cs="Arial" w:eastAsia="Arial" w:hAnsi="Arial"/>
          <w:sz w:val="16"/>
          <w:szCs w:val="16"/>
          <w:color w:val="auto"/>
        </w:rPr>
        <w:t>. All written information and all information that is formally presented at a general meeting (which may be a telephonic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meeting) of the Lenders (in any such case, other than any projections, estimates, forecasts and other forward-looking information and information of a general economic or industry-specific nature) furnished by or on behalf of the Parent Guarantor or any Subsidiary to the Lessor or Administrative Agent or any other Participant pursuant to or in connection with this Guaranty or any other Operative Document, when taken as a whole and after giving effect to all supplements and updates thereto,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forecasts or projections of financial information with respect to the Parent Guarantor or any Subsidiary so furnished to the Lessor, the Administrative Agent or any Participant pursuant to or in connection with this Guaranty or any other Operative Document, each Guarantor represents only that such information was prepared in good faith based upon assumptions believed by the Parent Guarantor to be reasonable at the time prepared (it being understood by the Lessor, the Administrative Agent and the other Participants that any such projections are not to be viewed as facts and are subject to significant uncertainties and contingencies, many of which are beyond the control of the Parent Guarantor, the Lessee or their respective Subsidiaries, that no assurances can be given that such projections will be realized and that actual results may differ materially from such projections).</w:t>
      </w:r>
    </w:p>
    <w:p>
      <w:pPr>
        <w:spacing w:after="0" w:line="168" w:lineRule="exact"/>
        <w:rPr>
          <w:rFonts w:ascii="Arial" w:cs="Arial" w:eastAsia="Arial" w:hAnsi="Arial"/>
          <w:sz w:val="16"/>
          <w:szCs w:val="16"/>
          <w:color w:val="auto"/>
        </w:rPr>
      </w:pPr>
    </w:p>
    <w:p>
      <w:pPr>
        <w:ind w:firstLine="1305"/>
        <w:spacing w:after="0" w:line="308" w:lineRule="auto"/>
        <w:tabs>
          <w:tab w:leader="none" w:pos="1516"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Federal Reserve Regulations</w:t>
      </w:r>
      <w:r>
        <w:rPr>
          <w:rFonts w:ascii="Arial" w:cs="Arial" w:eastAsia="Arial" w:hAnsi="Arial"/>
          <w:sz w:val="17"/>
          <w:szCs w:val="17"/>
          <w:color w:val="auto"/>
        </w:rPr>
        <w:t>. No part of the proceeds of the Advance have been used or will be used, whether directly or indirectly,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purpose that entails a violation of any of the Regulations of the F.R.S. Board, including Regulations T, U and X of the F.R.S. Board.</w:t>
      </w:r>
    </w:p>
    <w:p>
      <w:pPr>
        <w:spacing w:after="0" w:line="146" w:lineRule="exact"/>
        <w:rPr>
          <w:rFonts w:ascii="Arial" w:cs="Arial" w:eastAsia="Arial" w:hAnsi="Arial"/>
          <w:sz w:val="17"/>
          <w:szCs w:val="17"/>
          <w:color w:val="auto"/>
        </w:rPr>
      </w:pPr>
    </w:p>
    <w:p>
      <w:pPr>
        <w:ind w:firstLine="1305"/>
        <w:spacing w:after="0" w:line="277" w:lineRule="auto"/>
        <w:tabs>
          <w:tab w:leader="none" w:pos="1615"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As of the Restatement Date, no Default, Event of Default, Event of Loss, Specified Significant Environmental Event or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Material Environmental Violation has occurred and is continuing.</w:t>
      </w:r>
    </w:p>
    <w:p>
      <w:pPr>
        <w:spacing w:after="0" w:line="170" w:lineRule="exact"/>
        <w:rPr>
          <w:rFonts w:ascii="Arial" w:cs="Arial" w:eastAsia="Arial" w:hAnsi="Arial"/>
          <w:sz w:val="18"/>
          <w:szCs w:val="18"/>
          <w:color w:val="auto"/>
        </w:rPr>
      </w:pPr>
    </w:p>
    <w:p>
      <w:pPr>
        <w:jc w:val="both"/>
        <w:ind w:firstLine="1305"/>
        <w:spacing w:after="0" w:line="254" w:lineRule="auto"/>
        <w:tabs>
          <w:tab w:leader="none" w:pos="1578"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Anti-Corruption Laws and Sanctions</w:t>
      </w:r>
      <w:r>
        <w:rPr>
          <w:rFonts w:ascii="Arial" w:cs="Arial" w:eastAsia="Arial" w:hAnsi="Arial"/>
          <w:sz w:val="18"/>
          <w:szCs w:val="18"/>
          <w:color w:val="auto"/>
        </w:rPr>
        <w:t>. The Parent Guarantor has implemented and maintains in effect policies and is implementing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reasonably designed to achieve material compliance by the Parent Guarantor, its Subsidiaries and their respective directors, officers, employees and agents with Anti-Corruption Laws and applicable Sanctions, and the Parent Guarantor, its Subsidiaries and, to the knowledge of the Parent Guarantor, their respective directors, officers, employees and agents, are in compliance with Anti-Corruption Laws and applicable Sanctions in all material respects. None of (a) the Parent Guarantor, any Subsidiary or to the knowledge of the Parent Guarantor or such Subsidiary any of their respective directors, officers or employees, or (b) to the knowledge of the Parent Guarantor, any agent of the Parent Guarantor or any Subsidiary that will act in any capacity in connection with or benefit from the credit facility established hereby, is a Sanctioned Person. No use of proceeds or Overall Transaction has violated any Anti-Corruption Law or applicable Sanctions.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38" w:name="page339"/>
    <w:bookmarkEnd w:id="338"/>
    <w:p>
      <w:pPr>
        <w:ind w:firstLine="1305"/>
        <w:spacing w:after="0" w:line="277" w:lineRule="auto"/>
        <w:tabs>
          <w:tab w:leader="none" w:pos="1551"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Certain Original Closing Date Representations. </w:t>
      </w:r>
      <w:r>
        <w:rPr>
          <w:rFonts w:ascii="Arial" w:cs="Arial" w:eastAsia="Arial" w:hAnsi="Arial"/>
          <w:sz w:val="18"/>
          <w:szCs w:val="18"/>
          <w:color w:val="auto"/>
        </w:rPr>
        <w:t>The representations and warranties set forth in clauses (o), (q), (s), (t) and (u) of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7 of the Original Guaranty were true and correct in all material respects as of the Original Closing Date.</w:t>
      </w:r>
    </w:p>
    <w:p>
      <w:pPr>
        <w:spacing w:after="0" w:line="170" w:lineRule="exact"/>
        <w:rPr>
          <w:rFonts w:ascii="Arial" w:cs="Arial" w:eastAsia="Arial" w:hAnsi="Arial"/>
          <w:sz w:val="18"/>
          <w:szCs w:val="18"/>
          <w:color w:val="auto"/>
        </w:rPr>
      </w:pPr>
    </w:p>
    <w:p>
      <w:pPr>
        <w:ind w:firstLine="1305"/>
        <w:spacing w:after="0" w:line="277" w:lineRule="auto"/>
        <w:tabs>
          <w:tab w:leader="none" w:pos="1565"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Environmental Condition of the Site</w:t>
      </w:r>
      <w:r>
        <w:rPr>
          <w:rFonts w:ascii="Arial" w:cs="Arial" w:eastAsia="Arial" w:hAnsi="Arial"/>
          <w:sz w:val="18"/>
          <w:szCs w:val="18"/>
          <w:color w:val="auto"/>
        </w:rPr>
        <w:t>. Except as set forth in the Environmental Audit described in Section 6.1(vi) of the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as could not reasonably be expected to result in a Material Adverse Effect:</w:t>
      </w:r>
    </w:p>
    <w:p>
      <w:pPr>
        <w:spacing w:after="0" w:line="170" w:lineRule="exact"/>
        <w:rPr>
          <w:rFonts w:ascii="Arial" w:cs="Arial" w:eastAsia="Arial" w:hAnsi="Arial"/>
          <w:sz w:val="18"/>
          <w:szCs w:val="18"/>
          <w:color w:val="auto"/>
        </w:rPr>
      </w:pPr>
    </w:p>
    <w:p>
      <w:pPr>
        <w:ind w:left="1300" w:right="20" w:firstLine="653"/>
        <w:spacing w:after="0" w:line="308" w:lineRule="auto"/>
        <w:tabs>
          <w:tab w:leader="none" w:pos="2189" w:val="left"/>
        </w:tabs>
        <w:numPr>
          <w:ilvl w:val="1"/>
          <w:numId w:val="249"/>
        </w:numPr>
        <w:rPr>
          <w:rFonts w:ascii="Arial" w:cs="Arial" w:eastAsia="Arial" w:hAnsi="Arial"/>
          <w:sz w:val="17"/>
          <w:szCs w:val="17"/>
          <w:color w:val="auto"/>
        </w:rPr>
      </w:pPr>
      <w:r>
        <w:rPr>
          <w:rFonts w:ascii="Arial" w:cs="Arial" w:eastAsia="Arial" w:hAnsi="Arial"/>
          <w:sz w:val="17"/>
          <w:szCs w:val="17"/>
          <w:color w:val="auto"/>
        </w:rPr>
        <w:t>neither the Parent Guarantor nor the Lessee has received any written notice of, or written inquiry from any Governmental Authority regarding, any Environmental Claim or any violation or non-compliance with Environmental Laws with regard to the Site;</w:t>
      </w:r>
    </w:p>
    <w:p>
      <w:pPr>
        <w:spacing w:after="0" w:line="146" w:lineRule="exact"/>
        <w:rPr>
          <w:rFonts w:ascii="Arial" w:cs="Arial" w:eastAsia="Arial" w:hAnsi="Arial"/>
          <w:sz w:val="17"/>
          <w:szCs w:val="17"/>
          <w:color w:val="auto"/>
        </w:rPr>
      </w:pPr>
    </w:p>
    <w:p>
      <w:pPr>
        <w:ind w:left="1300" w:right="20" w:firstLine="653"/>
        <w:spacing w:after="0" w:line="277" w:lineRule="auto"/>
        <w:tabs>
          <w:tab w:leader="none" w:pos="2244" w:val="left"/>
        </w:tabs>
        <w:numPr>
          <w:ilvl w:val="1"/>
          <w:numId w:val="249"/>
        </w:numPr>
        <w:rPr>
          <w:rFonts w:ascii="Arial" w:cs="Arial" w:eastAsia="Arial" w:hAnsi="Arial"/>
          <w:sz w:val="18"/>
          <w:szCs w:val="18"/>
          <w:color w:val="auto"/>
        </w:rPr>
      </w:pPr>
      <w:r>
        <w:rPr>
          <w:rFonts w:ascii="Arial" w:cs="Arial" w:eastAsia="Arial" w:hAnsi="Arial"/>
          <w:sz w:val="18"/>
          <w:szCs w:val="18"/>
          <w:color w:val="auto"/>
        </w:rPr>
        <w:t>neither the Parent Guarantor nor the Lessee has stored, released or transported any Hazardous Substances on the Leased Property or the Site in violation of Environmental Laws;</w:t>
      </w:r>
    </w:p>
    <w:p>
      <w:pPr>
        <w:spacing w:after="0" w:line="170" w:lineRule="exact"/>
        <w:rPr>
          <w:rFonts w:ascii="Arial" w:cs="Arial" w:eastAsia="Arial" w:hAnsi="Arial"/>
          <w:sz w:val="18"/>
          <w:szCs w:val="18"/>
          <w:color w:val="auto"/>
        </w:rPr>
      </w:pPr>
    </w:p>
    <w:p>
      <w:pPr>
        <w:ind w:left="1300" w:firstLine="653"/>
        <w:spacing w:after="0" w:line="277" w:lineRule="auto"/>
        <w:tabs>
          <w:tab w:leader="none" w:pos="2286"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Site does not contain any Hazardous Substance at, on or under the Site in amounts or concentrations that constitute a violation of Environmental Laws; and</w:t>
      </w:r>
    </w:p>
    <w:p>
      <w:pPr>
        <w:spacing w:after="0" w:line="170" w:lineRule="exact"/>
        <w:rPr>
          <w:rFonts w:ascii="Arial" w:cs="Arial" w:eastAsia="Arial" w:hAnsi="Arial"/>
          <w:sz w:val="18"/>
          <w:szCs w:val="18"/>
          <w:color w:val="auto"/>
        </w:rPr>
      </w:pPr>
    </w:p>
    <w:p>
      <w:pPr>
        <w:ind w:left="1300" w:firstLine="653"/>
        <w:spacing w:after="0" w:line="277" w:lineRule="auto"/>
        <w:tabs>
          <w:tab w:leader="none" w:pos="227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Parent Guarantor or Lessee has obtained all Governmental Approvals relating to the Site which are required of it under all Environmental Laws.</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jc w:val="both"/>
        <w:ind w:firstLine="1305"/>
        <w:spacing w:after="0" w:line="302" w:lineRule="auto"/>
        <w:tabs>
          <w:tab w:leader="none" w:pos="1521" w:val="left"/>
        </w:tabs>
        <w:numPr>
          <w:ilvl w:val="0"/>
          <w:numId w:val="249"/>
        </w:numPr>
        <w:rPr>
          <w:rFonts w:ascii="Arial" w:cs="Arial" w:eastAsia="Arial" w:hAnsi="Arial"/>
          <w:sz w:val="16"/>
          <w:szCs w:val="16"/>
          <w:color w:val="auto"/>
        </w:rPr>
      </w:pPr>
      <w:r>
        <w:rPr>
          <w:rFonts w:ascii="Arial" w:cs="Arial" w:eastAsia="Arial" w:hAnsi="Arial"/>
          <w:sz w:val="16"/>
          <w:szCs w:val="16"/>
          <w:i w:val="1"/>
          <w:iCs w:val="1"/>
          <w:color w:val="auto"/>
        </w:rPr>
        <w:t xml:space="preserve">Patents, Trademarks. </w:t>
      </w:r>
      <w:r>
        <w:rPr>
          <w:rFonts w:ascii="Arial" w:cs="Arial" w:eastAsia="Arial" w:hAnsi="Arial"/>
          <w:sz w:val="16"/>
          <w:szCs w:val="16"/>
          <w:color w:val="auto"/>
        </w:rPr>
        <w:t>There are no material patents, patent rights, trademarks, service marks, trade names, copyrights, licenses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rights with respect to the Leased Property that are necessary for the operation of the Leased Property by the Lessee, except to the extent that the Lessee has rights in respect thereof without material payment of royalties or other material licensing payments, which rights may be freely leased, licensed or otherwise provided to Lessor or any successor owner, lessee, user or operator of the Leased Property pursuant to the Operative Documents.</w:t>
      </w:r>
    </w:p>
    <w:p>
      <w:pPr>
        <w:spacing w:after="0" w:line="154" w:lineRule="exact"/>
        <w:rPr>
          <w:rFonts w:ascii="Arial" w:cs="Arial" w:eastAsia="Arial" w:hAnsi="Arial"/>
          <w:sz w:val="16"/>
          <w:szCs w:val="16"/>
          <w:color w:val="auto"/>
        </w:rPr>
      </w:pPr>
    </w:p>
    <w:p>
      <w:pPr>
        <w:ind w:left="1540" w:hanging="235"/>
        <w:spacing w:after="0"/>
        <w:tabs>
          <w:tab w:leader="none" w:pos="1540"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592"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The Facility and the Site are in compliance in all material respects with all Applicable Laws and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any present use and presently anticipated future use thereof by Lessee and its agents, assignees, employees, invitees, lessees, licensees and tenants comply in all material respects with all Applicable Laws, in any such case, except where any such noncompliance individually or in the aggregate could not reasonably be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39" w:name="page340"/>
    <w:bookmarkEnd w:id="339"/>
    <w:p>
      <w:pPr>
        <w:jc w:val="both"/>
        <w:spacing w:after="0" w:line="257" w:lineRule="auto"/>
        <w:rPr>
          <w:sz w:val="20"/>
          <w:szCs w:val="20"/>
          <w:color w:val="auto"/>
        </w:rPr>
      </w:pPr>
      <w:r>
        <w:rPr>
          <w:rFonts w:ascii="Arial" w:cs="Arial" w:eastAsia="Arial" w:hAnsi="Arial"/>
          <w:sz w:val="18"/>
          <w:szCs w:val="18"/>
          <w:color w:val="auto"/>
        </w:rPr>
        <w:t>expected to have a material adverse effect on Lessee’s ability to perform its material obligations under the Operative Documents. Except as could not reasonably be expected to have a Material Adverse Effect, no notices, complaints or orders of violation or noncompliance or liability have been issued to the Parent Guarantor or the Lessee or, to the best of the Parent Guarantor’s knowledge, threatened by any Person with respect to the Leased Property or the present or intended future use thereof, and the Parent Guarantor is not aware of any circumstances which could give rise to the issuance of any such notices, complaints or orders.</w:t>
      </w:r>
    </w:p>
    <w:p>
      <w:pPr>
        <w:spacing w:after="0" w:line="188" w:lineRule="exact"/>
        <w:rPr>
          <w:sz w:val="20"/>
          <w:szCs w:val="20"/>
          <w:color w:val="auto"/>
        </w:rPr>
      </w:pPr>
    </w:p>
    <w:p>
      <w:pPr>
        <w:jc w:val="both"/>
        <w:ind w:firstLine="1305"/>
        <w:spacing w:after="0" w:line="293" w:lineRule="auto"/>
        <w:tabs>
          <w:tab w:leader="none" w:pos="1591" w:val="left"/>
        </w:tabs>
        <w:numPr>
          <w:ilvl w:val="0"/>
          <w:numId w:val="250"/>
        </w:numPr>
        <w:rPr>
          <w:rFonts w:ascii="Arial" w:cs="Arial" w:eastAsia="Arial" w:hAnsi="Arial"/>
          <w:sz w:val="16"/>
          <w:szCs w:val="16"/>
          <w:color w:val="auto"/>
        </w:rPr>
      </w:pPr>
      <w:r>
        <w:rPr>
          <w:rFonts w:ascii="Arial" w:cs="Arial" w:eastAsia="Arial" w:hAnsi="Arial"/>
          <w:sz w:val="16"/>
          <w:szCs w:val="16"/>
          <w:i w:val="1"/>
          <w:iCs w:val="1"/>
          <w:color w:val="auto"/>
        </w:rPr>
        <w:t>Condition</w:t>
      </w:r>
      <w:r>
        <w:rPr>
          <w:rFonts w:ascii="Arial" w:cs="Arial" w:eastAsia="Arial" w:hAnsi="Arial"/>
          <w:sz w:val="16"/>
          <w:szCs w:val="16"/>
          <w:color w:val="auto"/>
        </w:rPr>
        <w:t>. Adequate utility facilities are available to the Leased Property over dedicated and accepted public streets and rights of way</w:t>
      </w:r>
      <w:r>
        <w:rPr>
          <w:rFonts w:ascii="Arial" w:cs="Arial" w:eastAsia="Arial" w:hAnsi="Arial"/>
          <w:sz w:val="16"/>
          <w:szCs w:val="16"/>
          <w:i w:val="1"/>
          <w:iCs w:val="1"/>
          <w:color w:val="auto"/>
        </w:rPr>
        <w:t xml:space="preserve"> </w:t>
      </w:r>
      <w:r>
        <w:rPr>
          <w:rFonts w:ascii="Arial" w:cs="Arial" w:eastAsia="Arial" w:hAnsi="Arial"/>
          <w:sz w:val="16"/>
          <w:szCs w:val="16"/>
          <w:color w:val="auto"/>
        </w:rPr>
        <w:t>or valid easements that run with the land. As of the Restatement Date, no fire or other Casualty with respect to the Leased Property has occurred which has had a Material Adverse Effect. Adequate ingress and egress to and from the Leased Property is available over dedicated and accepted public streets and rights-of-way or valid easements that run with the land. With respect to the Leased Property, all material licenses, permits and approvals (including, without limitation, material building and environmental permits, licenses, approvals, authorizations and consents) necessary and required for the use and operation of the Leased Property have been obtained from the appropriate Governmental Authorities having jurisdiction or from private parties, as the case may be.</w:t>
      </w:r>
    </w:p>
    <w:p>
      <w:pPr>
        <w:spacing w:after="0" w:line="164" w:lineRule="exact"/>
        <w:rPr>
          <w:rFonts w:ascii="Arial" w:cs="Arial" w:eastAsia="Arial" w:hAnsi="Arial"/>
          <w:sz w:val="16"/>
          <w:szCs w:val="16"/>
          <w:color w:val="auto"/>
        </w:rPr>
      </w:pPr>
    </w:p>
    <w:p>
      <w:pPr>
        <w:jc w:val="both"/>
        <w:ind w:firstLine="1305"/>
        <w:spacing w:after="0" w:line="264" w:lineRule="auto"/>
        <w:tabs>
          <w:tab w:leader="none" w:pos="1551"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Flood Hazard Areas</w:t>
      </w:r>
      <w:r>
        <w:rPr>
          <w:rFonts w:ascii="Arial" w:cs="Arial" w:eastAsia="Arial" w:hAnsi="Arial"/>
          <w:sz w:val="18"/>
          <w:szCs w:val="18"/>
          <w:color w:val="auto"/>
        </w:rPr>
        <w:t>. If the Site is located in an area identified as a special flood hazard area by the Federal Emergency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Agency or other applicable Governmental Authority, then, to the extent required by Applicable Laws, flood insurance has been obtained by Lessee in accordance with the National Flood Insurance Act of 1968, as amended.</w:t>
      </w:r>
    </w:p>
    <w:p>
      <w:pPr>
        <w:spacing w:after="0" w:line="181" w:lineRule="exact"/>
        <w:rPr>
          <w:rFonts w:ascii="Arial" w:cs="Arial" w:eastAsia="Arial" w:hAnsi="Arial"/>
          <w:sz w:val="18"/>
          <w:szCs w:val="18"/>
          <w:color w:val="auto"/>
        </w:rPr>
      </w:pPr>
    </w:p>
    <w:p>
      <w:pPr>
        <w:ind w:firstLine="1305"/>
        <w:spacing w:after="0" w:line="277" w:lineRule="auto"/>
        <w:tabs>
          <w:tab w:leader="none" w:pos="1551"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No Prohibited Transactions</w:t>
      </w:r>
      <w:r>
        <w:rPr>
          <w:rFonts w:ascii="Arial" w:cs="Arial" w:eastAsia="Arial" w:hAnsi="Arial"/>
          <w:sz w:val="18"/>
          <w:szCs w:val="18"/>
          <w:color w:val="auto"/>
        </w:rPr>
        <w:t>. None of the transactions contemplated by the Operative Documents will constitute a prohibited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meaning of Section 4975(c)(1)(A) through (D) of the Code.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Section 8. Guarantor Affirmative Covenants. </w:t>
      </w:r>
      <w:r>
        <w:rPr>
          <w:rFonts w:ascii="Arial" w:cs="Arial" w:eastAsia="Arial" w:hAnsi="Arial"/>
          <w:sz w:val="16"/>
          <w:szCs w:val="16"/>
          <w:color w:val="auto"/>
        </w:rPr>
        <w:t>The Parent Guarantor shall comply with the following covenants until all Liabilities have been paid in full:</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Financial Statements and Other Information</w:t>
      </w:r>
      <w:r>
        <w:rPr>
          <w:rFonts w:ascii="Arial" w:cs="Arial" w:eastAsia="Arial" w:hAnsi="Arial"/>
          <w:sz w:val="17"/>
          <w:szCs w:val="17"/>
          <w:color w:val="auto"/>
        </w:rPr>
        <w:t>. The Parent Guarantor will furnish to the Administrative Agent for distribution to each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jc w:val="both"/>
        <w:ind w:left="1300" w:firstLine="653"/>
        <w:spacing w:after="0" w:line="255" w:lineRule="auto"/>
        <w:tabs>
          <w:tab w:leader="none" w:pos="218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within ninety (90) days after the end of each fiscal year of the Parent Guarantor, its audited consolidated balance sheet and related statements of operations, stockholders’ equity and cash flows as of the end of and for such year, setting forth in each case in comparative form the figures for the previous fiscal year, prepared in accordance with GAAP consistently applied throughout the period covered thereby (except as expressly noted therein), with such audited balance sheet and related consolidated financial statements reported on by PricewaterhouseCoopers LLP or other independent public accountants of recognized national standing reasonably acceptable to the Administrative Agent (without a “going concern” or like qualification or exception and without any qualification or exception as to the scope of such audit) to the effect that such</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40" w:name="page341"/>
    <w:bookmarkEnd w:id="340"/>
    <w:p>
      <w:pPr>
        <w:jc w:val="both"/>
        <w:ind w:left="100"/>
        <w:spacing w:after="0" w:line="264" w:lineRule="auto"/>
        <w:rPr>
          <w:sz w:val="20"/>
          <w:szCs w:val="20"/>
          <w:color w:val="auto"/>
        </w:rPr>
      </w:pPr>
      <w:r>
        <w:rPr>
          <w:rFonts w:ascii="Arial" w:cs="Arial" w:eastAsia="Arial" w:hAnsi="Arial"/>
          <w:sz w:val="18"/>
          <w:szCs w:val="18"/>
          <w:color w:val="auto"/>
        </w:rPr>
        <w:t>consolidated financial statements present fairly in all material respects the financial position of the Parent Guarantor and its consolidated Subsidiaries as of the end of such fiscal year and their results of operations for sure fiscal year on a consolidated basis in accordance with GAAP;</w:t>
      </w:r>
    </w:p>
    <w:p>
      <w:pPr>
        <w:spacing w:after="0" w:line="181" w:lineRule="exact"/>
        <w:rPr>
          <w:sz w:val="20"/>
          <w:szCs w:val="20"/>
          <w:color w:val="auto"/>
        </w:rPr>
      </w:pPr>
    </w:p>
    <w:p>
      <w:pPr>
        <w:jc w:val="both"/>
        <w:ind w:left="100" w:firstLine="653"/>
        <w:spacing w:after="0" w:line="290" w:lineRule="auto"/>
        <w:tabs>
          <w:tab w:leader="none" w:pos="102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within forty-five (45) days after the end of each of the first three fiscal quarters of each fiscal year of the Parent Guarantor, its consolidated balance sheet and related statements of operations and cash flows as of the end of and for such fiscal quarter and the period commencing at the beginning of such fiscal year and ending with such fiscal quarter, setting forth in each case in comparative form the figures for the corresponding period or periods of (or, in the case of the balance sheet, as of the end of) the previous fiscal year, all certified on behalf of the Parent Guarantor by a Responsible Officer of the Parent Guarantor as presenting fairly in all material respects the financial position of the Parent Guarantor and its consolidated Subsidiaries as of the end of such fiscal quarter and their results and operations for the fiscal period covered thereby on a consolidated basis in accordance with GAAP consistently applied throughout the period covered thereby (except as otherwise expressly noted therein), subject to normal year-end audit adjustments and the absence of footnotes;</w:t>
      </w:r>
    </w:p>
    <w:p>
      <w:pPr>
        <w:spacing w:after="0" w:line="166" w:lineRule="exact"/>
        <w:rPr>
          <w:rFonts w:ascii="Arial" w:cs="Arial" w:eastAsia="Arial" w:hAnsi="Arial"/>
          <w:sz w:val="16"/>
          <w:szCs w:val="16"/>
          <w:color w:val="auto"/>
        </w:rPr>
      </w:pPr>
    </w:p>
    <w:p>
      <w:pPr>
        <w:jc w:val="both"/>
        <w:ind w:left="100" w:firstLine="653"/>
        <w:spacing w:after="0" w:line="253" w:lineRule="auto"/>
        <w:tabs>
          <w:tab w:leader="none" w:pos="107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concurrently with any delivery of financial statements under clause (i) or (ii) above, a certificate of a Responsible Officer of the Parent Guarantor delivered on behalf of the Parent Guarantor, (A) certifying as to whether, to the knowledge of such Responsible Officer, a Default has occurred and is continuing and, if a Default has occurred that is continuing, specifying the details thereof and any action taken or proposed to be taken with respect thereto, (B) setting forth reasonably detailed calculations demonstrating compliance with Sections 9(f) and (g), and (C) to the extent that any change in GAAP or application thereof has a material impact on the financial statements accompanying such certificate and such change and impact has not been noted in such financial statements, stating whether any such change in GAAP or in the application thereof has occurred since the date of the audited financial statements referred to in Section 6.2(xviii) of the Participation Agreement and, if any such change has occurred, specifying the effect of such change on such financial statements accompanying such certificate;</w:t>
      </w:r>
    </w:p>
    <w:p>
      <w:pPr>
        <w:spacing w:after="0" w:line="197" w:lineRule="exact"/>
        <w:rPr>
          <w:rFonts w:ascii="Arial" w:cs="Arial" w:eastAsia="Arial" w:hAnsi="Arial"/>
          <w:sz w:val="18"/>
          <w:szCs w:val="18"/>
          <w:color w:val="auto"/>
        </w:rPr>
      </w:pPr>
    </w:p>
    <w:p>
      <w:pPr>
        <w:jc w:val="both"/>
        <w:ind w:left="100" w:firstLine="653"/>
        <w:spacing w:after="0" w:line="259" w:lineRule="auto"/>
        <w:tabs>
          <w:tab w:leader="none" w:pos="10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annual, regular, periodic and special reports, proxy statements and registration statements (A) filed by the Parent Guarantor with the SEC (or any Governmental Authority succeeding to any or all of the functions of the SEC) or with any national securities exchange, or (B) distributed by the Parent Guarantor to its shareholders generally, as the case may be;</w:t>
      </w:r>
    </w:p>
    <w:p>
      <w:pPr>
        <w:spacing w:after="0" w:line="186" w:lineRule="exact"/>
        <w:rPr>
          <w:rFonts w:ascii="Arial" w:cs="Arial" w:eastAsia="Arial" w:hAnsi="Arial"/>
          <w:sz w:val="18"/>
          <w:szCs w:val="18"/>
          <w:color w:val="auto"/>
        </w:rPr>
      </w:pPr>
    </w:p>
    <w:p>
      <w:pPr>
        <w:ind w:left="100" w:right="20" w:firstLine="653"/>
        <w:spacing w:after="0" w:line="277" w:lineRule="auto"/>
        <w:tabs>
          <w:tab w:leader="none" w:pos="100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promptly after Moody’s or S&amp;P shall have announced a change in the rating established or deemed to have been established for the Index Debt, written notice of such rating change; and</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341" w:name="page342"/>
    <w:bookmarkEnd w:id="341"/>
    <w:p>
      <w:pPr>
        <w:jc w:val="both"/>
        <w:ind w:left="1300" w:firstLine="653"/>
        <w:spacing w:after="0" w:line="257" w:lineRule="auto"/>
        <w:tabs>
          <w:tab w:leader="none" w:pos="227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promptly following any request therefor, (i) such other information regarding the operations, business affairs and financial condition of the Parent Guarantor, Lessee or any Subsidiary, or compliance with the terms of the Participation Agreement, as the Administrative Agent or any Lender (acting through the Administrative Agent) may reasonably request and (ii) information and documentation reasonably requested by the Administrative Agent or any Participant for the purposes of compliance with applicable “know your customer” and anti-money laundering rules and regulations, including the Patriot Act.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Documents required to be delivered pursuant to clauses (i), (ii) and (iv) of this Section 8(a) (1) may be delivered electronically and (2) shall be deemed to have been delivered on the date on which such documents are (A) filed for public availability on the SEC’s Electronic Data Gathering and Retrieval System,</w:t>
      </w:r>
    </w:p>
    <w:p>
      <w:pPr>
        <w:jc w:val="both"/>
        <w:ind w:firstLine="8"/>
        <w:spacing w:after="0" w:line="254" w:lineRule="auto"/>
        <w:tabs>
          <w:tab w:leader="none" w:pos="28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posted or the Parent Guarantor provides a link thereto on http://www.regeneron.com or https://investor.regeneron.com or at another website identified in a notice from the Parent Guarantor and accessible by the Participants without charge; or (C) delivered to the Administrative Agent for posting on, or otherwise posted on the Parent Guarantor’s or Lessee’s behalf on, an Internet or intranet website, if any, to which the Administrative Agent has access (whether a commercial, third-party website or whether sponsored by the Administrative Agent).</w:t>
      </w:r>
    </w:p>
    <w:p>
      <w:pPr>
        <w:spacing w:after="0" w:line="189" w:lineRule="exact"/>
        <w:rPr>
          <w:rFonts w:ascii="Arial" w:cs="Arial" w:eastAsia="Arial" w:hAnsi="Arial"/>
          <w:sz w:val="18"/>
          <w:szCs w:val="18"/>
          <w:color w:val="auto"/>
        </w:rPr>
      </w:pPr>
    </w:p>
    <w:p>
      <w:pPr>
        <w:ind w:firstLine="1305"/>
        <w:spacing w:after="0" w:line="277" w:lineRule="auto"/>
        <w:tabs>
          <w:tab w:leader="none" w:pos="1551" w:val="left"/>
        </w:tabs>
        <w:numPr>
          <w:ilvl w:val="1"/>
          <w:numId w:val="254"/>
        </w:numPr>
        <w:rPr>
          <w:rFonts w:ascii="Arial" w:cs="Arial" w:eastAsia="Arial" w:hAnsi="Arial"/>
          <w:sz w:val="18"/>
          <w:szCs w:val="18"/>
          <w:color w:val="auto"/>
        </w:rPr>
      </w:pPr>
      <w:r>
        <w:rPr>
          <w:rFonts w:ascii="Arial" w:cs="Arial" w:eastAsia="Arial" w:hAnsi="Arial"/>
          <w:sz w:val="18"/>
          <w:szCs w:val="18"/>
          <w:i w:val="1"/>
          <w:iCs w:val="1"/>
          <w:color w:val="auto"/>
        </w:rPr>
        <w:t>Notices of Material Events</w:t>
      </w:r>
      <w:r>
        <w:rPr>
          <w:rFonts w:ascii="Arial" w:cs="Arial" w:eastAsia="Arial" w:hAnsi="Arial"/>
          <w:sz w:val="18"/>
          <w:szCs w:val="18"/>
          <w:color w:val="auto"/>
        </w:rPr>
        <w:t>. The Parent Guarantor will furnish to the Administrative Agent (for distribution to each Participant)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the following, promptly after a Responsible Officer of the Parent Guarantor has actual knowledge thereof:</w:t>
      </w:r>
    </w:p>
    <w:p>
      <w:pPr>
        <w:spacing w:after="0" w:line="170" w:lineRule="exact"/>
        <w:rPr>
          <w:rFonts w:ascii="Arial" w:cs="Arial" w:eastAsia="Arial" w:hAnsi="Arial"/>
          <w:sz w:val="18"/>
          <w:szCs w:val="18"/>
          <w:color w:val="auto"/>
        </w:rPr>
      </w:pPr>
    </w:p>
    <w:p>
      <w:pPr>
        <w:ind w:left="2160" w:hanging="207"/>
        <w:spacing w:after="0"/>
        <w:tabs>
          <w:tab w:leader="none" w:pos="2160" w:val="left"/>
        </w:tabs>
        <w:numPr>
          <w:ilvl w:val="2"/>
          <w:numId w:val="254"/>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left="1300" w:firstLine="653"/>
        <w:spacing w:after="0" w:line="342" w:lineRule="auto"/>
        <w:tabs>
          <w:tab w:leader="none" w:pos="2217" w:val="left"/>
        </w:tabs>
        <w:numPr>
          <w:ilvl w:val="2"/>
          <w:numId w:val="254"/>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affecting the Parent Guarantor, Lessee or any Subsidiary thereof that could reasonably be expected to result in a Material Adverse Effect;</w:t>
      </w:r>
    </w:p>
    <w:p>
      <w:pPr>
        <w:spacing w:after="0" w:line="123" w:lineRule="exact"/>
        <w:rPr>
          <w:rFonts w:ascii="Arial" w:cs="Arial" w:eastAsia="Arial" w:hAnsi="Arial"/>
          <w:sz w:val="16"/>
          <w:szCs w:val="16"/>
          <w:color w:val="auto"/>
        </w:rPr>
      </w:pPr>
    </w:p>
    <w:p>
      <w:pPr>
        <w:ind w:left="1300" w:firstLine="653"/>
        <w:spacing w:after="0" w:line="277" w:lineRule="auto"/>
        <w:tabs>
          <w:tab w:leader="none" w:pos="2266" w:val="left"/>
        </w:tabs>
        <w:numPr>
          <w:ilvl w:val="2"/>
          <w:numId w:val="254"/>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and</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2"/>
          <w:numId w:val="254"/>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notice delivered under this Section 8(b) shall be accompanied by a statement of a Responsible Officer of the Parent Guarantor setting forth in reasonable detail the event or development requiring such notice and any action taken or proposed to be taken with respect thereto. Information required to be delivered pursuant to clause (ii), (iii) and (iv) of this Section 8(b) shall be deemed to have been delivered if such information, or one or more annual, quarterly, current or other reports containing such information, is (A) filed for public availability on the SEC’s Electronic Data Gathering and Retrieval System, (B) posted or the Parent Guarantor provides a link thereto on http://www.regeneron.com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42" w:name="page343"/>
    <w:bookmarkEnd w:id="342"/>
    <w:p>
      <w:pPr>
        <w:jc w:val="both"/>
        <w:spacing w:after="0" w:line="257" w:lineRule="auto"/>
        <w:rPr>
          <w:sz w:val="20"/>
          <w:szCs w:val="20"/>
          <w:color w:val="auto"/>
        </w:rPr>
      </w:pPr>
      <w:r>
        <w:rPr>
          <w:rFonts w:ascii="Arial" w:cs="Arial" w:eastAsia="Arial" w:hAnsi="Arial"/>
          <w:sz w:val="18"/>
          <w:szCs w:val="18"/>
          <w:color w:val="auto"/>
        </w:rPr>
        <w:t>https://investor.regeneron.com or at another website identified in a notice from the Parent Guarantor and accessible by the Lenders without charge; or (C) delivered to the Administrative Agent for posting on, or otherwise posted on the Parent Guarantor’s or Lessee’s behalf on, an Internet or intranet website, if any, to which the Administrative Agent and the Participants have access (whether a commercial, third-party website or whether sponsored by the Administrative Agent). Information required to be delivered pursuant to this Section 8(b) may also be delivered by electronic communications pursuant to procedures approved by the Administrative Agent.</w:t>
      </w:r>
    </w:p>
    <w:p>
      <w:pPr>
        <w:spacing w:after="0" w:line="188" w:lineRule="exact"/>
        <w:rPr>
          <w:sz w:val="20"/>
          <w:szCs w:val="20"/>
          <w:color w:val="auto"/>
        </w:rPr>
      </w:pPr>
    </w:p>
    <w:p>
      <w:pPr>
        <w:jc w:val="both"/>
        <w:ind w:firstLine="1305"/>
        <w:spacing w:after="0" w:line="293" w:lineRule="auto"/>
        <w:tabs>
          <w:tab w:leader="none" w:pos="1555" w:val="left"/>
        </w:tabs>
        <w:numPr>
          <w:ilvl w:val="0"/>
          <w:numId w:val="255"/>
        </w:numPr>
        <w:rPr>
          <w:rFonts w:ascii="Arial" w:cs="Arial" w:eastAsia="Arial" w:hAnsi="Arial"/>
          <w:sz w:val="16"/>
          <w:szCs w:val="16"/>
          <w:color w:val="auto"/>
        </w:rPr>
      </w:pPr>
      <w:r>
        <w:rPr>
          <w:rFonts w:ascii="Arial" w:cs="Arial" w:eastAsia="Arial" w:hAnsi="Arial"/>
          <w:sz w:val="16"/>
          <w:szCs w:val="16"/>
          <w:i w:val="1"/>
          <w:iCs w:val="1"/>
          <w:color w:val="auto"/>
        </w:rPr>
        <w:t>Existence; Conduct of Business</w:t>
      </w:r>
      <w:r>
        <w:rPr>
          <w:rFonts w:ascii="Arial" w:cs="Arial" w:eastAsia="Arial" w:hAnsi="Arial"/>
          <w:sz w:val="16"/>
          <w:szCs w:val="16"/>
          <w:color w:val="auto"/>
        </w:rPr>
        <w:t>. The Parent Guarantor will, and will cause each other Subsidiary Guarantor, Lessee and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Material Subsidiaries to, (A) do or cause to be done all things necessary to preserve, renew and keep in full force and effect its legal existence and (B) take, or cause to be taken, all reasonable actions to maintain the rights, qualifications, licenses, permits, privileges, franchises, governmental authorizations and intellectual property rights material to the conduct of the business of the Parent Guarantor and its Subsidiaries taken as a whole, except, in the case of this clause (B), to the extent that failure to do so could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8(c) shall not prohibit any Permitted Restructurings, merger, consolidation, disposition, liquidation, dissolution or other transaction permitted under Section 9(c).</w:t>
      </w:r>
    </w:p>
    <w:p>
      <w:pPr>
        <w:spacing w:after="0" w:line="164" w:lineRule="exact"/>
        <w:rPr>
          <w:rFonts w:ascii="Arial" w:cs="Arial" w:eastAsia="Arial" w:hAnsi="Arial"/>
          <w:sz w:val="16"/>
          <w:szCs w:val="16"/>
          <w:color w:val="auto"/>
        </w:rPr>
      </w:pPr>
    </w:p>
    <w:p>
      <w:pPr>
        <w:jc w:val="both"/>
        <w:ind w:firstLine="1305"/>
        <w:spacing w:after="0" w:line="259" w:lineRule="auto"/>
        <w:tabs>
          <w:tab w:leader="none" w:pos="1551"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Payment of Taxes</w:t>
      </w:r>
      <w:r>
        <w:rPr>
          <w:rFonts w:ascii="Arial" w:cs="Arial" w:eastAsia="Arial" w:hAnsi="Arial"/>
          <w:sz w:val="18"/>
          <w:szCs w:val="18"/>
          <w:color w:val="auto"/>
        </w:rPr>
        <w:t>. The Parent Guarantor will, and will cause each of its Subsidiaries (including the Lessee) to, pay its Tax liabilities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if not paid, could reasonably be expected to result in a Material Adverse Effect before the same shall become delinquent or in default, except where Taxes that are being contested in good faith by appropriate proceedings and for which the Parent Guarantor and/or such Subsidiary, as applicable, has set aside on its books adequate reserves in accordance with GAAP.</w:t>
      </w:r>
    </w:p>
    <w:p>
      <w:pPr>
        <w:spacing w:after="0" w:line="186" w:lineRule="exact"/>
        <w:rPr>
          <w:rFonts w:ascii="Arial" w:cs="Arial" w:eastAsia="Arial" w:hAnsi="Arial"/>
          <w:sz w:val="18"/>
          <w:szCs w:val="18"/>
          <w:color w:val="auto"/>
        </w:rPr>
      </w:pPr>
    </w:p>
    <w:p>
      <w:pPr>
        <w:jc w:val="both"/>
        <w:ind w:firstLine="1305"/>
        <w:spacing w:after="0" w:line="273" w:lineRule="auto"/>
        <w:tabs>
          <w:tab w:leader="none" w:pos="1541" w:val="left"/>
        </w:tabs>
        <w:numPr>
          <w:ilvl w:val="0"/>
          <w:numId w:val="255"/>
        </w:numPr>
        <w:rPr>
          <w:rFonts w:ascii="Arial" w:cs="Arial" w:eastAsia="Arial" w:hAnsi="Arial"/>
          <w:sz w:val="17"/>
          <w:szCs w:val="17"/>
          <w:color w:val="auto"/>
        </w:rPr>
      </w:pPr>
      <w:r>
        <w:rPr>
          <w:rFonts w:ascii="Arial" w:cs="Arial" w:eastAsia="Arial" w:hAnsi="Arial"/>
          <w:sz w:val="17"/>
          <w:szCs w:val="17"/>
          <w:i w:val="1"/>
          <w:iCs w:val="1"/>
          <w:color w:val="auto"/>
        </w:rPr>
        <w:t>Maintenance of Properties; Insurance</w:t>
      </w:r>
      <w:r>
        <w:rPr>
          <w:rFonts w:ascii="Arial" w:cs="Arial" w:eastAsia="Arial" w:hAnsi="Arial"/>
          <w:sz w:val="17"/>
          <w:szCs w:val="17"/>
          <w:color w:val="auto"/>
        </w:rPr>
        <w:t>. The Parent Guarantor will, and will cause each of its Subsidiaries (including the Lessee) to, (i)</w:t>
      </w:r>
      <w:r>
        <w:rPr>
          <w:rFonts w:ascii="Arial" w:cs="Arial" w:eastAsia="Arial" w:hAnsi="Arial"/>
          <w:sz w:val="17"/>
          <w:szCs w:val="17"/>
          <w:i w:val="1"/>
          <w:iCs w:val="1"/>
          <w:color w:val="auto"/>
        </w:rPr>
        <w:t xml:space="preserve"> </w:t>
      </w:r>
      <w:r>
        <w:rPr>
          <w:rFonts w:ascii="Arial" w:cs="Arial" w:eastAsia="Arial" w:hAnsi="Arial"/>
          <w:sz w:val="17"/>
          <w:szCs w:val="17"/>
          <w:color w:val="auto"/>
        </w:rPr>
        <w:t>keep and maintain all other tangible property material to the conduct of its business in good working order and condition, ordinary wear and tear and casualty excepted and except (A) pursuant to transactions permitted by Section 9(c) or (B) where the failure to do so could not reasonably be expected to result in a Material Adverse Effect, and (ii) maintain, subject to Article XIII of the Lease, in all material respects, with carriers reasonably believed by the Parent Guarantor to be financially sound and reputable insurance or through reasonable and adequate self-insurance in such amounts and against such risks and such other hazards, as is customarily maintained by companies engaged in the same or similar businesses under similar circumstances.</w:t>
      </w:r>
    </w:p>
    <w:p>
      <w:pPr>
        <w:spacing w:after="0" w:line="178" w:lineRule="exact"/>
        <w:rPr>
          <w:rFonts w:ascii="Arial" w:cs="Arial" w:eastAsia="Arial" w:hAnsi="Arial"/>
          <w:sz w:val="17"/>
          <w:szCs w:val="17"/>
          <w:color w:val="auto"/>
        </w:rPr>
      </w:pPr>
    </w:p>
    <w:p>
      <w:pPr>
        <w:jc w:val="both"/>
        <w:ind w:firstLine="1305"/>
        <w:spacing w:after="0" w:line="255" w:lineRule="auto"/>
        <w:tabs>
          <w:tab w:leader="none" w:pos="1535"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Books and Records; Inspection Rights</w:t>
      </w:r>
      <w:r>
        <w:rPr>
          <w:rFonts w:ascii="Arial" w:cs="Arial" w:eastAsia="Arial" w:hAnsi="Arial"/>
          <w:sz w:val="18"/>
          <w:szCs w:val="18"/>
          <w:color w:val="auto"/>
        </w:rPr>
        <w:t>. The Parent Guarantor will, and will cause each of its Material Subsidiaries and the Lessee to,</w:t>
      </w:r>
      <w:r>
        <w:rPr>
          <w:rFonts w:ascii="Arial" w:cs="Arial" w:eastAsia="Arial" w:hAnsi="Arial"/>
          <w:sz w:val="18"/>
          <w:szCs w:val="18"/>
          <w:i w:val="1"/>
          <w:iCs w:val="1"/>
          <w:color w:val="auto"/>
        </w:rPr>
        <w:t xml:space="preserve"> </w:t>
      </w:r>
      <w:r>
        <w:rPr>
          <w:rFonts w:ascii="Arial" w:cs="Arial" w:eastAsia="Arial" w:hAnsi="Arial"/>
          <w:sz w:val="18"/>
          <w:szCs w:val="18"/>
          <w:color w:val="auto"/>
        </w:rPr>
        <w:t>keep proper books of record and account in which full, true and correct entries in conformity in all material respects with applicable law are made of all material financial dealings and transactions in relation to its business and activities and, subject to Section 8(a)(ii), in form permitting financial statements conforming with GAAP or IFRS (as applicable) to be derived therefrom. The Parent Guarantor will, and will cause each of its Subsidiaries (including the Lessee) to, permit any representatives designated by the Lessor and/or Administrative Agent, to visit and inspect its properties, to examine and make extracts from its books and records and to discuss its affairs, finances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43" w:name="page344"/>
    <w:bookmarkEnd w:id="343"/>
    <w:p>
      <w:pPr>
        <w:jc w:val="both"/>
        <w:spacing w:after="0" w:line="268" w:lineRule="auto"/>
        <w:rPr>
          <w:sz w:val="20"/>
          <w:szCs w:val="20"/>
          <w:color w:val="auto"/>
        </w:rPr>
      </w:pPr>
      <w:r>
        <w:rPr>
          <w:rFonts w:ascii="Arial" w:cs="Arial" w:eastAsia="Arial" w:hAnsi="Arial"/>
          <w:sz w:val="17"/>
          <w:szCs w:val="17"/>
          <w:color w:val="auto"/>
        </w:rPr>
        <w:t xml:space="preserve">condition with its Responsible Officers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Parent Guarantor or such Subsidiary is afforded the opportunity to participate in such discussion, its independent accountants, in any such case, at reasonable times during normal business hours and as often as reasonably requested upon reasonable prior written notice to the Parent Guarantor, and subject to reasonably requirements of confidentiality, including requirements imposed by law or by contract;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 long as no Event of Default has occurred and is continuing, none of the Guarantors or Lessee shall be required to reimburse the Lessor or Administrative Agent or any of their respective representatives for fees, costs and expenses in connection with the Administrative Agent’s or the Lessor’s exercise of such rights set forth in this sentence more than one time total in any calendar year. The Parent Guarantor acknowledges that, subject to Section 15.14 of the Participation Agreement, the Administrative Agent or Lessor, after exercising its rights of inspection, may prepare and distribute to the Participants certain reports pertaining to the assets of the Parent Guarantor, Lessee and/or any Subsidiary for internal use by the Administrative Agent, the Lessor and the Lenders in connection with the transactions contemplated hereby. Notwithstanding anything to the contrary in this Section 8 or any other provision of any Operative Document, neither the Parent Guarantor nor any of its Subsidiaries will be required to disclose, permit the inspection, examination or making of extracts, or discussion of, any documents, information or other matter that (1) constitutes non-financial trade secrets or non-financial proprietary information, (2) in respect of which disclosure to the Administrative Agent or any Participant (or any designated representative) is then prohibited by law, rule or regulation or any agreement binding on the Parent Guarantor or any of its Subsidiaries or (3) is subject to attorney-client or similar privilege or constitutes attorney work-product.</w:t>
      </w:r>
    </w:p>
    <w:p>
      <w:pPr>
        <w:spacing w:after="0" w:line="185" w:lineRule="exact"/>
        <w:rPr>
          <w:sz w:val="20"/>
          <w:szCs w:val="20"/>
          <w:color w:val="auto"/>
        </w:rPr>
      </w:pPr>
    </w:p>
    <w:p>
      <w:pPr>
        <w:jc w:val="both"/>
        <w:ind w:firstLine="1305"/>
        <w:spacing w:after="0" w:line="291" w:lineRule="auto"/>
        <w:tabs>
          <w:tab w:leader="none" w:pos="1565" w:val="left"/>
        </w:tabs>
        <w:numPr>
          <w:ilvl w:val="1"/>
          <w:numId w:val="256"/>
        </w:numPr>
        <w:rPr>
          <w:rFonts w:ascii="Arial" w:cs="Arial" w:eastAsia="Arial" w:hAnsi="Arial"/>
          <w:sz w:val="16"/>
          <w:szCs w:val="16"/>
          <w:color w:val="auto"/>
        </w:rPr>
      </w:pPr>
      <w:r>
        <w:rPr>
          <w:rFonts w:ascii="Arial" w:cs="Arial" w:eastAsia="Arial" w:hAnsi="Arial"/>
          <w:sz w:val="16"/>
          <w:szCs w:val="16"/>
          <w:i w:val="1"/>
          <w:iCs w:val="1"/>
          <w:color w:val="auto"/>
        </w:rPr>
        <w:t>Compliance with Laws</w:t>
      </w:r>
      <w:r>
        <w:rPr>
          <w:rFonts w:ascii="Arial" w:cs="Arial" w:eastAsia="Arial" w:hAnsi="Arial"/>
          <w:sz w:val="16"/>
          <w:szCs w:val="16"/>
          <w:color w:val="auto"/>
        </w:rPr>
        <w:t>. The Parent Guarantor will, and will cause each of its Subsidiaries (including the Lessee) to, comply with all</w:t>
      </w:r>
      <w:r>
        <w:rPr>
          <w:rFonts w:ascii="Arial" w:cs="Arial" w:eastAsia="Arial" w:hAnsi="Arial"/>
          <w:sz w:val="16"/>
          <w:szCs w:val="16"/>
          <w:i w:val="1"/>
          <w:iCs w:val="1"/>
          <w:color w:val="auto"/>
        </w:rPr>
        <w:t xml:space="preserve"> </w:t>
      </w:r>
      <w:r>
        <w:rPr>
          <w:rFonts w:ascii="Arial" w:cs="Arial" w:eastAsia="Arial" w:hAnsi="Arial"/>
          <w:sz w:val="16"/>
          <w:szCs w:val="16"/>
          <w:color w:val="auto"/>
        </w:rPr>
        <w:t>laws, rules, regulations and orders of any Governmental Authority applicable to it or its property (including without limitation Environmental Laws), except</w:t>
      </w:r>
    </w:p>
    <w:p>
      <w:pPr>
        <w:jc w:val="both"/>
        <w:ind w:firstLine="8"/>
        <w:spacing w:after="0" w:line="254" w:lineRule="auto"/>
        <w:tabs>
          <w:tab w:leader="none" w:pos="22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for Disclosed Matters or (ii) where the failure to do so could not reasonably be expected to result in a Material Adverse Effect. The Parent Guarantor will maintain in effect and enforce policies and is implementing and will maintain procedures reasonably designed to achieve material compliance by the Parent Guarantor, its Subsidiaries (including the Lessee) and their respective directors, officers, employees and agents with Anti-Corruption Laws and applicable Sanctions.</w:t>
      </w:r>
    </w:p>
    <w:p>
      <w:pPr>
        <w:spacing w:after="0" w:line="189" w:lineRule="exact"/>
        <w:rPr>
          <w:rFonts w:ascii="Arial" w:cs="Arial" w:eastAsia="Arial" w:hAnsi="Arial"/>
          <w:sz w:val="18"/>
          <w:szCs w:val="18"/>
          <w:color w:val="auto"/>
        </w:rPr>
      </w:pPr>
    </w:p>
    <w:p>
      <w:pPr>
        <w:jc w:val="both"/>
        <w:ind w:firstLine="1305"/>
        <w:spacing w:after="0" w:line="271" w:lineRule="auto"/>
        <w:tabs>
          <w:tab w:leader="none" w:pos="1551" w:val="left"/>
        </w:tabs>
        <w:numPr>
          <w:ilvl w:val="1"/>
          <w:numId w:val="257"/>
        </w:numPr>
        <w:rPr>
          <w:rFonts w:ascii="Arial" w:cs="Arial" w:eastAsia="Arial" w:hAnsi="Arial"/>
          <w:sz w:val="17"/>
          <w:szCs w:val="17"/>
          <w:color w:val="auto"/>
        </w:rPr>
      </w:pPr>
      <w:r>
        <w:rPr>
          <w:rFonts w:ascii="Arial" w:cs="Arial" w:eastAsia="Arial" w:hAnsi="Arial"/>
          <w:sz w:val="17"/>
          <w:szCs w:val="17"/>
          <w:i w:val="1"/>
          <w:iCs w:val="1"/>
          <w:color w:val="auto"/>
        </w:rPr>
        <w:t xml:space="preserve">Additional Subsidiary Guarantors. </w:t>
      </w:r>
      <w:r>
        <w:rPr>
          <w:rFonts w:ascii="Arial" w:cs="Arial" w:eastAsia="Arial" w:hAnsi="Arial"/>
          <w:sz w:val="17"/>
          <w:szCs w:val="17"/>
          <w:color w:val="auto"/>
        </w:rPr>
        <w:t>Within forty-five (45) days (or such later date as may be agreed upon by the Required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after which financial statements have been delivered pursuant to Section 8(a)(i) and any Person (other than the Lessee) qualifies as a Material Domestic Subsidiary pursuant to the definition of “Material Subsidiary” in accordance with the calculations in such financial statements, the Parent Guarantor shall provide the Administrative Agent with written notice thereof and shall cause each such Subsidiary to execute and deliver to the Administrative Agent the Guaranty (or a joinder thereto in the form contemplated thereby) pursuant to which such Subsidiary agrees to be bound by the terms and provisions thereof, the Guaranty (or joinder thereto) to be accompanied by requisite organizational resolutions, other organizational or constitutional documentation and legal opinions as may be reasonably requested by the Administrative Agent (with any such opinion so requested to be in form and substance reasonably satisfactory to the Administrative Agent but, 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44" w:name="page345"/>
    <w:bookmarkEnd w:id="344"/>
    <w:p>
      <w:pPr>
        <w:jc w:val="both"/>
        <w:spacing w:after="0" w:line="279" w:lineRule="auto"/>
        <w:rPr>
          <w:sz w:val="20"/>
          <w:szCs w:val="20"/>
          <w:color w:val="auto"/>
        </w:rPr>
      </w:pPr>
      <w:r>
        <w:rPr>
          <w:rFonts w:ascii="Arial" w:cs="Arial" w:eastAsia="Arial" w:hAnsi="Arial"/>
          <w:sz w:val="17"/>
          <w:szCs w:val="17"/>
          <w:color w:val="auto"/>
        </w:rPr>
        <w:t>any case, limited to the types of matters covered in any legal opinion delivered pursuant to Article VI of the Participation Agreement). Each guarantor and each borrower under the Bank Credit Agreement that is a Domestic Subsidiary (and not (x) the Lessee or (y) an Excluded Subsidiary pursuant to any of clauses (a) through (d) of the definition thereof) shall be party to this Guaranty, subject to Section 17 hereof. Notwithstanding anything to the contrary in any Operative Document, no Excluded Subsidiary shall be required to become a Subsidiary Guarantor.</w:t>
      </w:r>
    </w:p>
    <w:p>
      <w:pPr>
        <w:spacing w:after="0" w:line="171" w:lineRule="exact"/>
        <w:rPr>
          <w:sz w:val="20"/>
          <w:szCs w:val="20"/>
          <w:color w:val="auto"/>
        </w:rPr>
      </w:pPr>
    </w:p>
    <w:p>
      <w:pPr>
        <w:jc w:val="both"/>
        <w:ind w:firstLine="1305"/>
        <w:spacing w:after="0" w:line="255" w:lineRule="auto"/>
        <w:tabs>
          <w:tab w:leader="none" w:pos="1511" w:val="left"/>
        </w:tabs>
        <w:numPr>
          <w:ilvl w:val="0"/>
          <w:numId w:val="258"/>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proceeds of the Advance will be used only to pay for Participant Costs. No part of the proceeds of the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used, whether directly or indirectly, for any purpose that entails a violation of any of the Regulations of the F.R.S. Board, including Regulations T, U and X of the F.R.S. Board. The Parent Guarantor shall procure that its Subsidiaries (including the Lessee) and its or their respective directors, officers, employees and agents shall not use, the proceeds of the Advance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Section 9. Guarantor Negative Covenants. </w:t>
      </w:r>
      <w:r>
        <w:rPr>
          <w:rFonts w:ascii="Arial" w:cs="Arial" w:eastAsia="Arial" w:hAnsi="Arial"/>
          <w:sz w:val="16"/>
          <w:szCs w:val="16"/>
          <w:color w:val="auto"/>
        </w:rPr>
        <w:t>The Parent Guarantor shall comply with the following covenants until all Liabilities have been paid in full:</w:t>
      </w:r>
    </w:p>
    <w:p>
      <w:pPr>
        <w:spacing w:after="0" w:line="248" w:lineRule="exact"/>
        <w:rPr>
          <w:sz w:val="20"/>
          <w:szCs w:val="20"/>
          <w:color w:val="auto"/>
        </w:rPr>
      </w:pPr>
    </w:p>
    <w:p>
      <w:pPr>
        <w:ind w:right="20" w:firstLine="1305"/>
        <w:spacing w:after="0" w:line="277" w:lineRule="auto"/>
        <w:tabs>
          <w:tab w:leader="none" w:pos="1541" w:val="left"/>
        </w:tabs>
        <w:numPr>
          <w:ilvl w:val="0"/>
          <w:numId w:val="259"/>
        </w:numPr>
        <w:rPr>
          <w:rFonts w:ascii="Arial" w:cs="Arial" w:eastAsia="Arial" w:hAnsi="Arial"/>
          <w:sz w:val="18"/>
          <w:szCs w:val="18"/>
          <w:color w:val="auto"/>
        </w:rPr>
      </w:pPr>
      <w:r>
        <w:rPr>
          <w:rFonts w:ascii="Arial" w:cs="Arial" w:eastAsia="Arial" w:hAnsi="Arial"/>
          <w:sz w:val="18"/>
          <w:szCs w:val="18"/>
          <w:i w:val="1"/>
          <w:iCs w:val="1"/>
          <w:color w:val="auto"/>
        </w:rPr>
        <w:t>Subsidiary Indebtedness</w:t>
      </w:r>
      <w:r>
        <w:rPr>
          <w:rFonts w:ascii="Arial" w:cs="Arial" w:eastAsia="Arial" w:hAnsi="Arial"/>
          <w:sz w:val="18"/>
          <w:szCs w:val="18"/>
          <w:color w:val="auto"/>
        </w:rPr>
        <w:t>. The Parent Guarantor will not permit Lessee or any other Subsidiary to create, incur, assume or permit to exist</w:t>
      </w:r>
      <w:r>
        <w:rPr>
          <w:rFonts w:ascii="Arial" w:cs="Arial" w:eastAsia="Arial" w:hAnsi="Arial"/>
          <w:sz w:val="18"/>
          <w:szCs w:val="18"/>
          <w:i w:val="1"/>
          <w:iCs w:val="1"/>
          <w:color w:val="auto"/>
        </w:rPr>
        <w:t xml:space="preserve"> </w:t>
      </w:r>
      <w:r>
        <w:rPr>
          <w:rFonts w:ascii="Arial" w:cs="Arial" w:eastAsia="Arial" w:hAnsi="Arial"/>
          <w:sz w:val="18"/>
          <w:szCs w:val="18"/>
          <w:color w:val="auto"/>
        </w:rPr>
        <w:t>any Indebtedness, except:</w:t>
      </w:r>
    </w:p>
    <w:p>
      <w:pPr>
        <w:spacing w:after="0" w:line="170" w:lineRule="exact"/>
        <w:rPr>
          <w:rFonts w:ascii="Arial" w:cs="Arial" w:eastAsia="Arial" w:hAnsi="Arial"/>
          <w:sz w:val="18"/>
          <w:szCs w:val="18"/>
          <w:color w:val="auto"/>
        </w:rPr>
      </w:pPr>
    </w:p>
    <w:p>
      <w:pPr>
        <w:ind w:left="2160" w:hanging="207"/>
        <w:spacing w:after="0"/>
        <w:tabs>
          <w:tab w:leader="none" w:pos="2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300" w:firstLine="653"/>
        <w:spacing w:after="0" w:line="259" w:lineRule="auto"/>
        <w:tabs>
          <w:tab w:leader="none" w:pos="22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Indebtedness existing on the Restatement Date and set forth in Schedule 9(a) and amendments, modifications, extensions, refinancings, renewals and replacements of any such Indebtedness that does not increase the outstanding principal amount thereof (other than with respect to unpaid accrued interest and premium thereon, any committed or undrawn amounts and underwriting discounts, fees, commissions, premiums and expenses associated with such Indebtedness);</w:t>
      </w:r>
    </w:p>
    <w:p>
      <w:pPr>
        <w:spacing w:after="0" w:line="186" w:lineRule="exact"/>
        <w:rPr>
          <w:rFonts w:ascii="Arial" w:cs="Arial" w:eastAsia="Arial" w:hAnsi="Arial"/>
          <w:sz w:val="18"/>
          <w:szCs w:val="18"/>
          <w:color w:val="auto"/>
        </w:rPr>
      </w:pPr>
    </w:p>
    <w:p>
      <w:pPr>
        <w:ind w:left="2260" w:hanging="307"/>
        <w:spacing w:after="0"/>
        <w:tabs>
          <w:tab w:leader="none" w:pos="22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Indebtedness of any Subsidiary to the Parent Guarantor or any other Subsidiary;</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Guarantees by any Subsidiary of Indebtedness or other obligations of the Parent Guarantor or any other Subsidiary;</w:t>
      </w:r>
    </w:p>
    <w:p>
      <w:pPr>
        <w:spacing w:after="0" w:line="236" w:lineRule="exact"/>
        <w:rPr>
          <w:rFonts w:ascii="Arial" w:cs="Arial" w:eastAsia="Arial" w:hAnsi="Arial"/>
          <w:sz w:val="17"/>
          <w:szCs w:val="17"/>
          <w:color w:val="auto"/>
        </w:rPr>
      </w:pPr>
    </w:p>
    <w:p>
      <w:pPr>
        <w:jc w:val="both"/>
        <w:ind w:left="1300" w:firstLine="653"/>
        <w:spacing w:after="0" w:line="264" w:lineRule="auto"/>
        <w:tabs>
          <w:tab w:leader="none" w:pos="2212"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Indebtedness of any Subsidiary incurred to finance the acquisition, construction, repair, replacement, lease or improvement of any fixed or capital assets, including Capital Lease Obligations and any Indebtedness assumed in connection with the acquisition of any such assets or secured by a Lien on 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45" w:name="page346"/>
    <w:bookmarkEnd w:id="345"/>
    <w:p>
      <w:pPr>
        <w:jc w:val="both"/>
        <w:ind w:left="100"/>
        <w:spacing w:after="0" w:line="279" w:lineRule="auto"/>
        <w:rPr>
          <w:sz w:val="20"/>
          <w:szCs w:val="20"/>
          <w:color w:val="auto"/>
        </w:rPr>
      </w:pPr>
      <w:r>
        <w:rPr>
          <w:rFonts w:ascii="Arial" w:cs="Arial" w:eastAsia="Arial" w:hAnsi="Arial"/>
          <w:sz w:val="17"/>
          <w:szCs w:val="17"/>
          <w:color w:val="auto"/>
        </w:rPr>
        <w:t xml:space="preserve">such assets prior to the acquisition thereof, and amendments, modifications, extensions, refinancings, renewals and replacements of any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Indebtedness is initially incurred prior to or within one hundred eighty (180) days after such acquisition or the completion of such construction, repair, replacement, lease or improvement and (B) the aggregate outstanding principal amount of Indebtedness permitted by this clause (v) shall not exceed $75,000,000 at any time outstanding;</w:t>
      </w:r>
    </w:p>
    <w:p>
      <w:pPr>
        <w:spacing w:after="0" w:line="171" w:lineRule="exact"/>
        <w:rPr>
          <w:sz w:val="20"/>
          <w:szCs w:val="20"/>
          <w:color w:val="auto"/>
        </w:rPr>
      </w:pPr>
    </w:p>
    <w:p>
      <w:pPr>
        <w:ind w:left="1060" w:hanging="307"/>
        <w:spacing w:after="0"/>
        <w:tabs>
          <w:tab w:leader="none" w:pos="10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Indebtedness of any Subsidiary as an account party in respect of letters of credit, bank guarantees, letters of guaranty or similar</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instruments;</w:t>
      </w:r>
    </w:p>
    <w:p>
      <w:pPr>
        <w:spacing w:after="0" w:line="210" w:lineRule="exact"/>
        <w:rPr>
          <w:rFonts w:ascii="Arial" w:cs="Arial" w:eastAsia="Arial" w:hAnsi="Arial"/>
          <w:sz w:val="16"/>
          <w:szCs w:val="16"/>
          <w:color w:val="auto"/>
        </w:rPr>
      </w:pPr>
    </w:p>
    <w:p>
      <w:pPr>
        <w:ind w:left="100" w:firstLine="653"/>
        <w:spacing w:after="0" w:line="277" w:lineRule="auto"/>
        <w:tabs>
          <w:tab w:leader="none" w:pos="111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unfunded pension fund and other employee benefit plan obligations and liabilities to the extent they are permitted to remain unfunded under applicable law;</w:t>
      </w:r>
    </w:p>
    <w:p>
      <w:pPr>
        <w:spacing w:after="0" w:line="170" w:lineRule="exact"/>
        <w:rPr>
          <w:rFonts w:ascii="Arial" w:cs="Arial" w:eastAsia="Arial" w:hAnsi="Arial"/>
          <w:sz w:val="18"/>
          <w:szCs w:val="18"/>
          <w:color w:val="auto"/>
        </w:rPr>
      </w:pPr>
    </w:p>
    <w:p>
      <w:pPr>
        <w:ind w:left="1160" w:hanging="407"/>
        <w:spacing w:after="0"/>
        <w:tabs>
          <w:tab w:leader="none" w:pos="1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incurred in the ordinary course of business;</w:t>
      </w:r>
    </w:p>
    <w:p>
      <w:pPr>
        <w:spacing w:after="0" w:line="225" w:lineRule="exact"/>
        <w:rPr>
          <w:rFonts w:ascii="Arial" w:cs="Arial" w:eastAsia="Arial" w:hAnsi="Arial"/>
          <w:sz w:val="18"/>
          <w:szCs w:val="18"/>
          <w:color w:val="auto"/>
        </w:rPr>
      </w:pPr>
    </w:p>
    <w:p>
      <w:pPr>
        <w:ind w:left="100" w:firstLine="653"/>
        <w:spacing w:after="0" w:line="277" w:lineRule="auto"/>
        <w:tabs>
          <w:tab w:leader="none" w:pos="105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Guarantees, surety bonds or performance bonds securing the performance of any Subsidiary, in each case incurred or assumed in connection with an Acquisition or disposition or other acquisition of assets not prohibited hereunder;</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00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Indebtedness of any Subsidiary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pacing w:after="0" w:line="181" w:lineRule="exact"/>
        <w:rPr>
          <w:rFonts w:ascii="Arial" w:cs="Arial" w:eastAsia="Arial" w:hAnsi="Arial"/>
          <w:sz w:val="18"/>
          <w:szCs w:val="18"/>
          <w:color w:val="auto"/>
        </w:rPr>
      </w:pPr>
    </w:p>
    <w:p>
      <w:pPr>
        <w:jc w:val="both"/>
        <w:ind w:left="100" w:firstLine="653"/>
        <w:spacing w:after="0" w:line="312" w:lineRule="auto"/>
        <w:tabs>
          <w:tab w:leader="none" w:pos="1066"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Indebtedness arising from the honoring by a bank or other financial institution of a check, draft or similar instrument drawn against insufficient funds in the ordinary course of business or otherwise in respect of any netting services, overdrafts and related liabilities arising from treasury, depository and cash management services or in connection with any automated clearing-house transfers of funds;</w:t>
      </w:r>
    </w:p>
    <w:p>
      <w:pPr>
        <w:spacing w:after="0" w:line="146" w:lineRule="exact"/>
        <w:rPr>
          <w:rFonts w:ascii="Arial" w:cs="Arial" w:eastAsia="Arial" w:hAnsi="Arial"/>
          <w:sz w:val="16"/>
          <w:szCs w:val="16"/>
          <w:color w:val="auto"/>
        </w:rPr>
      </w:pPr>
    </w:p>
    <w:p>
      <w:pPr>
        <w:ind w:left="1100" w:hanging="347"/>
        <w:spacing w:after="0"/>
        <w:tabs>
          <w:tab w:leader="none" w:pos="11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Indebtedness in respect to judgments or awards under circumstances not giving rise to an Event of Default;</w:t>
      </w:r>
    </w:p>
    <w:p>
      <w:pPr>
        <w:spacing w:after="0" w:line="225" w:lineRule="exact"/>
        <w:rPr>
          <w:rFonts w:ascii="Arial" w:cs="Arial" w:eastAsia="Arial" w:hAnsi="Arial"/>
          <w:sz w:val="18"/>
          <w:szCs w:val="18"/>
          <w:color w:val="auto"/>
        </w:rPr>
      </w:pPr>
    </w:p>
    <w:p>
      <w:pPr>
        <w:ind w:left="1160" w:hanging="407"/>
        <w:spacing w:after="0"/>
        <w:tabs>
          <w:tab w:leader="none" w:pos="1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Indebtedness in respect of obligations that are being contested in accordance with Section 8(d);</w:t>
      </w:r>
    </w:p>
    <w:p>
      <w:pPr>
        <w:spacing w:after="0" w:line="225" w:lineRule="exact"/>
        <w:rPr>
          <w:rFonts w:ascii="Arial" w:cs="Arial" w:eastAsia="Arial" w:hAnsi="Arial"/>
          <w:sz w:val="18"/>
          <w:szCs w:val="18"/>
          <w:color w:val="auto"/>
        </w:rPr>
      </w:pPr>
    </w:p>
    <w:p>
      <w:pPr>
        <w:jc w:val="both"/>
        <w:ind w:left="100" w:firstLine="653"/>
        <w:spacing w:after="0" w:line="264" w:lineRule="auto"/>
        <w:tabs>
          <w:tab w:leader="none" w:pos="116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Indebtedness consisting of (A) deferred payments or financing of insurance premiums incurred in the ordinary course of business of any Subsidiary and (B) take or pay obligations contained in any supply agreement entered into in the ordinary course of business;</w:t>
      </w:r>
    </w:p>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346" w:name="page347"/>
    <w:bookmarkEnd w:id="346"/>
    <w:p>
      <w:pPr>
        <w:jc w:val="both"/>
        <w:ind w:left="100" w:firstLine="653"/>
        <w:spacing w:after="0" w:line="264" w:lineRule="auto"/>
        <w:tabs>
          <w:tab w:leader="none" w:pos="113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Indebtedness representing deferred compensation, severance, pension, and health and welfare retirement benefits or the equivalent to current and former employees of the Parent Guarantor or any Subsidiary incurred in the ordinary course of business or existing on the Restatement Date;</w:t>
      </w:r>
    </w:p>
    <w:p>
      <w:pPr>
        <w:spacing w:after="0" w:line="181" w:lineRule="exact"/>
        <w:rPr>
          <w:rFonts w:ascii="Arial" w:cs="Arial" w:eastAsia="Arial" w:hAnsi="Arial"/>
          <w:sz w:val="18"/>
          <w:szCs w:val="18"/>
          <w:color w:val="auto"/>
        </w:rPr>
      </w:pPr>
    </w:p>
    <w:p>
      <w:pPr>
        <w:ind w:left="100" w:firstLine="653"/>
        <w:spacing w:after="0" w:line="277" w:lineRule="auto"/>
        <w:tabs>
          <w:tab w:leader="none" w:pos="116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customer advances or deposits or other endorsements for collection, deposit or negotiation and warranties of products or services, in each case received or incurred in the ordinary course of business;</w:t>
      </w:r>
    </w:p>
    <w:p>
      <w:pPr>
        <w:spacing w:after="0" w:line="170" w:lineRule="exact"/>
        <w:rPr>
          <w:rFonts w:ascii="Arial" w:cs="Arial" w:eastAsia="Arial" w:hAnsi="Arial"/>
          <w:sz w:val="18"/>
          <w:szCs w:val="18"/>
          <w:color w:val="auto"/>
        </w:rPr>
      </w:pPr>
    </w:p>
    <w:p>
      <w:pPr>
        <w:jc w:val="both"/>
        <w:ind w:left="100" w:firstLine="653"/>
        <w:spacing w:after="0" w:line="273" w:lineRule="auto"/>
        <w:tabs>
          <w:tab w:leader="none" w:pos="120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Priority Indebtedness of any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after giving effect to the incurrence of any such Priority Indebtedness in reliance on this clause (xvii), the sum of (without duplication) (i) the aggregate principal amount of all such Priority Indebtedness outstanding in reliance on this clause (xvii),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aggregate principal amount of Indebtedness and other obligations of the Parent Guarantor and its Subsidiaries secured by Liens in reliance on Section 9(b)(xix)(B) 9(b)(xix)(C), shall not exceed fifteen percent (15%) of the Parent Guarantor’s Consolidated Net Worth (determined as of the last day of the most recent fiscal quarter for which financial statements shall have been delivered pursuant to Section 8(a)(i) or Section 8(a)(ii);</w:t>
      </w:r>
    </w:p>
    <w:p>
      <w:pPr>
        <w:spacing w:after="0" w:line="178" w:lineRule="exact"/>
        <w:rPr>
          <w:rFonts w:ascii="Arial" w:cs="Arial" w:eastAsia="Arial" w:hAnsi="Arial"/>
          <w:sz w:val="17"/>
          <w:szCs w:val="17"/>
          <w:color w:val="auto"/>
        </w:rPr>
      </w:pPr>
    </w:p>
    <w:p>
      <w:pPr>
        <w:jc w:val="both"/>
        <w:ind w:left="100" w:firstLine="653"/>
        <w:spacing w:after="0" w:line="264" w:lineRule="auto"/>
        <w:tabs>
          <w:tab w:leader="none" w:pos="125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unsecured Indebtedness of the Lessee or any other Subsidiary so long as at the time of and immediately after giving effect on a pro forma basis to the incurrence of such Indebtedness (A) no Event of Default shall have occurred and be continuing and (B) the Parent Guarantor shall be in compliance with the financial covenants set forth in Sections 9(f) and (g);</w:t>
      </w:r>
    </w:p>
    <w:p>
      <w:pPr>
        <w:spacing w:after="0" w:line="181" w:lineRule="exact"/>
        <w:rPr>
          <w:rFonts w:ascii="Arial" w:cs="Arial" w:eastAsia="Arial" w:hAnsi="Arial"/>
          <w:sz w:val="18"/>
          <w:szCs w:val="18"/>
          <w:color w:val="auto"/>
        </w:rPr>
      </w:pPr>
    </w:p>
    <w:p>
      <w:pPr>
        <w:ind w:left="1140" w:hanging="387"/>
        <w:spacing w:after="0"/>
        <w:tabs>
          <w:tab w:leader="none" w:pos="11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other Indebtedness in an aggregate outstanding principal amount not to exceed $75,000,000;</w:t>
      </w:r>
    </w:p>
    <w:p>
      <w:pPr>
        <w:spacing w:after="0" w:line="225" w:lineRule="exact"/>
        <w:rPr>
          <w:rFonts w:ascii="Arial" w:cs="Arial" w:eastAsia="Arial" w:hAnsi="Arial"/>
          <w:sz w:val="18"/>
          <w:szCs w:val="18"/>
          <w:color w:val="auto"/>
        </w:rPr>
      </w:pPr>
    </w:p>
    <w:p>
      <w:pPr>
        <w:jc w:val="both"/>
        <w:ind w:left="100" w:firstLine="653"/>
        <w:spacing w:after="0" w:line="257" w:lineRule="auto"/>
        <w:tabs>
          <w:tab w:leader="none" w:pos="11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Indebtedness assumed by any Subsidiary in connection with any Acquisition or other acquisition of any property or assets or Indebtedness of any Person that becomes a Subsidiary after the Restatement Date in a transaction not prohibited hereby, and amendments, modifications, extensions, refinancings, renewals and replacements of any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is not incurred in contemplation of such acquisition and (B) the aggregate outstanding principal amount of such Indebtedness does not exceed $200,000,000;</w:t>
      </w:r>
    </w:p>
    <w:p>
      <w:pPr>
        <w:spacing w:after="0" w:line="188" w:lineRule="exact"/>
        <w:rPr>
          <w:rFonts w:ascii="Arial" w:cs="Arial" w:eastAsia="Arial" w:hAnsi="Arial"/>
          <w:sz w:val="18"/>
          <w:szCs w:val="18"/>
          <w:color w:val="auto"/>
        </w:rPr>
      </w:pPr>
    </w:p>
    <w:p>
      <w:pPr>
        <w:jc w:val="both"/>
        <w:ind w:left="100" w:firstLine="653"/>
        <w:spacing w:after="0" w:line="276" w:lineRule="auto"/>
        <w:tabs>
          <w:tab w:leader="none" w:pos="116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“Obligations” (as defined in the Bank Credit Agreement) in an aggregate principal amount of up to $1,000,000,000, including any additional “Commitments” and/or “Incremental Term Loans” (as such terms are defined therein) pursuant to Section 2.20 of the Bank Credit Agreement, any “Specified Ancillary Obligations” or other defined term of similar import (as defined in the Bank Credit Agreement), and any amendments, modifications, extensions, refinancings, renewals and replacements of any such Indebtedness to the extent not resulting in the aggregate principal amount of all Indebtedness outstanding at</w:t>
      </w:r>
    </w:p>
    <w:p>
      <w:pPr>
        <w:spacing w:after="0" w:line="1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347" w:name="page348"/>
    <w:bookmarkEnd w:id="347"/>
    <w:p>
      <w:pPr>
        <w:jc w:val="both"/>
        <w:ind w:left="1300"/>
        <w:spacing w:after="0" w:line="259" w:lineRule="auto"/>
        <w:rPr>
          <w:sz w:val="20"/>
          <w:szCs w:val="20"/>
          <w:color w:val="auto"/>
        </w:rPr>
      </w:pPr>
      <w:r>
        <w:rPr>
          <w:rFonts w:ascii="Arial" w:cs="Arial" w:eastAsia="Arial" w:hAnsi="Arial"/>
          <w:sz w:val="18"/>
          <w:szCs w:val="18"/>
          <w:color w:val="auto"/>
        </w:rPr>
        <w:t>any time pursuant to this Section 9(a)(xxi) exceeding $1,000,000,000 (other than with respect to increases pursuant to any such amendment, modification, extension, refinancing, renewal and/or replacement on account of unpaid accrued interest and premium on such Indebtedness, any committed or undrawn amounts and underwriting discounts, fees, commissions, premiums and expenses associated with such Indebtedness);</w:t>
      </w:r>
    </w:p>
    <w:p>
      <w:pPr>
        <w:spacing w:after="0" w:line="187" w:lineRule="exact"/>
        <w:rPr>
          <w:sz w:val="20"/>
          <w:szCs w:val="20"/>
          <w:color w:val="auto"/>
        </w:rPr>
      </w:pPr>
    </w:p>
    <w:p>
      <w:pPr>
        <w:ind w:left="1300" w:firstLine="653"/>
        <w:spacing w:after="0" w:line="277" w:lineRule="auto"/>
        <w:tabs>
          <w:tab w:leader="none" w:pos="241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Indebtedness of the Lessee or any Subsidiary incurred to develop Permitted Developed Areas, Undeveloped Areas and/or Permitted Development Projects; and</w:t>
      </w:r>
    </w:p>
    <w:p>
      <w:pPr>
        <w:spacing w:after="0" w:line="170" w:lineRule="exact"/>
        <w:rPr>
          <w:rFonts w:ascii="Arial" w:cs="Arial" w:eastAsia="Arial" w:hAnsi="Arial"/>
          <w:sz w:val="18"/>
          <w:szCs w:val="18"/>
          <w:color w:val="auto"/>
        </w:rPr>
      </w:pPr>
    </w:p>
    <w:p>
      <w:pPr>
        <w:jc w:val="both"/>
        <w:ind w:left="1300" w:firstLine="653"/>
        <w:spacing w:after="0" w:line="302" w:lineRule="auto"/>
        <w:tabs>
          <w:tab w:leader="none" w:pos="2446" w:val="left"/>
        </w:tabs>
        <w:numPr>
          <w:ilvl w:val="1"/>
          <w:numId w:val="262"/>
        </w:numPr>
        <w:rPr>
          <w:rFonts w:ascii="Arial" w:cs="Arial" w:eastAsia="Arial" w:hAnsi="Arial"/>
          <w:sz w:val="16"/>
          <w:szCs w:val="16"/>
          <w:color w:val="auto"/>
        </w:rPr>
      </w:pPr>
      <w:r>
        <w:rPr>
          <w:rFonts w:ascii="Arial" w:cs="Arial" w:eastAsia="Arial" w:hAnsi="Arial"/>
          <w:sz w:val="16"/>
          <w:szCs w:val="16"/>
          <w:color w:val="auto"/>
        </w:rPr>
        <w:t>liabilities incurred in the ordinary course of business relating to the ownership and operation of the Leased Property and the routine administration of Lessee, in amounts not to exceed six percent (6%) of the principal balance of the Loans, which liabilities are not more than sixty (60) days past the date invoiced (unless being contested in good faith in accordance with the terms of this Guaranty and the other Operative Documents), are not evidenced by a note, and which amounts are normal and reasonable under the circumstance.</w:t>
      </w:r>
    </w:p>
    <w:p>
      <w:pPr>
        <w:spacing w:after="0" w:line="154" w:lineRule="exact"/>
        <w:rPr>
          <w:rFonts w:ascii="Arial" w:cs="Arial" w:eastAsia="Arial" w:hAnsi="Arial"/>
          <w:sz w:val="16"/>
          <w:szCs w:val="16"/>
          <w:color w:val="auto"/>
        </w:rPr>
      </w:pPr>
    </w:p>
    <w:p>
      <w:pPr>
        <w:ind w:firstLine="1305"/>
        <w:spacing w:after="0" w:line="308" w:lineRule="auto"/>
        <w:tabs>
          <w:tab w:leader="none" w:pos="1551" w:val="left"/>
        </w:tabs>
        <w:numPr>
          <w:ilvl w:val="0"/>
          <w:numId w:val="263"/>
        </w:numPr>
        <w:rPr>
          <w:rFonts w:ascii="Arial" w:cs="Arial" w:eastAsia="Arial" w:hAnsi="Arial"/>
          <w:sz w:val="17"/>
          <w:szCs w:val="17"/>
          <w:color w:val="auto"/>
        </w:rPr>
      </w:pPr>
      <w:r>
        <w:rPr>
          <w:rFonts w:ascii="Arial" w:cs="Arial" w:eastAsia="Arial" w:hAnsi="Arial"/>
          <w:sz w:val="17"/>
          <w:szCs w:val="17"/>
          <w:i w:val="1"/>
          <w:iCs w:val="1"/>
          <w:color w:val="auto"/>
        </w:rPr>
        <w:t>Liens</w:t>
      </w:r>
      <w:r>
        <w:rPr>
          <w:rFonts w:ascii="Arial" w:cs="Arial" w:eastAsia="Arial" w:hAnsi="Arial"/>
          <w:sz w:val="17"/>
          <w:szCs w:val="17"/>
          <w:color w:val="auto"/>
        </w:rPr>
        <w:t>. The Parent Guarantor will not, and will not permit Lessee or any other Subsidiary to, create, incur, assume or permit to exist any</w:t>
      </w:r>
      <w:r>
        <w:rPr>
          <w:rFonts w:ascii="Arial" w:cs="Arial" w:eastAsia="Arial" w:hAnsi="Arial"/>
          <w:sz w:val="17"/>
          <w:szCs w:val="17"/>
          <w:i w:val="1"/>
          <w:iCs w:val="1"/>
          <w:color w:val="auto"/>
        </w:rPr>
        <w:t xml:space="preserve"> </w:t>
      </w:r>
      <w:r>
        <w:rPr>
          <w:rFonts w:ascii="Arial" w:cs="Arial" w:eastAsia="Arial" w:hAnsi="Arial"/>
          <w:sz w:val="17"/>
          <w:szCs w:val="17"/>
          <w:color w:val="auto"/>
        </w:rPr>
        <w:t>Lien on (y) the Leased Property other than Permitted Liens or (z) any other property or asset now owned or hereafter acquired by it except:</w:t>
      </w:r>
    </w:p>
    <w:p>
      <w:pPr>
        <w:spacing w:after="0" w:line="146" w:lineRule="exact"/>
        <w:rPr>
          <w:rFonts w:ascii="Arial" w:cs="Arial" w:eastAsia="Arial" w:hAnsi="Arial"/>
          <w:sz w:val="17"/>
          <w:szCs w:val="17"/>
          <w:color w:val="auto"/>
        </w:rPr>
      </w:pPr>
    </w:p>
    <w:p>
      <w:pPr>
        <w:ind w:left="2160" w:hanging="207"/>
        <w:spacing w:after="0"/>
        <w:tabs>
          <w:tab w:leader="none" w:pos="2160" w:val="left"/>
        </w:tabs>
        <w:numPr>
          <w:ilvl w:val="1"/>
          <w:numId w:val="263"/>
        </w:numPr>
        <w:rPr>
          <w:rFonts w:ascii="Arial" w:cs="Arial" w:eastAsia="Arial" w:hAnsi="Arial"/>
          <w:sz w:val="16"/>
          <w:szCs w:val="16"/>
          <w:color w:val="auto"/>
        </w:rPr>
      </w:pPr>
      <w:r>
        <w:rPr>
          <w:rFonts w:ascii="Arial" w:cs="Arial" w:eastAsia="Arial" w:hAnsi="Arial"/>
          <w:sz w:val="16"/>
          <w:szCs w:val="16"/>
          <w:color w:val="auto"/>
        </w:rPr>
        <w:t>Liens (if any) created pursuant to any Operative Document including with respect to any obligation to provide cash collateral;</w:t>
      </w:r>
    </w:p>
    <w:p>
      <w:pPr>
        <w:spacing w:after="0" w:line="248" w:lineRule="exact"/>
        <w:rPr>
          <w:rFonts w:ascii="Arial" w:cs="Arial" w:eastAsia="Arial" w:hAnsi="Arial"/>
          <w:sz w:val="16"/>
          <w:szCs w:val="16"/>
          <w:color w:val="auto"/>
        </w:rPr>
      </w:pPr>
    </w:p>
    <w:p>
      <w:pPr>
        <w:ind w:left="2220" w:hanging="267"/>
        <w:spacing w:after="0"/>
        <w:tabs>
          <w:tab w:leader="none" w:pos="22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Permitted Encumbrances and Permitted Liens;</w:t>
      </w:r>
    </w:p>
    <w:p>
      <w:pPr>
        <w:spacing w:after="0" w:line="225" w:lineRule="exact"/>
        <w:rPr>
          <w:rFonts w:ascii="Arial" w:cs="Arial" w:eastAsia="Arial" w:hAnsi="Arial"/>
          <w:sz w:val="18"/>
          <w:szCs w:val="18"/>
          <w:color w:val="auto"/>
        </w:rPr>
      </w:pPr>
    </w:p>
    <w:p>
      <w:pPr>
        <w:jc w:val="both"/>
        <w:ind w:left="1300" w:firstLine="653"/>
        <w:spacing w:after="0" w:line="290" w:lineRule="auto"/>
        <w:tabs>
          <w:tab w:leader="none" w:pos="2268" w:val="left"/>
        </w:tabs>
        <w:numPr>
          <w:ilvl w:val="1"/>
          <w:numId w:val="263"/>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Parent Guarantor or any Subsidiary existing on the Restatement Date and set forth in Schedule 9(b) and any amendments, modifications, extensions, renewals, refinancings and replacements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Lien shall not apply to any other property or asset of the Parent Guarantor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(2) the amount secured or benefited thereby is not increased (other than as not otherwise prohibited by this Guaranty) and amendments, modifications, extensions, refinancings, renewals and replacements thereof that do not increase the outstanding principal amount thereof (other than as not otherwise prohibited by this Guaranty);</w:t>
      </w:r>
    </w:p>
    <w:p>
      <w:pPr>
        <w:spacing w:after="0" w:line="166" w:lineRule="exact"/>
        <w:rPr>
          <w:rFonts w:ascii="Arial" w:cs="Arial" w:eastAsia="Arial" w:hAnsi="Arial"/>
          <w:sz w:val="16"/>
          <w:szCs w:val="16"/>
          <w:color w:val="auto"/>
        </w:rPr>
      </w:pPr>
    </w:p>
    <w:p>
      <w:pPr>
        <w:ind w:left="2260" w:hanging="307"/>
        <w:spacing w:after="0"/>
        <w:tabs>
          <w:tab w:leader="none" w:pos="22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Lien existing on any property or asset prior to the acquisition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48" w:name="page349"/>
    <w:bookmarkEnd w:id="348"/>
    <w:p>
      <w:pPr>
        <w:jc w:val="both"/>
        <w:ind w:left="100"/>
        <w:spacing w:after="0" w:line="269" w:lineRule="auto"/>
        <w:rPr>
          <w:sz w:val="20"/>
          <w:szCs w:val="20"/>
          <w:color w:val="auto"/>
        </w:rPr>
      </w:pPr>
      <w:r>
        <w:rPr>
          <w:rFonts w:ascii="Arial" w:cs="Arial" w:eastAsia="Arial" w:hAnsi="Arial"/>
          <w:sz w:val="17"/>
          <w:szCs w:val="17"/>
          <w:color w:val="auto"/>
        </w:rPr>
        <w:t xml:space="preserve">thereof by the Parent Guarantor or any Subsidiary or existing on any property or asset of any Person that becomes a Subsidiary after the Restatement Date prior to the time such Person becomes a Subsidiary or existing on any asset of any Person existing at the time such Person is merged into or consolidated with the Parent Guarantor or a Subsidiary and any amendments, modifications, extensions, renewals and replacements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such Lien is not created in contemplation of or in connection with such acquisition or such Person becoming a Subsidiary, as the case may be, (2) such Lien shall not apply to any other property or assets of the Parent Guarantor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(3) such Lien shall secure only those obligations which it secures on the date of such acquisition or the date such Person becomes a Subsidiary or the date of such merger or consolidation, as the case may be, and amendments, modifications, extensions, refinancings, renewals and replacements thereof that do not increase the outstanding principal amount thereof (other than as not prohibited by this Guaranty);</w:t>
      </w:r>
    </w:p>
    <w:p>
      <w:pPr>
        <w:spacing w:after="0" w:line="180" w:lineRule="exact"/>
        <w:rPr>
          <w:sz w:val="20"/>
          <w:szCs w:val="20"/>
          <w:color w:val="auto"/>
        </w:rPr>
      </w:pPr>
    </w:p>
    <w:p>
      <w:pPr>
        <w:jc w:val="both"/>
        <w:ind w:left="100" w:firstLine="653"/>
        <w:spacing w:after="0" w:line="289" w:lineRule="auto"/>
        <w:tabs>
          <w:tab w:leader="none" w:pos="101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Liens on assets (including capital leases) acquired (including as a replacement), constructed, repaired, leased or improved by the Parent Guarantor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Liens secure Indebtedness or Capital Lease Obligations of the Parent Guarantor or any Subsidiary permitted by Section 9(a)(v) (or, in the case of the Parent Guarantor, that would have been permitted by Section 9(a)(v) had such Indebtedness or Capital Lease Obligations instead been incurred by a Subsidiary), (B) such Liens and the Indebtedness secured thereby are initially incurred prior to or within one hundred eighty (180) days after such acquisition or lease or the completion of such construction, replacement, repair or improvement and (C) such Liens shall not apply to any other property or assets of the Parent Guarantor or any Subsidiary other than improvements thereon, replacements and products thereof, additions and accessions thereto or proceeds thereof and customary security deposits;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individual financings of equipment provided by one lender (or a syndicate of lenders) may be cross-collateralized to other financings of equipment provided by such lender (or syndicate);</w:t>
      </w:r>
    </w:p>
    <w:p>
      <w:pPr>
        <w:spacing w:after="0" w:line="166" w:lineRule="exact"/>
        <w:rPr>
          <w:rFonts w:ascii="Arial" w:cs="Arial" w:eastAsia="Arial" w:hAnsi="Arial"/>
          <w:sz w:val="16"/>
          <w:szCs w:val="16"/>
          <w:color w:val="auto"/>
        </w:rPr>
      </w:pPr>
    </w:p>
    <w:p>
      <w:pPr>
        <w:jc w:val="both"/>
        <w:ind w:left="100" w:firstLine="653"/>
        <w:spacing w:after="0" w:line="276" w:lineRule="auto"/>
        <w:tabs>
          <w:tab w:leader="none" w:pos="1069" w:val="left"/>
        </w:tabs>
        <w:numPr>
          <w:ilvl w:val="0"/>
          <w:numId w:val="264"/>
        </w:numPr>
        <w:rPr>
          <w:rFonts w:ascii="Arial" w:cs="Arial" w:eastAsia="Arial" w:hAnsi="Arial"/>
          <w:sz w:val="17"/>
          <w:szCs w:val="17"/>
          <w:color w:val="auto"/>
        </w:rPr>
      </w:pPr>
      <w:r>
        <w:rPr>
          <w:rFonts w:ascii="Arial" w:cs="Arial" w:eastAsia="Arial" w:hAnsi="Arial"/>
          <w:sz w:val="17"/>
          <w:szCs w:val="17"/>
          <w:color w:val="auto"/>
        </w:rPr>
        <w:t>Liens granted by (i) a Subsidiary that is not a Subsidiary Guarantor in favor of the Parent Guarantor, the Lessee or another Subsidiary in respect of Indebtedness or other obligations owed by such Subsidiary to the Parent Guarantor, the Lessee or such other Subsidiary and (ii) Lessee, a Guarantor or a Bank Credit Agreement Specified Loan Party in favor of another Guarantor, another Bank Credit Agreement Specified Loan Party or Lessee in respect of Indebtedness or other obligations owed by Lessee, such Guarantor or such Bank Credit Agreement Specified Loan Party to such other Guarantor, such other Bank</w:t>
      </w:r>
    </w:p>
    <w:p>
      <w:pPr>
        <w:spacing w:after="0" w:line="1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349" w:name="page350"/>
    <w:bookmarkEnd w:id="349"/>
    <w:p>
      <w:pPr>
        <w:ind w:left="100"/>
        <w:spacing w:after="0"/>
        <w:rPr>
          <w:sz w:val="20"/>
          <w:szCs w:val="20"/>
          <w:color w:val="auto"/>
        </w:rPr>
      </w:pPr>
      <w:r>
        <w:rPr>
          <w:rFonts w:ascii="Arial" w:cs="Arial" w:eastAsia="Arial" w:hAnsi="Arial"/>
          <w:sz w:val="18"/>
          <w:szCs w:val="18"/>
          <w:color w:val="auto"/>
        </w:rPr>
        <w:t>Credit Agreement Specified Loan Party or Lessee;</w:t>
      </w:r>
    </w:p>
    <w:p>
      <w:pPr>
        <w:spacing w:after="0" w:line="225" w:lineRule="exact"/>
        <w:rPr>
          <w:sz w:val="20"/>
          <w:szCs w:val="20"/>
          <w:color w:val="auto"/>
        </w:rPr>
      </w:pPr>
    </w:p>
    <w:p>
      <w:pPr>
        <w:ind w:left="100" w:firstLine="653"/>
        <w:spacing w:after="0" w:line="277" w:lineRule="auto"/>
        <w:tabs>
          <w:tab w:leader="none" w:pos="1128" w:val="left"/>
        </w:tabs>
        <w:numPr>
          <w:ilvl w:val="1"/>
          <w:numId w:val="265"/>
        </w:numPr>
        <w:rPr>
          <w:rFonts w:ascii="Arial" w:cs="Arial" w:eastAsia="Arial" w:hAnsi="Arial"/>
          <w:sz w:val="18"/>
          <w:szCs w:val="18"/>
          <w:color w:val="auto"/>
        </w:rPr>
      </w:pPr>
      <w:r>
        <w:rPr>
          <w:rFonts w:ascii="Arial" w:cs="Arial" w:eastAsia="Arial" w:hAnsi="Arial"/>
          <w:sz w:val="18"/>
          <w:szCs w:val="18"/>
          <w:color w:val="auto"/>
        </w:rPr>
        <w:t>Liens arising out of any conditional sale, title retention, consignment or other similar arrangements for the sale of goods entered into by the Parent Guarantor or any of its Subsidiaries the ordinary course of business;</w:t>
      </w:r>
    </w:p>
    <w:p>
      <w:pPr>
        <w:spacing w:after="0" w:line="170" w:lineRule="exact"/>
        <w:rPr>
          <w:rFonts w:ascii="Arial" w:cs="Arial" w:eastAsia="Arial" w:hAnsi="Arial"/>
          <w:sz w:val="18"/>
          <w:szCs w:val="18"/>
          <w:color w:val="auto"/>
        </w:rPr>
      </w:pPr>
    </w:p>
    <w:p>
      <w:pPr>
        <w:ind w:left="1160" w:hanging="407"/>
        <w:spacing w:after="0"/>
        <w:tabs>
          <w:tab w:leader="none" w:pos="11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Liens securing the financing of insurance premiums solely to the extent of such premiums;</w:t>
      </w:r>
    </w:p>
    <w:p>
      <w:pPr>
        <w:spacing w:after="0" w:line="225" w:lineRule="exact"/>
        <w:rPr>
          <w:rFonts w:ascii="Arial" w:cs="Arial" w:eastAsia="Arial" w:hAnsi="Arial"/>
          <w:sz w:val="18"/>
          <w:szCs w:val="18"/>
          <w:color w:val="auto"/>
        </w:rPr>
      </w:pPr>
    </w:p>
    <w:p>
      <w:pPr>
        <w:jc w:val="both"/>
        <w:ind w:left="100" w:firstLine="653"/>
        <w:spacing w:after="0" w:line="279" w:lineRule="auto"/>
        <w:tabs>
          <w:tab w:leader="none" w:pos="1057" w:val="left"/>
        </w:tabs>
        <w:numPr>
          <w:ilvl w:val="1"/>
          <w:numId w:val="265"/>
        </w:numPr>
        <w:rPr>
          <w:rFonts w:ascii="Arial" w:cs="Arial" w:eastAsia="Arial" w:hAnsi="Arial"/>
          <w:sz w:val="17"/>
          <w:szCs w:val="17"/>
          <w:color w:val="auto"/>
        </w:rPr>
      </w:pPr>
      <w:r>
        <w:rPr>
          <w:rFonts w:ascii="Arial" w:cs="Arial" w:eastAsia="Arial" w:hAnsi="Arial"/>
          <w:sz w:val="17"/>
          <w:szCs w:val="17"/>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71" w:lineRule="exact"/>
        <w:rPr>
          <w:rFonts w:ascii="Arial" w:cs="Arial" w:eastAsia="Arial" w:hAnsi="Arial"/>
          <w:sz w:val="17"/>
          <w:szCs w:val="17"/>
          <w:color w:val="auto"/>
        </w:rPr>
      </w:pPr>
    </w:p>
    <w:p>
      <w:pPr>
        <w:ind w:left="100" w:firstLine="653"/>
        <w:spacing w:after="0" w:line="277" w:lineRule="auto"/>
        <w:tabs>
          <w:tab w:leader="none" w:pos="1008" w:val="left"/>
        </w:tabs>
        <w:numPr>
          <w:ilvl w:val="1"/>
          <w:numId w:val="26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07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Liens on any cash earnest money deposits made by the Parent Guarantor or any of its Subsidiaries in connection with an Acquisition or other investment not prohibited hereunder, including, without limitation, in connection with any letter of intent or purchase agreement relating thereto;</w:t>
      </w:r>
    </w:p>
    <w:p>
      <w:pPr>
        <w:spacing w:after="0" w:line="181" w:lineRule="exact"/>
        <w:rPr>
          <w:rFonts w:ascii="Arial" w:cs="Arial" w:eastAsia="Arial" w:hAnsi="Arial"/>
          <w:sz w:val="18"/>
          <w:szCs w:val="18"/>
          <w:color w:val="auto"/>
        </w:rPr>
      </w:pPr>
    </w:p>
    <w:p>
      <w:pPr>
        <w:ind w:left="100" w:firstLine="653"/>
        <w:spacing w:after="0" w:line="277" w:lineRule="auto"/>
        <w:tabs>
          <w:tab w:leader="none" w:pos="1109" w:val="left"/>
        </w:tabs>
        <w:numPr>
          <w:ilvl w:val="1"/>
          <w:numId w:val="265"/>
        </w:numPr>
        <w:rPr>
          <w:rFonts w:ascii="Arial" w:cs="Arial" w:eastAsia="Arial" w:hAnsi="Arial"/>
          <w:sz w:val="18"/>
          <w:szCs w:val="18"/>
          <w:color w:val="auto"/>
        </w:rPr>
      </w:pPr>
      <w:r>
        <w:rPr>
          <w:rFonts w:ascii="Arial" w:cs="Arial" w:eastAsia="Arial" w:hAnsi="Arial"/>
          <w:sz w:val="18"/>
          <w:szCs w:val="18"/>
          <w:color w:val="auto"/>
        </w:rPr>
        <w:t>Liens in connection with the sale or transfer of any assets in a transaction permitted under Section 9(c), customary rights and restrictions contained in agreements relating to such sale or transfer pending the completion thereof;</w:t>
      </w:r>
    </w:p>
    <w:p>
      <w:pPr>
        <w:spacing w:after="0" w:line="170" w:lineRule="exact"/>
        <w:rPr>
          <w:rFonts w:ascii="Arial" w:cs="Arial" w:eastAsia="Arial" w:hAnsi="Arial"/>
          <w:sz w:val="18"/>
          <w:szCs w:val="18"/>
          <w:color w:val="auto"/>
        </w:rPr>
      </w:pPr>
    </w:p>
    <w:p>
      <w:pPr>
        <w:ind w:left="100" w:right="20" w:firstLine="653"/>
        <w:spacing w:after="0" w:line="342" w:lineRule="auto"/>
        <w:tabs>
          <w:tab w:leader="none" w:pos="1155" w:val="left"/>
        </w:tabs>
        <w:numPr>
          <w:ilvl w:val="1"/>
          <w:numId w:val="265"/>
        </w:numPr>
        <w:rPr>
          <w:rFonts w:ascii="Arial" w:cs="Arial" w:eastAsia="Arial" w:hAnsi="Arial"/>
          <w:sz w:val="16"/>
          <w:szCs w:val="16"/>
          <w:color w:val="auto"/>
        </w:rPr>
      </w:pPr>
      <w:r>
        <w:rPr>
          <w:rFonts w:ascii="Arial" w:cs="Arial" w:eastAsia="Arial" w:hAnsi="Arial"/>
          <w:sz w:val="16"/>
          <w:szCs w:val="16"/>
          <w:color w:val="auto"/>
        </w:rPr>
        <w:t>Liens in the nature of the right of setoff in favor of counterparties to contractual agreements with the Parent Guarantor or any Subsidiary (A) in the ordinary course of business or (B) not otherwise prohibited hereunder other than in connection with Indebtedness;</w:t>
      </w:r>
    </w:p>
    <w:p>
      <w:pPr>
        <w:spacing w:after="0" w:line="123" w:lineRule="exact"/>
        <w:rPr>
          <w:rFonts w:ascii="Arial" w:cs="Arial" w:eastAsia="Arial" w:hAnsi="Arial"/>
          <w:sz w:val="16"/>
          <w:szCs w:val="16"/>
          <w:color w:val="auto"/>
        </w:rPr>
      </w:pPr>
    </w:p>
    <w:p>
      <w:pPr>
        <w:ind w:left="500" w:hanging="395"/>
        <w:spacing w:after="0"/>
        <w:tabs>
          <w:tab w:leader="none" w:pos="5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dispositions and other sales of assets permitted under Section 9(c);</w:t>
      </w:r>
    </w:p>
    <w:p>
      <w:pPr>
        <w:spacing w:after="0" w:line="225" w:lineRule="exact"/>
        <w:rPr>
          <w:rFonts w:ascii="Arial" w:cs="Arial" w:eastAsia="Arial" w:hAnsi="Arial"/>
          <w:sz w:val="18"/>
          <w:szCs w:val="18"/>
          <w:color w:val="auto"/>
        </w:rPr>
      </w:pPr>
    </w:p>
    <w:p>
      <w:pPr>
        <w:ind w:left="100" w:firstLine="653"/>
        <w:spacing w:after="0" w:line="277" w:lineRule="auto"/>
        <w:tabs>
          <w:tab w:leader="none" w:pos="109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to the extent constituting a Lien, Liens with respect to repurchase obligations in the ordinary course of business in connection with the cash management activities of the Parent Guarantor or any Subsidiary;</w:t>
      </w:r>
    </w:p>
    <w:p>
      <w:pPr>
        <w:spacing w:after="0" w:line="170" w:lineRule="exact"/>
        <w:rPr>
          <w:rFonts w:ascii="Arial" w:cs="Arial" w:eastAsia="Arial" w:hAnsi="Arial"/>
          <w:sz w:val="18"/>
          <w:szCs w:val="18"/>
          <w:color w:val="auto"/>
        </w:rPr>
      </w:pPr>
    </w:p>
    <w:p>
      <w:pPr>
        <w:jc w:val="both"/>
        <w:ind w:left="100" w:right="20" w:firstLine="653"/>
        <w:spacing w:after="0" w:line="264" w:lineRule="auto"/>
        <w:tabs>
          <w:tab w:leader="none" w:pos="1175" w:val="left"/>
        </w:tabs>
        <w:numPr>
          <w:ilvl w:val="1"/>
          <w:numId w:val="266"/>
        </w:numPr>
        <w:rPr>
          <w:rFonts w:ascii="Arial" w:cs="Arial" w:eastAsia="Arial" w:hAnsi="Arial"/>
          <w:sz w:val="18"/>
          <w:szCs w:val="18"/>
          <w:color w:val="auto"/>
        </w:rPr>
      </w:pPr>
      <w:r>
        <w:rPr>
          <w:rFonts w:ascii="Arial" w:cs="Arial" w:eastAsia="Arial" w:hAnsi="Arial"/>
          <w:sz w:val="18"/>
          <w:szCs w:val="18"/>
          <w:color w:val="auto"/>
        </w:rPr>
        <w:t>Liens that are contractual rights of set-off (A) relating to the establishment of depositary relations with banks or other financial institutions not given in connection with the issuance of Indebtedness or (B) relating to pooled deposit or sweep accounts of Parent Guarantor or any Subsidiary to permit</w:t>
      </w:r>
    </w:p>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350" w:name="page351"/>
    <w:bookmarkEnd w:id="350"/>
    <w:p>
      <w:pPr>
        <w:ind w:left="100"/>
        <w:spacing w:after="0"/>
        <w:rPr>
          <w:sz w:val="20"/>
          <w:szCs w:val="20"/>
          <w:color w:val="auto"/>
        </w:rPr>
      </w:pPr>
      <w:r>
        <w:rPr>
          <w:rFonts w:ascii="Arial" w:cs="Arial" w:eastAsia="Arial" w:hAnsi="Arial"/>
          <w:sz w:val="17"/>
          <w:szCs w:val="17"/>
          <w:color w:val="auto"/>
        </w:rPr>
        <w:t>satisfaction of overdraft or similar obligations incurred in the ordinary course of business of the Parent Guarantor or any Subsidiary;</w:t>
      </w:r>
    </w:p>
    <w:p>
      <w:pPr>
        <w:spacing w:after="0" w:line="237" w:lineRule="exact"/>
        <w:rPr>
          <w:sz w:val="20"/>
          <w:szCs w:val="20"/>
          <w:color w:val="auto"/>
        </w:rPr>
      </w:pPr>
    </w:p>
    <w:p>
      <w:pPr>
        <w:ind w:left="100" w:firstLine="653"/>
        <w:spacing w:after="0" w:line="277" w:lineRule="auto"/>
        <w:tabs>
          <w:tab w:leader="none" w:pos="125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Lien (and rights of set-off) arising under Section 24 or 25 of the general terms and conditions (</w:t>
      </w:r>
      <w:r>
        <w:rPr>
          <w:rFonts w:ascii="Arial" w:cs="Arial" w:eastAsia="Arial" w:hAnsi="Arial"/>
          <w:sz w:val="18"/>
          <w:szCs w:val="18"/>
          <w:i w:val="1"/>
          <w:iCs w:val="1"/>
          <w:color w:val="auto"/>
        </w:rPr>
        <w:t>algemene</w:t>
      </w:r>
      <w:r>
        <w:rPr>
          <w:rFonts w:ascii="Arial" w:cs="Arial" w:eastAsia="Arial" w:hAnsi="Arial"/>
          <w:sz w:val="18"/>
          <w:szCs w:val="18"/>
          <w:color w:val="auto"/>
        </w:rPr>
        <w:t xml:space="preserve"> </w:t>
      </w:r>
      <w:r>
        <w:rPr>
          <w:rFonts w:ascii="Arial" w:cs="Arial" w:eastAsia="Arial" w:hAnsi="Arial"/>
          <w:sz w:val="18"/>
          <w:szCs w:val="18"/>
          <w:i w:val="1"/>
          <w:iCs w:val="1"/>
          <w:color w:val="auto"/>
        </w:rPr>
        <w:t>bankvoorwaarden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25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Liens of sellers of goods to the Parent Guarantor, any Subsidiary Guarantor and any of their respective Subsidiaries arising under Article 2 of the UCC or similar provisions of applicable law in the ordinary course of business, covering only the goods sold and securing only the unpaid purchase price for such goods and related expenses;</w:t>
      </w:r>
    </w:p>
    <w:p>
      <w:pPr>
        <w:spacing w:after="0" w:line="181" w:lineRule="exact"/>
        <w:rPr>
          <w:rFonts w:ascii="Arial" w:cs="Arial" w:eastAsia="Arial" w:hAnsi="Arial"/>
          <w:sz w:val="18"/>
          <w:szCs w:val="18"/>
          <w:color w:val="auto"/>
        </w:rPr>
      </w:pPr>
    </w:p>
    <w:p>
      <w:pPr>
        <w:jc w:val="both"/>
        <w:ind w:left="100" w:firstLine="653"/>
        <w:spacing w:after="0" w:line="290" w:lineRule="auto"/>
        <w:tabs>
          <w:tab w:leader="none" w:pos="118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Liens securing (A) Indebtedness of any Subsidiary described in clause (a) of the definition of Priority Indebtedness outstanding in reliance on Section 9(a)(xvii), (B) Priority Indebtedness of the Parent Guarantor and (C) other obligations (excluding Indebtedness) of the Parent Guarantor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immediately after giving effect to the incurrence of any Indebtedness or obligations secured by Liens in reliance on this clause (xix), the sum of (without duplication) (x) the aggregate principal amount of all Priority Indebtedness of any Subsidiary outstanding in reliance on Section 9(a)(xvii),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aggregate outstanding principal amount of all Indebtedness and other obligations of the Parent Guarantor and its Subsidiaries secured by Liens in reliance on subclause (ii) or (iii) above shall not exceed fifteen percent (15%) of the Parent Guarantor’s Consolidated Net Worth (determined as of the last day of the most recent fiscal quarter for which financial statements shall have been delivered pursuant to Section 8(a)(i) or Section 8(a)(ii);</w:t>
      </w:r>
    </w:p>
    <w:p>
      <w:pPr>
        <w:spacing w:after="0" w:line="166" w:lineRule="exact"/>
        <w:rPr>
          <w:rFonts w:ascii="Arial" w:cs="Arial" w:eastAsia="Arial" w:hAnsi="Arial"/>
          <w:sz w:val="16"/>
          <w:szCs w:val="16"/>
          <w:color w:val="auto"/>
        </w:rPr>
      </w:pPr>
    </w:p>
    <w:p>
      <w:pPr>
        <w:jc w:val="both"/>
        <w:ind w:left="100" w:firstLine="653"/>
        <w:spacing w:after="0" w:line="264" w:lineRule="auto"/>
        <w:tabs>
          <w:tab w:leader="none" w:pos="109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spacing w:after="0" w:line="181" w:lineRule="exact"/>
        <w:rPr>
          <w:rFonts w:ascii="Arial" w:cs="Arial" w:eastAsia="Arial" w:hAnsi="Arial"/>
          <w:sz w:val="18"/>
          <w:szCs w:val="18"/>
          <w:color w:val="auto"/>
        </w:rPr>
      </w:pPr>
    </w:p>
    <w:p>
      <w:pPr>
        <w:jc w:val="both"/>
        <w:ind w:left="100" w:firstLine="653"/>
        <w:spacing w:after="0" w:line="264" w:lineRule="auto"/>
        <w:tabs>
          <w:tab w:leader="none" w:pos="114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pledges or deposits to secure Indebtedness of the Parent Guarantor or any Subsidiary as an account party in respect of letters of credit, bank guarantees, letters of guaranty or similar instruments so long as the aggregate principal amount of such Indebtedness so secured does not exceed $50,000,000;</w:t>
      </w:r>
    </w:p>
    <w:p>
      <w:pPr>
        <w:spacing w:after="0" w:line="181" w:lineRule="exact"/>
        <w:rPr>
          <w:rFonts w:ascii="Arial" w:cs="Arial" w:eastAsia="Arial" w:hAnsi="Arial"/>
          <w:sz w:val="18"/>
          <w:szCs w:val="18"/>
          <w:color w:val="auto"/>
        </w:rPr>
      </w:pPr>
    </w:p>
    <w:p>
      <w:pPr>
        <w:ind w:left="100" w:firstLine="653"/>
        <w:spacing w:after="0" w:line="277" w:lineRule="auto"/>
        <w:tabs>
          <w:tab w:leader="none" w:pos="120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pledges or transfers of collateral to support bilateral mark-to-market security arrangements in respect of uncleared swap or derivative transactions;</w:t>
      </w:r>
    </w:p>
    <w:p>
      <w:pPr>
        <w:spacing w:after="0" w:line="170" w:lineRule="exact"/>
        <w:rPr>
          <w:rFonts w:ascii="Arial" w:cs="Arial" w:eastAsia="Arial" w:hAnsi="Arial"/>
          <w:sz w:val="18"/>
          <w:szCs w:val="18"/>
          <w:color w:val="auto"/>
        </w:rPr>
      </w:pPr>
    </w:p>
    <w:p>
      <w:pPr>
        <w:ind w:left="100" w:firstLine="653"/>
        <w:spacing w:after="0" w:line="342" w:lineRule="auto"/>
        <w:tabs>
          <w:tab w:leader="none" w:pos="1253" w:val="left"/>
        </w:tabs>
        <w:numPr>
          <w:ilvl w:val="0"/>
          <w:numId w:val="267"/>
        </w:numPr>
        <w:rPr>
          <w:rFonts w:ascii="Arial" w:cs="Arial" w:eastAsia="Arial" w:hAnsi="Arial"/>
          <w:sz w:val="16"/>
          <w:szCs w:val="16"/>
          <w:color w:val="auto"/>
        </w:rPr>
      </w:pPr>
      <w:r>
        <w:rPr>
          <w:rFonts w:ascii="Arial" w:cs="Arial" w:eastAsia="Arial" w:hAnsi="Arial"/>
          <w:sz w:val="16"/>
          <w:szCs w:val="16"/>
          <w:color w:val="auto"/>
        </w:rPr>
        <w:t>Liens on assets of the Parent Guarantor and its Subsidiaries not otherwise permitted under this Section 9(b) so long as the aggregate principal amount of the Indebtedness and other obligations subject to such Liens does not at any time exceed $75,000,000;</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351" w:name="page352"/>
    <w:bookmarkEnd w:id="351"/>
    <w:p>
      <w:pPr>
        <w:ind w:left="1300" w:firstLine="653"/>
        <w:spacing w:after="0" w:line="277" w:lineRule="auto"/>
        <w:tabs>
          <w:tab w:leader="none" w:pos="244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in the case of any joint venture, any put and call arrangements related to its Equity Interests set forth in its organizational documents or any related joint venture or similar agreement;</w:t>
      </w:r>
    </w:p>
    <w:p>
      <w:pPr>
        <w:spacing w:after="0" w:line="170" w:lineRule="exact"/>
        <w:rPr>
          <w:rFonts w:ascii="Arial" w:cs="Arial" w:eastAsia="Arial" w:hAnsi="Arial"/>
          <w:sz w:val="18"/>
          <w:szCs w:val="18"/>
          <w:color w:val="auto"/>
        </w:rPr>
      </w:pPr>
    </w:p>
    <w:p>
      <w:pPr>
        <w:jc w:val="both"/>
        <w:ind w:left="1300" w:firstLine="653"/>
        <w:spacing w:after="0" w:line="264" w:lineRule="auto"/>
        <w:tabs>
          <w:tab w:leader="none" w:pos="239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Liens (if any) created pursuant to the Bank Credit Agreement with respect to any obligation to provide cash collateral in connection with any defaulting lenders thereunder, any letters of credit issued thereunder and/or extensions of credit thereunder denominated in a currency other than Dollars; and</w:t>
      </w:r>
    </w:p>
    <w:p>
      <w:pPr>
        <w:spacing w:after="0" w:line="181" w:lineRule="exact"/>
        <w:rPr>
          <w:rFonts w:ascii="Arial" w:cs="Arial" w:eastAsia="Arial" w:hAnsi="Arial"/>
          <w:sz w:val="18"/>
          <w:szCs w:val="18"/>
          <w:color w:val="auto"/>
        </w:rPr>
      </w:pPr>
    </w:p>
    <w:p>
      <w:pPr>
        <w:jc w:val="both"/>
        <w:ind w:left="1300" w:firstLine="653"/>
        <w:spacing w:after="0" w:line="286" w:lineRule="auto"/>
        <w:tabs>
          <w:tab w:leader="none" w:pos="2448" w:val="left"/>
        </w:tabs>
        <w:numPr>
          <w:ilvl w:val="1"/>
          <w:numId w:val="268"/>
        </w:numPr>
        <w:rPr>
          <w:rFonts w:ascii="Arial" w:cs="Arial" w:eastAsia="Arial" w:hAnsi="Arial"/>
          <w:sz w:val="17"/>
          <w:szCs w:val="17"/>
          <w:color w:val="auto"/>
        </w:rPr>
      </w:pPr>
      <w:r>
        <w:rPr>
          <w:rFonts w:ascii="Arial" w:cs="Arial" w:eastAsia="Arial" w:hAnsi="Arial"/>
          <w:sz w:val="17"/>
          <w:szCs w:val="17"/>
          <w:color w:val="auto"/>
        </w:rPr>
        <w:t>Liens on Permitted Developed Areas, Undeveloped Areas and/or Permitted Development Projects and property related to any of the foregoing (other than any Collateral); provided that such Liens secure (A) Indebtedness permitted by Section 9(a)(xxii) or (B) obligations not constituting Indebtedness that were incurred in connection with the development of any such property.</w:t>
      </w:r>
    </w:p>
    <w:p>
      <w:pPr>
        <w:spacing w:after="0" w:line="165" w:lineRule="exact"/>
        <w:rPr>
          <w:rFonts w:ascii="Arial" w:cs="Arial" w:eastAsia="Arial" w:hAnsi="Arial"/>
          <w:sz w:val="17"/>
          <w:szCs w:val="17"/>
          <w:color w:val="auto"/>
        </w:rPr>
      </w:pPr>
    </w:p>
    <w:p>
      <w:pPr>
        <w:jc w:val="both"/>
        <w:ind w:firstLine="1305"/>
        <w:spacing w:after="0" w:line="279" w:lineRule="auto"/>
        <w:tabs>
          <w:tab w:leader="none" w:pos="1541" w:val="left"/>
        </w:tabs>
        <w:numPr>
          <w:ilvl w:val="0"/>
          <w:numId w:val="269"/>
        </w:numPr>
        <w:rPr>
          <w:rFonts w:ascii="Arial" w:cs="Arial" w:eastAsia="Arial" w:hAnsi="Arial"/>
          <w:sz w:val="17"/>
          <w:szCs w:val="17"/>
          <w:color w:val="auto"/>
        </w:rPr>
      </w:pPr>
      <w:r>
        <w:rPr>
          <w:rFonts w:ascii="Arial" w:cs="Arial" w:eastAsia="Arial" w:hAnsi="Arial"/>
          <w:sz w:val="17"/>
          <w:szCs w:val="17"/>
          <w:i w:val="1"/>
          <w:iCs w:val="1"/>
          <w:color w:val="auto"/>
        </w:rPr>
        <w:t>Fundamental Changes and Asset Sales</w:t>
      </w:r>
      <w:r>
        <w:rPr>
          <w:rFonts w:ascii="Arial" w:cs="Arial" w:eastAsia="Arial" w:hAnsi="Arial"/>
          <w:sz w:val="17"/>
          <w:szCs w:val="17"/>
          <w:color w:val="auto"/>
        </w:rPr>
        <w:t>. (i) The Parent Guarantor will not, and will not permit Lessee or any other Subsidiary to, merge</w:t>
      </w:r>
      <w:r>
        <w:rPr>
          <w:rFonts w:ascii="Arial" w:cs="Arial" w:eastAsia="Arial" w:hAnsi="Arial"/>
          <w:sz w:val="17"/>
          <w:szCs w:val="17"/>
          <w:i w:val="1"/>
          <w:iCs w:val="1"/>
          <w:color w:val="auto"/>
        </w:rPr>
        <w:t xml:space="preserve"> </w:t>
      </w:r>
      <w:r>
        <w:rPr>
          <w:rFonts w:ascii="Arial" w:cs="Arial" w:eastAsia="Arial" w:hAnsi="Arial"/>
          <w:sz w:val="17"/>
          <w:szCs w:val="17"/>
          <w:color w:val="auto"/>
        </w:rPr>
        <w:t>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Parent Guarantor and its Subsidiaries (taken as a whole) (whether now owned or hereafter acquired), or liquidate or dissolve, except that:</w:t>
      </w:r>
    </w:p>
    <w:p>
      <w:pPr>
        <w:spacing w:after="0" w:line="171" w:lineRule="exact"/>
        <w:rPr>
          <w:rFonts w:ascii="Arial" w:cs="Arial" w:eastAsia="Arial" w:hAnsi="Arial"/>
          <w:sz w:val="17"/>
          <w:szCs w:val="17"/>
          <w:color w:val="auto"/>
        </w:rPr>
      </w:pPr>
    </w:p>
    <w:p>
      <w:pPr>
        <w:jc w:val="both"/>
        <w:ind w:left="1300" w:firstLine="977"/>
        <w:spacing w:after="0" w:line="276" w:lineRule="auto"/>
        <w:tabs>
          <w:tab w:leader="none" w:pos="2606" w:val="left"/>
        </w:tabs>
        <w:numPr>
          <w:ilvl w:val="2"/>
          <w:numId w:val="269"/>
        </w:numPr>
        <w:rPr>
          <w:rFonts w:ascii="Arial" w:cs="Arial" w:eastAsia="Arial" w:hAnsi="Arial"/>
          <w:sz w:val="17"/>
          <w:szCs w:val="17"/>
          <w:color w:val="auto"/>
        </w:rPr>
      </w:pPr>
      <w:r>
        <w:rPr>
          <w:rFonts w:ascii="Arial" w:cs="Arial" w:eastAsia="Arial" w:hAnsi="Arial"/>
          <w:sz w:val="17"/>
          <w:szCs w:val="17"/>
          <w:color w:val="auto"/>
        </w:rPr>
        <w:t xml:space="preserve">any Person (other than the Parent Guarantor or any of its Subsidiaries) may merge or consolidate with the Parent Guarantor or any of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merger or consolidation involving (1) the Lessee must result in the Lessee as the surviving entity (unless in connection therewith an Affiliate Transferee becomes the Lessee pursuant to Article VI of the Lease), (2) the Parent Guarantor must result in the Parent Guarantor as the surviving entity and (3) a Subsidiary Guarantor must result in a Subsidiary Guarantor (or any entity that becomes a Subsidiary Guarantor) as the surviving entity;</w:t>
      </w:r>
    </w:p>
    <w:p>
      <w:pPr>
        <w:spacing w:after="0" w:line="172" w:lineRule="exact"/>
        <w:rPr>
          <w:rFonts w:ascii="Arial" w:cs="Arial" w:eastAsia="Arial" w:hAnsi="Arial"/>
          <w:sz w:val="17"/>
          <w:szCs w:val="17"/>
          <w:color w:val="auto"/>
        </w:rPr>
      </w:pPr>
    </w:p>
    <w:p>
      <w:pPr>
        <w:jc w:val="both"/>
        <w:ind w:left="1300" w:firstLine="977"/>
        <w:spacing w:after="0" w:line="293" w:lineRule="auto"/>
        <w:tabs>
          <w:tab w:leader="none" w:pos="2567" w:val="left"/>
        </w:tabs>
        <w:numPr>
          <w:ilvl w:val="2"/>
          <w:numId w:val="269"/>
        </w:numPr>
        <w:rPr>
          <w:rFonts w:ascii="Arial" w:cs="Arial" w:eastAsia="Arial" w:hAnsi="Arial"/>
          <w:sz w:val="16"/>
          <w:szCs w:val="16"/>
          <w:color w:val="auto"/>
        </w:rPr>
      </w:pPr>
      <w:r>
        <w:rPr>
          <w:rFonts w:ascii="Arial" w:cs="Arial" w:eastAsia="Arial" w:hAnsi="Arial"/>
          <w:sz w:val="16"/>
          <w:szCs w:val="16"/>
          <w:color w:val="auto"/>
        </w:rPr>
        <w:t xml:space="preserve">any Subsidiary may merge into or consolidate with a Guarantor, the Lessee, or a Bank Credit Agreement Specified Loan Party in a transaction in which the surviving entity is such Guarantor, the Lessee or such Bank Credit Agreement Specified Loan Party;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such merger or consolidation involving (1) the Lessee must result in the Lessee as the surviving entity (unless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therewith an Affiliate Transferee becomes the Lessee pursuant to Article VI of the Lease), (2) the Parent Guarantor must result in the Parent Guarantor as the surviving entity and (3) a Subsidiary Guarantor must result in a Subsidiary Guarantor as the surviving entity (unless also involving the Lessee or Parent Guarantor, in which case, subclause (1) or (2) above shall apply, as applicable);</w:t>
      </w:r>
    </w:p>
    <w:p>
      <w:pPr>
        <w:spacing w:after="0" w:line="164" w:lineRule="exact"/>
        <w:rPr>
          <w:rFonts w:ascii="Arial" w:cs="Arial" w:eastAsia="Arial" w:hAnsi="Arial"/>
          <w:sz w:val="16"/>
          <w:szCs w:val="16"/>
          <w:color w:val="auto"/>
        </w:rPr>
      </w:pPr>
    </w:p>
    <w:p>
      <w:pPr>
        <w:ind w:left="2560" w:hanging="283"/>
        <w:spacing w:after="0"/>
        <w:tabs>
          <w:tab w:leader="none" w:pos="2560" w:val="left"/>
        </w:tabs>
        <w:numPr>
          <w:ilvl w:val="2"/>
          <w:numId w:val="269"/>
        </w:numPr>
        <w:rPr>
          <w:rFonts w:ascii="Arial" w:cs="Arial" w:eastAsia="Arial" w:hAnsi="Arial"/>
          <w:sz w:val="18"/>
          <w:szCs w:val="18"/>
          <w:color w:val="auto"/>
        </w:rPr>
      </w:pPr>
      <w:r>
        <w:rPr>
          <w:rFonts w:ascii="Arial" w:cs="Arial" w:eastAsia="Arial" w:hAnsi="Arial"/>
          <w:sz w:val="18"/>
          <w:szCs w:val="18"/>
          <w:color w:val="auto"/>
        </w:rPr>
        <w:t>any Subsidiary that is not a Subsidiary Guarantor may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52" w:name="page353"/>
    <w:bookmarkEnd w:id="352"/>
    <w:p>
      <w:pPr>
        <w:ind w:left="100"/>
        <w:spacing w:after="0" w:line="277" w:lineRule="auto"/>
        <w:rPr>
          <w:sz w:val="20"/>
          <w:szCs w:val="20"/>
          <w:color w:val="auto"/>
        </w:rPr>
      </w:pPr>
      <w:r>
        <w:rPr>
          <w:rFonts w:ascii="Arial" w:cs="Arial" w:eastAsia="Arial" w:hAnsi="Arial"/>
          <w:sz w:val="18"/>
          <w:szCs w:val="18"/>
          <w:color w:val="auto"/>
        </w:rPr>
        <w:t>merge into or consolidate with, or sell, transfer, lease or otherwise dispose of any or all of its assets to, another Subsidiary that is not a Subsidiary Guarantor (in connection with a liquidation, winding up or dissolution or otherwise);</w:t>
      </w:r>
    </w:p>
    <w:p>
      <w:pPr>
        <w:spacing w:after="0" w:line="170" w:lineRule="exact"/>
        <w:rPr>
          <w:sz w:val="20"/>
          <w:szCs w:val="20"/>
          <w:color w:val="auto"/>
        </w:rPr>
      </w:pPr>
    </w:p>
    <w:p>
      <w:pPr>
        <w:jc w:val="both"/>
        <w:ind w:left="100" w:firstLine="977"/>
        <w:spacing w:after="0" w:line="264" w:lineRule="auto"/>
        <w:tabs>
          <w:tab w:leader="none" w:pos="13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Subsidiary may sell, transfer, lease or otherwise dispose of any or all of its assets to the Parent Guarantor, the Lessee, a Subsidiary Guarantor or a Bank Credit Agreement Specified Loan Party (in connection with a liquidation, winding up or dissolution or otherwise);</w:t>
      </w:r>
    </w:p>
    <w:p>
      <w:pPr>
        <w:spacing w:after="0" w:line="181" w:lineRule="exact"/>
        <w:rPr>
          <w:rFonts w:ascii="Arial" w:cs="Arial" w:eastAsia="Arial" w:hAnsi="Arial"/>
          <w:sz w:val="18"/>
          <w:szCs w:val="18"/>
          <w:color w:val="auto"/>
        </w:rPr>
      </w:pPr>
    </w:p>
    <w:p>
      <w:pPr>
        <w:jc w:val="both"/>
        <w:ind w:left="100" w:firstLine="977"/>
        <w:spacing w:after="0" w:line="259" w:lineRule="auto"/>
        <w:tabs>
          <w:tab w:leader="none" w:pos="134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Subsidiary that is not a Subsidiary Guarantor may liquidate, wind up or dissolve (1) if the Parent Guarantor determines in good faith that such liquidation, winding up or dissolution is in the best interests of the Parent Guarantor and is not materially disadvantageous to the Participants or (2) to the extent undertaken in good faith for the purpose of improving the overall tax efficiency of the Parent Guarantor and its Subsidiaries;</w:t>
      </w:r>
    </w:p>
    <w:p>
      <w:pPr>
        <w:spacing w:after="0" w:line="186" w:lineRule="exact"/>
        <w:rPr>
          <w:rFonts w:ascii="Arial" w:cs="Arial" w:eastAsia="Arial" w:hAnsi="Arial"/>
          <w:sz w:val="18"/>
          <w:szCs w:val="18"/>
          <w:color w:val="auto"/>
        </w:rPr>
      </w:pPr>
    </w:p>
    <w:p>
      <w:pPr>
        <w:ind w:left="1340" w:hanging="263"/>
        <w:spacing w:after="0"/>
        <w:tabs>
          <w:tab w:leader="none" w:pos="1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Parent Guarantor and its Subsidiaries may consummate Permitted Restructurings;</w:t>
      </w:r>
    </w:p>
    <w:p>
      <w:pPr>
        <w:spacing w:after="0" w:line="225" w:lineRule="exact"/>
        <w:rPr>
          <w:rFonts w:ascii="Arial" w:cs="Arial" w:eastAsia="Arial" w:hAnsi="Arial"/>
          <w:sz w:val="18"/>
          <w:szCs w:val="18"/>
          <w:color w:val="auto"/>
        </w:rPr>
      </w:pPr>
    </w:p>
    <w:p>
      <w:pPr>
        <w:jc w:val="both"/>
        <w:ind w:left="100" w:firstLine="977"/>
        <w:spacing w:after="0" w:line="312" w:lineRule="auto"/>
        <w:tabs>
          <w:tab w:leader="none" w:pos="136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Parent Guarantor and its Subsidiaries may enter into, terminate or modify leases, subleases, licenses and sublicenses of technology and other property (1) in the ordinary course of business, (2) between or among the Parent Guarantor, the Lessee, any Subsidiary Guarantors and any of their Subsidiaries (or any combination thereof) or (3) as permitted by Article VI of the Lease;</w:t>
      </w:r>
    </w:p>
    <w:p>
      <w:pPr>
        <w:spacing w:after="0" w:line="146" w:lineRule="exact"/>
        <w:rPr>
          <w:rFonts w:ascii="Arial" w:cs="Arial" w:eastAsia="Arial" w:hAnsi="Arial"/>
          <w:sz w:val="16"/>
          <w:szCs w:val="16"/>
          <w:color w:val="auto"/>
        </w:rPr>
      </w:pPr>
    </w:p>
    <w:p>
      <w:pPr>
        <w:ind w:left="1380" w:hanging="303"/>
        <w:spacing w:after="0"/>
        <w:tabs>
          <w:tab w:leader="none" w:pos="13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Parent Guarantor and its Subsidiaries may incur Liens permitted under Section 9(b); and</w:t>
      </w:r>
    </w:p>
    <w:p>
      <w:pPr>
        <w:spacing w:after="0" w:line="225" w:lineRule="exact"/>
        <w:rPr>
          <w:rFonts w:ascii="Arial" w:cs="Arial" w:eastAsia="Arial" w:hAnsi="Arial"/>
          <w:sz w:val="18"/>
          <w:szCs w:val="18"/>
          <w:color w:val="auto"/>
        </w:rPr>
      </w:pPr>
    </w:p>
    <w:p>
      <w:pPr>
        <w:jc w:val="both"/>
        <w:ind w:left="100" w:firstLine="977"/>
        <w:spacing w:after="0" w:line="297" w:lineRule="auto"/>
        <w:tabs>
          <w:tab w:leader="none" w:pos="131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with respect to any rights, title or interest of the Parent Guarantor and its Subsidiaries in the Collateral and the Purchase Agreement, leases, subleases, assignments and other transfers pursuant to or permitted by any of the Operative Documents, including (A) the assignment of some or all of the rights under the Purchase Agreement (including the right to take title to the Facility) pursuant to the Assignment of Purchase Agreement and (B) the assignment or other transfer to Parent Guarantor or a directly or indirectly wholly-owned Domestic Subsidiary of Parent Guarantor as an affiliate transferee pursuant to the Operative Documents; and</w:t>
      </w:r>
    </w:p>
    <w:p>
      <w:pPr>
        <w:spacing w:after="0" w:line="158" w:lineRule="exact"/>
        <w:rPr>
          <w:rFonts w:ascii="Arial" w:cs="Arial" w:eastAsia="Arial" w:hAnsi="Arial"/>
          <w:sz w:val="16"/>
          <w:szCs w:val="16"/>
          <w:color w:val="auto"/>
        </w:rPr>
      </w:pPr>
    </w:p>
    <w:p>
      <w:pPr>
        <w:jc w:val="both"/>
        <w:ind w:left="100" w:firstLine="977"/>
        <w:spacing w:after="0" w:line="279" w:lineRule="auto"/>
        <w:tabs>
          <w:tab w:leader="none" w:pos="1317" w:val="left"/>
        </w:tabs>
        <w:numPr>
          <w:ilvl w:val="0"/>
          <w:numId w:val="270"/>
        </w:numPr>
        <w:rPr>
          <w:rFonts w:ascii="Arial" w:cs="Arial" w:eastAsia="Arial" w:hAnsi="Arial"/>
          <w:sz w:val="17"/>
          <w:szCs w:val="17"/>
          <w:color w:val="auto"/>
        </w:rPr>
      </w:pPr>
      <w:r>
        <w:rPr>
          <w:rFonts w:ascii="Arial" w:cs="Arial" w:eastAsia="Arial" w:hAnsi="Arial"/>
          <w:sz w:val="17"/>
          <w:szCs w:val="17"/>
          <w:color w:val="auto"/>
        </w:rPr>
        <w:t>with respect to any rights, title or interest of the Parent Guarantor and its Subsidiaries in any Permitted Developed Areas, Undeveloped Areas and/or Permitted Development Projects and property related to any of the foregoing (other than any Collateral pursuant to this subclause (J)), leases, subleases, licenses, sublicenses, assignments and other transfers (including, without limitation, any termination or modification of any such lease, sublease, license or sublicense), in any such case of this subclause</w:t>
      </w:r>
    </w:p>
    <w:p>
      <w:pPr>
        <w:spacing w:after="0" w:line="14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8" w:right="239" w:bottom="1440" w:gutter="0" w:footer="0" w:header="0"/>
        </w:sectPr>
      </w:pPr>
    </w:p>
    <w:bookmarkStart w:id="353" w:name="page354"/>
    <w:bookmarkEnd w:id="353"/>
    <w:p>
      <w:pPr>
        <w:ind w:left="1280"/>
        <w:spacing w:after="0" w:line="277" w:lineRule="auto"/>
        <w:rPr>
          <w:sz w:val="20"/>
          <w:szCs w:val="20"/>
          <w:color w:val="auto"/>
        </w:rPr>
      </w:pPr>
      <w:r>
        <w:rPr>
          <w:rFonts w:ascii="Arial" w:cs="Arial" w:eastAsia="Arial" w:hAnsi="Arial"/>
          <w:sz w:val="18"/>
          <w:szCs w:val="18"/>
          <w:color w:val="auto"/>
        </w:rPr>
        <w:t>(J), to the extent (x) not in violation of the Lease and (y) made pursuant to or not prohibited by any definitive documentation governing related Indebtedness (if any) permitted by Section 9(a)(xxii).</w:t>
      </w:r>
    </w:p>
    <w:p>
      <w:pPr>
        <w:spacing w:after="0" w:line="170" w:lineRule="exact"/>
        <w:rPr>
          <w:sz w:val="20"/>
          <w:szCs w:val="20"/>
          <w:color w:val="auto"/>
        </w:rPr>
      </w:pPr>
    </w:p>
    <w:p>
      <w:pPr>
        <w:jc w:val="both"/>
        <w:ind w:left="1280" w:firstLine="977"/>
        <w:spacing w:after="0" w:line="259" w:lineRule="auto"/>
        <w:tabs>
          <w:tab w:leader="none" w:pos="252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Parent Guarantor will not, and will not permit Lessee or any other Subsidiary to, engage to any material extent in any business substantially different from businesses of the type conducted by the Parent Guarantor and its Subsidiaries (taken as a whole) on the Restatement Date and businesses reasonably related, ancillary, similar, complementary or synergistic thereto or reasonable extensions, development or expansion thereof.</w:t>
      </w:r>
    </w:p>
    <w:p>
      <w:pPr>
        <w:spacing w:after="0" w:line="186" w:lineRule="exact"/>
        <w:rPr>
          <w:rFonts w:ascii="Arial" w:cs="Arial" w:eastAsia="Arial" w:hAnsi="Arial"/>
          <w:sz w:val="18"/>
          <w:szCs w:val="18"/>
          <w:color w:val="auto"/>
        </w:rPr>
      </w:pPr>
    </w:p>
    <w:p>
      <w:pPr>
        <w:jc w:val="both"/>
        <w:ind w:left="-20" w:firstLine="1305"/>
        <w:spacing w:after="0" w:line="284" w:lineRule="auto"/>
        <w:tabs>
          <w:tab w:leader="none" w:pos="1531" w:val="left"/>
        </w:tabs>
        <w:numPr>
          <w:ilvl w:val="0"/>
          <w:numId w:val="272"/>
        </w:numPr>
        <w:rPr>
          <w:rFonts w:ascii="Arial" w:cs="Arial" w:eastAsia="Arial" w:hAnsi="Arial"/>
          <w:sz w:val="16"/>
          <w:szCs w:val="16"/>
          <w:color w:val="auto"/>
        </w:rPr>
      </w:pPr>
      <w:r>
        <w:rPr>
          <w:rFonts w:ascii="Arial" w:cs="Arial" w:eastAsia="Arial" w:hAnsi="Arial"/>
          <w:sz w:val="16"/>
          <w:szCs w:val="16"/>
          <w:i w:val="1"/>
          <w:iCs w:val="1"/>
          <w:color w:val="auto"/>
        </w:rPr>
        <w:t>Restricted Payments</w:t>
      </w:r>
      <w:r>
        <w:rPr>
          <w:rFonts w:ascii="Arial" w:cs="Arial" w:eastAsia="Arial" w:hAnsi="Arial"/>
          <w:sz w:val="16"/>
          <w:szCs w:val="16"/>
          <w:color w:val="auto"/>
        </w:rPr>
        <w:t>. The Parent Guarantor will not, and will not permit Lessee or any other Subsidiary to, make, directly or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any Restricted Payment, except (i) the Parent Guarantor may pay dividends or make other Restricted Payments with respect to its Equity Interests payable solely in additional Equity Interests, (ii) the Parent Guarantor may purchase, redeem or otherwise acquire Equity Interests upon the exercise of stock options or warrants if such Equity Interests represent a portion of the exercise price of such options or warrants or with the proceeds received from the substantially concurrent issue of new Equity Interests, (iii) the Parent Guarantor may make cash payments (A) on securities convertible into or exchangeable for Equity Interests in the Parent Guarantor in accordance with their terms or (B) in lieu of the issuance of fractional Equity Interests in connection with any dividend, split or combination thereof or the exercise of warrants, options or other securities convertible into or exchangeable for Equity Interests in the Parent Guarantor, (iv) Subsidiaries may (A) make dividends or other distributions to their respective equityholders with respect to their Equity Interests (which distributions shall be (x) made on at least a ratable basis to any such equityholders that are Guarantors and (y) in the case of a Subsidiary that is not a wholly-owned Subsidiary, made on at least a ratable basis to any such equityholders that are the Parent Guarantor or a Subsidiary), (B) make other Restricted Payments to Parent Guarantor, the Lessee or any Subsidiary Guarantor (either directly or indirectly through one or more Subsidiaries that are not Subsidiary Guarantors or the Lessee), (C) other than with respect to any such distributions by a Subsidiary Guarantor, make other Restricted Payments to a Bank Credit Agreement Specified Loan Party (either directly or indirectly through one or more Subsidiaries that are not Bank Credit Agreement Specified Loan Parties, Subsidiary Guarantors or the Lessee) and (D) make any Restricted Payments that the Parent Guarantor would have otherwise been permitted to make pursuant to this Section 9(d), (v) the Parent Guarantor may make Restricted Payments (A) for the repurchase, retirement or other acquisition or retirement for value of Equity Interests of the Parent Guarantor from any future, present or former employee, officer, director, manager or consultant of the Parent Guarantor or any Subsidiary upon the death, disability, retirement or termination of employment of any such Person or (B) pursuant to and in accordance with any agreement (including any employment agreement), stock option or stock ownership plans, incentive plans or other benefit plans, in each case for future, present or former directors, officers, managers, employees or consultants of the Parent Guarantor and its Subsidiaries (including, without limitation, in respect of tax withholding or other similar tax obligation related to the foregoing), (vi) the Parent Guarantor and its Subsidiaries may make any other Restricted Payment so long as no Event of Default has occurred and is continuing at the time such Restricted Payment is made or would arise immediately after giving effect (on a pro forma basis)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246620" cy="342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60" w:top="409" w:right="239" w:bottom="1440" w:gutter="0" w:footer="0" w:header="0"/>
        </w:sectPr>
      </w:pPr>
    </w:p>
    <w:bookmarkStart w:id="354" w:name="page355"/>
    <w:bookmarkEnd w:id="354"/>
    <w:p>
      <w:pPr>
        <w:jc w:val="both"/>
        <w:spacing w:after="0" w:line="255" w:lineRule="auto"/>
        <w:rPr>
          <w:sz w:val="20"/>
          <w:szCs w:val="20"/>
          <w:color w:val="auto"/>
        </w:rPr>
      </w:pPr>
      <w:r>
        <w:rPr>
          <w:rFonts w:ascii="Arial" w:cs="Arial" w:eastAsia="Arial" w:hAnsi="Arial"/>
          <w:sz w:val="18"/>
          <w:szCs w:val="18"/>
          <w:color w:val="auto"/>
        </w:rPr>
        <w:t xml:space="preserve">thereto and the aggregate amount of all such Restricted Payments pursuant to this clause (vi) during any fiscal year of the Parent Guarantor does not exceed $100,000,000;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Dollar limitation shall not be applicable, and such Restricted Payment shall not count against such Dollar limitation, if at the time of the making of such Restricted Payment and immediately after giving effect (on a pro forma basis) thereto, the Total Leverage Ratio is equal to or less than 3.00 to 1.00, and (vii) the Parent Guarantor may pay any dividend or distribution or make any irrevocable Restricted Payment within 60 days after the date of declaration of such dividend or distribution or giving irrevocable notice with respect to such Restricted Payment, as the case may be, if at the date of declaration or notice such Restricted Payment would have complied with the provisions of this Guaranty (including the other provisions of this Section 9(d)).</w:t>
      </w:r>
    </w:p>
    <w:p>
      <w:pPr>
        <w:spacing w:after="0" w:line="189" w:lineRule="exact"/>
        <w:rPr>
          <w:sz w:val="20"/>
          <w:szCs w:val="20"/>
          <w:color w:val="auto"/>
        </w:rPr>
      </w:pPr>
    </w:p>
    <w:p>
      <w:pPr>
        <w:jc w:val="both"/>
        <w:ind w:firstLine="1305"/>
        <w:spacing w:after="0" w:line="282" w:lineRule="auto"/>
        <w:tabs>
          <w:tab w:leader="none" w:pos="1568" w:val="left"/>
        </w:tabs>
        <w:numPr>
          <w:ilvl w:val="1"/>
          <w:numId w:val="273"/>
        </w:numPr>
        <w:rPr>
          <w:rFonts w:ascii="Arial" w:cs="Arial" w:eastAsia="Arial" w:hAnsi="Arial"/>
          <w:sz w:val="16"/>
          <w:szCs w:val="16"/>
          <w:color w:val="auto"/>
        </w:rPr>
      </w:pPr>
      <w:r>
        <w:rPr>
          <w:rFonts w:ascii="Arial" w:cs="Arial" w:eastAsia="Arial" w:hAnsi="Arial"/>
          <w:sz w:val="16"/>
          <w:szCs w:val="16"/>
          <w:i w:val="1"/>
          <w:iCs w:val="1"/>
          <w:color w:val="auto"/>
        </w:rPr>
        <w:t>Transactions with Affiliates</w:t>
      </w:r>
      <w:r>
        <w:rPr>
          <w:rFonts w:ascii="Arial" w:cs="Arial" w:eastAsia="Arial" w:hAnsi="Arial"/>
          <w:sz w:val="16"/>
          <w:szCs w:val="16"/>
          <w:color w:val="auto"/>
        </w:rPr>
        <w:t>. The Parent Guarantor will not, and will not permit Lessee or any other Subsidiary to, sell, lease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transfer any property or assets to, or purchase, lease or otherwise acquire any property or assets from, or otherwise engage in any other transactions with, any of its Affiliates, except (i) transactions on terms and conditions not materially less favorable to the Parent Guarantor or such Subsidiary than could be obtained on an arm’s-length basis from a Person that is not an Affiliate for a comparable transaction (considering such transactions and all other related transactions as a whole), (ii) transactions between or among the Parent Guarantor and its Subsidiaries (or an entity that becomes a Subsidiary of the Parent Guarantor as a result of such transaction) (or any combination thereof), (iii) the payment of customary fees to directors of the Parent Guarantor or any of its Subsidiaries, and customary compensation, reasonable out-of-pocket expense reimbursement and indemnification (including the provision of directors and officers insurance) of, and other employment or consulting agreements and arrangements, employee benefit plans and stock incentive plans paid to, future, present or past directors, officers, managers and employees of the Parent Guarantor or any of its Subsidiaries, (iv) transactions undertaken in good faith for the purpose of improving the overall tax efficiency of the Parent Guarantor and its Subsidiaries, (v) loans, advances and other transactions to the extent not prohibited by the terms of this Guaranty, the Lease or the Participation Agreement, including without limitation any Restricted Payment permitted by Section 9(d) and transactions permitted by Section 9(c), (vi) issuances of Equity Interests to Affiliates and the registration rights and other customary rights associated therewith, (vii) any Collaboration Arrangement or any other license, sublicense, lease or sublease (A) in existence on the Restatement Date (together with any amendments, restatements, extensions, replacements or other modifications thereto that are not materially adverse to the interests of the Lenders in their capacities as such), (B) in the ordinary course of business or (C) substantially consistent with past practices, (viii) transactions with Affiliates that are Disclosed Matters, (ix) transactions pursuant to agreements in effect on the Restatement Date (together with any amendments, restatements, extensions, replacements or other modifications thereto that are not materially adverse to the interests of the Participants in their capacities as such), (x) transactions with joint ventures for the purchase or sale of property or other assets and services entered into in the ordinary course of business and investments in joint ventures,</w:t>
      </w:r>
    </w:p>
    <w:p>
      <w:pPr>
        <w:spacing w:after="0" w:line="12" w:lineRule="exact"/>
        <w:rPr>
          <w:rFonts w:ascii="Arial" w:cs="Arial" w:eastAsia="Arial" w:hAnsi="Arial"/>
          <w:sz w:val="16"/>
          <w:szCs w:val="16"/>
          <w:color w:val="auto"/>
        </w:rPr>
      </w:pPr>
    </w:p>
    <w:p>
      <w:pPr>
        <w:jc w:val="both"/>
        <w:ind w:firstLine="8"/>
        <w:spacing w:after="0" w:line="254" w:lineRule="auto"/>
        <w:tabs>
          <w:tab w:leader="none" w:pos="33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transactions approved by (A) a majority of Disinterested Directors of the Parent Guarantor or of the applicable Subsidiary in good faith or (B) a committee of the board of directors (or other governing body) of such Person that is comprised of Disinterested Directors (or such committee otherwise approves such transactions by action of Disinterested Directors), (xii) any transaction or series of related transactions with respect to which the aggregate consideration paid, or fair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55" w:name="page356"/>
    <w:bookmarkEnd w:id="355"/>
    <w:p>
      <w:pPr>
        <w:jc w:val="both"/>
        <w:spacing w:after="0" w:line="271" w:lineRule="auto"/>
        <w:rPr>
          <w:sz w:val="20"/>
          <w:szCs w:val="20"/>
          <w:color w:val="auto"/>
        </w:rPr>
      </w:pPr>
      <w:r>
        <w:rPr>
          <w:rFonts w:ascii="Arial" w:cs="Arial" w:eastAsia="Arial" w:hAnsi="Arial"/>
          <w:sz w:val="17"/>
          <w:szCs w:val="17"/>
          <w:color w:val="auto"/>
        </w:rPr>
        <w:t>market value of property disposed of, by the Parent Guarantor and its Subsidiaries is less than $2,000,000 for any such individual transaction or series of related transactions, (xiii) subleases and assignments permitted by the Operative Documents, including Article VI of the Lease, and other transactions permitted by Section 9(c)(J), (xiv) any transaction in respect of which the Parent Guarantor delivers to the Administrative Agent (for delivery to the Lessor or the Participants) a letter addressed to the Board of Directors of the Parent Guarantor (or the board of directors or other relevant governing body of the relevant Subsidiary) from an accounting, appraisal or investment banking firm that is in the good faith determination of the Parent Guarantor qualified to render such letter, which letter states that such transaction is on terms that are no less favorable to the Parent Guarantor or the relevant Subsidiary, as applicable, than would be obtained on an arm’s-length basis from a Person that is not an Affiliate for a comparable transaction, and (xv) any transaction with an Affiliate where the only consideration paid consists of Equity Interests of the Parent Guarantor.</w:t>
      </w:r>
    </w:p>
    <w:p>
      <w:pPr>
        <w:spacing w:after="0" w:line="179" w:lineRule="exact"/>
        <w:rPr>
          <w:sz w:val="20"/>
          <w:szCs w:val="20"/>
          <w:color w:val="auto"/>
        </w:rPr>
      </w:pPr>
    </w:p>
    <w:p>
      <w:pPr>
        <w:jc w:val="both"/>
        <w:ind w:firstLine="1305"/>
        <w:spacing w:after="0" w:line="287" w:lineRule="auto"/>
        <w:tabs>
          <w:tab w:leader="none" w:pos="1521" w:val="left"/>
        </w:tabs>
        <w:numPr>
          <w:ilvl w:val="0"/>
          <w:numId w:val="275"/>
        </w:numPr>
        <w:rPr>
          <w:rFonts w:ascii="Arial" w:cs="Arial" w:eastAsia="Arial" w:hAnsi="Arial"/>
          <w:sz w:val="16"/>
          <w:szCs w:val="16"/>
          <w:color w:val="auto"/>
        </w:rPr>
      </w:pPr>
      <w:r>
        <w:rPr>
          <w:rFonts w:ascii="Arial" w:cs="Arial" w:eastAsia="Arial" w:hAnsi="Arial"/>
          <w:sz w:val="16"/>
          <w:szCs w:val="16"/>
          <w:i w:val="1"/>
          <w:iCs w:val="1"/>
          <w:color w:val="auto"/>
        </w:rPr>
        <w:t>Maximum Total Leverage Ratio</w:t>
      </w:r>
      <w:r>
        <w:rPr>
          <w:rFonts w:ascii="Arial" w:cs="Arial" w:eastAsia="Arial" w:hAnsi="Arial"/>
          <w:sz w:val="16"/>
          <w:szCs w:val="16"/>
          <w:color w:val="auto"/>
        </w:rPr>
        <w:t>. The Parent Guarantor will not permit the ratio (the “</w:t>
      </w:r>
      <w:r>
        <w:rPr>
          <w:rFonts w:ascii="Arial" w:cs="Arial" w:eastAsia="Arial" w:hAnsi="Arial"/>
          <w:sz w:val="16"/>
          <w:szCs w:val="16"/>
          <w:i w:val="1"/>
          <w:iCs w:val="1"/>
          <w:color w:val="auto"/>
        </w:rPr>
        <w:t>Total Leverage Ratio</w:t>
      </w:r>
      <w:r>
        <w:rPr>
          <w:rFonts w:ascii="Arial" w:cs="Arial" w:eastAsia="Arial" w:hAnsi="Arial"/>
          <w:sz w:val="16"/>
          <w:szCs w:val="16"/>
          <w:color w:val="auto"/>
        </w:rPr>
        <w:t>”), determined as of the end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its fiscal quarters ending on and after March 31, 2019, of (i) Consolidated Total Indebtedness to (ii) Consolidated EBITDA for the period of four (4) consecutive fiscal quarters ending with the end of such fiscal quarter, all calculated for the Parent Guarantor and its Subsidiaries on a consolidated basis, to be greater than 3.50 to 1.00. Notwithstanding the foregoing, the Parent Guarantor shall be permitted (such permission, the “</w:t>
      </w:r>
      <w:r>
        <w:rPr>
          <w:rFonts w:ascii="Arial" w:cs="Arial" w:eastAsia="Arial" w:hAnsi="Arial"/>
          <w:sz w:val="16"/>
          <w:szCs w:val="16"/>
          <w:i w:val="1"/>
          <w:iCs w:val="1"/>
          <w:color w:val="auto"/>
        </w:rPr>
        <w:t>Acquisition Holiday</w:t>
      </w:r>
      <w:r>
        <w:rPr>
          <w:rFonts w:ascii="Arial" w:cs="Arial" w:eastAsia="Arial" w:hAnsi="Arial"/>
          <w:sz w:val="16"/>
          <w:szCs w:val="16"/>
          <w:color w:val="auto"/>
        </w:rPr>
        <w:t xml:space="preserve">”) on no more than two (2) occasions during the term of the Participation Agreement to allow the maximum Total Leverage Ratio under this Section 9(f) to be increased to 4.00 to 1.00 for a period of four consecutive fiscal quarters in connection with an Acquisition occurring during the first of such four fiscal quarters if the aggregate consideration paid or to be paid in respect of such Acquisition exceeds $500,000,000, so long as the Parent Guarantor is in compliance on a pro forma basis with the maximum Total Leverage Ratio of 4.00 to 1.00 on the closing date of such Acquisition immediately after giving effect to such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Parent Guarantor shall provide notice in writing to the Administrative Agent of such increase and a transaction description of such Acquisition (regarding the name of the Person or summary description of the assets being acquired and the approximate purchase price), (y) the Parent Guarantor may not elect a new Acquisition Holiday for at least two (2) fiscal quarters following the end of an Acquisition Holiday and (z) at the end of such period of four consecutive fiscal quarters, the maximum Total Leverage Ratio permitted under this Section 9(f) shall revert to 3.50 to 1.00.</w:t>
      </w:r>
    </w:p>
    <w:p>
      <w:pPr>
        <w:spacing w:after="0" w:line="168" w:lineRule="exact"/>
        <w:rPr>
          <w:rFonts w:ascii="Arial" w:cs="Arial" w:eastAsia="Arial" w:hAnsi="Arial"/>
          <w:sz w:val="16"/>
          <w:szCs w:val="16"/>
          <w:color w:val="auto"/>
        </w:rPr>
      </w:pPr>
    </w:p>
    <w:p>
      <w:pPr>
        <w:jc w:val="both"/>
        <w:ind w:firstLine="1305"/>
        <w:spacing w:after="0" w:line="259" w:lineRule="auto"/>
        <w:tabs>
          <w:tab w:leader="none" w:pos="1551"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t>Minimum Interest Coverage Ratio</w:t>
      </w:r>
      <w:r>
        <w:rPr>
          <w:rFonts w:ascii="Arial" w:cs="Arial" w:eastAsia="Arial" w:hAnsi="Arial"/>
          <w:sz w:val="18"/>
          <w:szCs w:val="18"/>
          <w:color w:val="auto"/>
        </w:rPr>
        <w:t>. The Parent Guarantor will not permit the ratio, determined as of the end of each of its fiscal quarters</w:t>
      </w:r>
      <w:r>
        <w:rPr>
          <w:rFonts w:ascii="Arial" w:cs="Arial" w:eastAsia="Arial" w:hAnsi="Arial"/>
          <w:sz w:val="18"/>
          <w:szCs w:val="18"/>
          <w:i w:val="1"/>
          <w:iCs w:val="1"/>
          <w:color w:val="auto"/>
        </w:rPr>
        <w:t xml:space="preserve"> </w:t>
      </w:r>
      <w:r>
        <w:rPr>
          <w:rFonts w:ascii="Arial" w:cs="Arial" w:eastAsia="Arial" w:hAnsi="Arial"/>
          <w:sz w:val="18"/>
          <w:szCs w:val="18"/>
          <w:color w:val="auto"/>
        </w:rPr>
        <w:t>ending on and after March 31, 2019, of (i) Consolidated EBITDA to (ii) Consolidated Interest Expense, in each case for the period of four (4) consecutive fiscal quarters ending with the end of such fiscal quarter, all calculated for the Parent Guarantor and its Subsidiaries on a consolidated basis, to be less than 2.50 to 1.00.</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10. Successors and Assigns</w:t>
      </w:r>
      <w:r>
        <w:rPr>
          <w:rFonts w:ascii="Arial" w:cs="Arial" w:eastAsia="Arial" w:hAnsi="Arial"/>
          <w:sz w:val="18"/>
          <w:szCs w:val="18"/>
          <w:color w:val="auto"/>
        </w:rPr>
        <w:t>. This Guaranty shall be binding upon each Guarantor and upon each Guarantor’s successors and assigns;</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no Guarantor shall assign or transfer any of its interests or obligations hereunder without the prior written consent of the requisite Participants in accordance with Section 15.5 of the Participation Agreement (it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color w:val="auto"/>
        </w:rPr>
        <w:t>being understood that the foregoing proviso shall not prohibit transactions permitted by Section 9(c) of this Guaranty).</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Section 11. Severability</w:t>
      </w:r>
      <w:r>
        <w:rPr>
          <w:rFonts w:ascii="Arial" w:cs="Arial" w:eastAsia="Arial" w:hAnsi="Arial"/>
          <w:sz w:val="18"/>
          <w:szCs w:val="18"/>
          <w:color w:val="auto"/>
        </w:rPr>
        <w:t>. Any provision of this Guaranty that is prohibited or unenforceable in any jurisdiction shall, as to such jurisdiction, be</w:t>
      </w:r>
      <w:r>
        <w:rPr>
          <w:rFonts w:ascii="Arial" w:cs="Arial" w:eastAsia="Arial" w:hAnsi="Arial"/>
          <w:sz w:val="18"/>
          <w:szCs w:val="18"/>
          <w:i w:val="1"/>
          <w:i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Section 12. Submission to Jurisdiction; Service of Process</w:t>
      </w:r>
      <w:r>
        <w:rPr>
          <w:rFonts w:ascii="Arial" w:cs="Arial" w:eastAsia="Arial" w:hAnsi="Arial"/>
          <w:sz w:val="16"/>
          <w:szCs w:val="16"/>
          <w:color w:val="auto"/>
        </w:rPr>
        <w:t>. Each Guarantor: (a) submits for itself and its property in any legal action or proceeding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this Guaranty, or for recognition and enforcement of any judgment in respect thereof, to the exclusive general jurisdiction of the United States District Court for the Southern District of New York and of any New York state court sitting in the borough of Manhattan, and appellate courts from any thereof; (b) consents that any such action or proceedings may be brought to such courts, and waives any objection that it may now or hereafter have to the venue of any such action or proceeding in any such court or that such action or proceeding was brought in an inconvenient court and agrees not to plead or claim the same; (c) agrees, to the fullest extent of Applicable Law, that service of process in any such action or proceeding may be effected by mailing a copy thereof by registered or certified mail (or any substantially similar form of mail), postage prepaid, to it at its address referred to in Section 13 below or at such other address of which the other parties hereto shall have been notified pursuant to Section 13; and (d) agrees that nothing herein shall affect the right to effect service of process in any other manner permitted by law or shall affect the right that any Beneficiary may otherwise have to sue in any other jurisdiction.</w:t>
      </w:r>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Section 13. Notices</w:t>
      </w:r>
      <w:r>
        <w:rPr>
          <w:rFonts w:ascii="Arial" w:cs="Arial" w:eastAsia="Arial" w:hAnsi="Arial"/>
          <w:sz w:val="18"/>
          <w:szCs w:val="18"/>
          <w:color w:val="auto"/>
        </w:rPr>
        <w:t>. All notices, requests, demands or other communications (i) to any Guarantor or (ii) that are required or permitted to be made by any</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pursuant to this Guaranty to Administrative Agent and/or any Participant shall be in writing and shall be deemed to have been duly given when addressed to the appropriate Person and delivered in the manner specified in Section 15.3 of the Participation Agreement. The initial address for notices to each Guarantor is set forth on Schedule III to the Participation Agreement.</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Section 14. Amendment. </w:t>
      </w:r>
      <w:r>
        <w:rPr>
          <w:rFonts w:ascii="Arial" w:cs="Arial" w:eastAsia="Arial" w:hAnsi="Arial"/>
          <w:sz w:val="18"/>
          <w:szCs w:val="18"/>
          <w:color w:val="auto"/>
        </w:rPr>
        <w:t>This Guaranty may not be amended or modified or any of its provisions waived, except in accordance with the terms of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15.5 of the Participation Agreement.</w:t>
      </w:r>
    </w:p>
    <w:p>
      <w:pPr>
        <w:spacing w:after="0" w:line="16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i w:val="1"/>
          <w:iCs w:val="1"/>
          <w:color w:val="auto"/>
        </w:rPr>
        <w:t>Section 15. Governing Law; Waiver of Jury Trial</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GUARANTY SHALL IN ALL RESPECTS, EXCEPT AS SET FORTH IN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PROVISO, BE GOVERNED BY THE INTERNAL LAW OF THE STATE OF NEW YORK AS TO ALL MATTERS OF CONSTRUCTION, VALIDITY AND PERFORMANCE, WITHOUT REGARD TO CONFLICTS OF LAW PRINCIPLES, EXCEPT TITLE 14 OF ARTICLE 5 OF THE NEW YORK GENERAL OBLIGATIONS LAW; PROVIDED, HOWEVER, THAT WITH RESPECT TO THE CREATION, PERFECTION, EFFECT OF PERFECTION, PRIORITY AND ENFORCEMENT OF SECURITY INTERESTS AND LIENS IN THE LEASED PROPERTY AND PROJECT COLLATERAL, SUCH MATTERS SHALL BE GOVERNED BY THE LAWS OF THE STATE OF NEW YORK AND, TO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57" w:name="page358"/>
    <w:bookmarkEnd w:id="357"/>
    <w:p>
      <w:pPr>
        <w:jc w:val="both"/>
        <w:spacing w:after="0" w:line="256" w:lineRule="auto"/>
        <w:rPr>
          <w:sz w:val="20"/>
          <w:szCs w:val="20"/>
          <w:color w:val="auto"/>
        </w:rPr>
      </w:pPr>
      <w:r>
        <w:rPr>
          <w:rFonts w:ascii="Arial" w:cs="Arial" w:eastAsia="Arial" w:hAnsi="Arial"/>
          <w:sz w:val="18"/>
          <w:szCs w:val="18"/>
          <w:b w:val="1"/>
          <w:bCs w:val="1"/>
          <w:color w:val="auto"/>
        </w:rPr>
        <w:t>EXTENT APPLICABLE, THE UNIFORM COMMERCIAL CODE OF SUCH STATE (INCLUDING THE CHOICE OF LAW RULES UNDER SUCH UNIFORM COMMERCIAL CODE). EACH GUARANTOR HEREBY EXPRESSLY WAIVES ANY RIGHT TO A TRIAL BY JURY IN ANY ACTION OR PROCEEDING TO ENFORCE OR DEFEND ANY RIGHTS UNDER THIS GUARANTY OR UNDER ANY AMENDMENT, INSTRUMENT, DOCUMENT OR AGREEMENT DELIVERED OR WHICH MAY IN THE FUTURE BE DELIVERED IN CONNECTION HEREWITH OR ARISING FROM ANY RELATIONSHIP EXISTING IN CONNECTION WITH THIS GUARANTY, AND AGREES THAT ANY SUCH ACTION OR PROCEEDING SHALL BE TRIED BEFORE A COURT AND NOT BEFORE A JURY.</w:t>
      </w:r>
    </w:p>
    <w:p>
      <w:pPr>
        <w:spacing w:after="0" w:line="19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i w:val="1"/>
          <w:iCs w:val="1"/>
          <w:color w:val="auto"/>
        </w:rPr>
        <w:t>Section 16. No Advisory or Fiduciary Responsibility</w:t>
      </w:r>
      <w:r>
        <w:rPr>
          <w:rFonts w:ascii="Arial" w:cs="Arial" w:eastAsia="Arial" w:hAnsi="Arial"/>
          <w:sz w:val="16"/>
          <w:szCs w:val="16"/>
          <w:color w:val="auto"/>
        </w:rPr>
        <w:t>. In connection with all aspects of each transaction contemplated hereby (including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any amendment, waiver or other modification hereof or of any other Operative Document), each Guarantor acknowledges and agrees that: (i) (A) the services regarding this Guaranty provided by the Administrative Agent and the Participants are arm’s-length commercial transactions between the Guarantors, on the one hand, and the Administrative Agent and the Participants, on the other hand, (B) each Guarantor has consulted its own legal, accounting, regulatory and tax advisors to the extent it has deemed appropriate, and (C) each Guarantor is capable of evaluating, and understands and accepts, the terms, risks and conditions of the transactions contemplated hereby and by the other Operative Documents; (ii) (A) the Administrative Agent and each Participant is and has been acting solely as a principal and, except as expressly agreed in writing by the relevant parties, has not been, is not, and will not be acting as an advisor, agent or fiduciary for any Guarantor or any other Person and (B) neither the Administrative Agent nor any Participant has any obligation to any Guarantor or any of its Affiliates with respect to the transactions contemplated hereby except those obligations expressly set forth herein and in the other Operative Documents; and (iii) the Administrative Agent and the Participants and their respective Affiliates may be engaged in a broad range of transactions that involve interests that differ from those of the Guarantors and their respective Affiliates, and neither the Administrative Agent, nor any Participant has any obligation to disclose any of such interests to any Guarantor or any of its Affiliates. None of the Administrative Agent and the Participants will use confidential information obtained from or on behalf of Lessee or any Guarantor by virtue of the transactions contemplated by the Operative Documents or its other relationships with Lessee or any Guarantor in connection with the performance by the Administrative Agent or such Participant of services for other companies, and none of the Administrative Agent and the Participants will furnish any such information to other companies. To the fullest extent permitted by law, each Guarantor hereby waives and releases any claims that it may have against the Administrative Agent, or any Participant with respect to any breach or alleged breach of agency or fiduciary duty in connection with any aspect of any transaction contemplated hereby.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17. Releases; Termination of Guaranty</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64" w:lineRule="auto"/>
        <w:tabs>
          <w:tab w:leader="none" w:pos="157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Subsidiary Guarantor shall automatically be released from its obligations under this Guaranty upon the consummation of any transaction permitted by this Guaranty as a result of which such Subsidiary Guarantor ceases to be a Subsidiary, so long as, immediately after giving effect to the consummation of such transaction, no Default or Event of Default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58" w:name="page359"/>
    <w:bookmarkEnd w:id="358"/>
    <w:p>
      <w:pPr>
        <w:ind w:right="580"/>
        <w:spacing w:after="0" w:line="277" w:lineRule="auto"/>
        <w:rPr>
          <w:sz w:val="20"/>
          <w:szCs w:val="20"/>
          <w:color w:val="auto"/>
        </w:rPr>
      </w:pPr>
      <w:r>
        <w:rPr>
          <w:rFonts w:ascii="Arial" w:cs="Arial" w:eastAsia="Arial" w:hAnsi="Arial"/>
          <w:sz w:val="18"/>
          <w:szCs w:val="18"/>
          <w:color w:val="auto"/>
        </w:rPr>
        <w:t xml:space="preserve">results therefrom;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so required by this Guaranty or the Participation Agreement, the Required Participants shall have consented to such transaction and the terms of such consent shall not have provided otherwise.</w:t>
      </w:r>
    </w:p>
    <w:p>
      <w:pPr>
        <w:spacing w:after="0" w:line="170" w:lineRule="exact"/>
        <w:rPr>
          <w:sz w:val="20"/>
          <w:szCs w:val="20"/>
          <w:color w:val="auto"/>
        </w:rPr>
      </w:pPr>
    </w:p>
    <w:p>
      <w:pPr>
        <w:jc w:val="both"/>
        <w:ind w:firstLine="1305"/>
        <w:spacing w:after="0" w:line="255" w:lineRule="auto"/>
        <w:tabs>
          <w:tab w:leader="none" w:pos="157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Further, the Administrative Agent may (and is hereby irrevocably authorized by each Participant to), upon the request of the Parent Guarantor or Lessee, release any Subsidiary Guarantor from its obligations under this Guaranty if such Subsidiary Guarantor is no longer a Material Domestic Subsidiary, becomes an Excluded Subsidiary or is otherwise not required pursuant to this terms of this Guaranty to provide a Subsidiary Guaranty; provided that, unless such Subsidiary Guarantor is a Bank Credit Agreement Specified Loan Party, prior to or substantially concurrently with the release of such Subsidiary Guarantor pursuant to this Section 17(b), it ceases to be a loan party (whether as a guarantor and/or borrower) under the Bank Credit Agreement and related loan documents.</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56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Further, the Administrative Agent may (and is hereby irrevocably authorized by each Participant to), upon the request of the Parent Guarantor or Lessee, release any Guarantor from its obligations under this Guaranty if such release is approved, authorized or ratified by the requisite Participants pursuant to Section 15.5 of the Participation Agreement.</w:t>
      </w:r>
    </w:p>
    <w:p>
      <w:pPr>
        <w:spacing w:after="0" w:line="181" w:lineRule="exact"/>
        <w:rPr>
          <w:rFonts w:ascii="Arial" w:cs="Arial" w:eastAsia="Arial" w:hAnsi="Arial"/>
          <w:sz w:val="18"/>
          <w:szCs w:val="18"/>
          <w:color w:val="auto"/>
        </w:rPr>
      </w:pPr>
    </w:p>
    <w:p>
      <w:pPr>
        <w:jc w:val="both"/>
        <w:ind w:firstLine="1305"/>
        <w:spacing w:after="0" w:line="293" w:lineRule="auto"/>
        <w:tabs>
          <w:tab w:leader="none" w:pos="1587"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At such time as the Liabilities (other than Liabilities expressly stated to survive such payment and termination) shall have been indefeasibly paid in full in cash, all obligations of each Guarantor under this Guaranty shall automatically terminate (other than with respect to Liabilities expressly stated to survive such payment and termination), all without delivery of any instrument or performance of any act by any Person (it being agreed that, upon indefeasible payment in full in cash of the Liabilities (other than (i) Liabilities expressly stated to survive such payment and termination and (ii) contingent Liabilities for costs, expenses, indemnities and similar obligations not then due and payable), Sections 8 and 9 of this Guaranty shall automatically terminate, notwithstanding the survival of this Guaranty with respect to Liabilities expressly stated to survive such payment and termination).</w:t>
      </w:r>
    </w:p>
    <w:p>
      <w:pPr>
        <w:spacing w:after="0" w:line="164" w:lineRule="exact"/>
        <w:rPr>
          <w:rFonts w:ascii="Arial" w:cs="Arial" w:eastAsia="Arial" w:hAnsi="Arial"/>
          <w:sz w:val="16"/>
          <w:szCs w:val="16"/>
          <w:color w:val="auto"/>
        </w:rPr>
      </w:pPr>
    </w:p>
    <w:p>
      <w:pPr>
        <w:jc w:val="both"/>
        <w:ind w:firstLine="1305"/>
        <w:spacing w:after="0" w:line="255" w:lineRule="auto"/>
        <w:tabs>
          <w:tab w:leader="none" w:pos="155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Upon request by the Administrative Agent at any time, the Participants will confirm in writing the Administrative Agent’s authority to release any particular Guarantor pursuant hereto. In connection with any termination or release pursuant to this Section 17, the Administrative Agent shall (and is hereby irrevocably authorized by each Participant to) execute and deliver to any Guarantor or Lessee, at such Guarantor’s or Lessee’s expense, all documents that such Guarantor or Lessee shall reasonably request to evidence such termination or release. Any execution and delivery of documents pursuant to this Section 17 shall be without recourse to or warranty by the Administrative Agent except with respect to any customary further assurances that are expressly agreed to in writing by the Administrative Agent.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18. Contribution with Respect to Liabilities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64" w:lineRule="auto"/>
        <w:tabs>
          <w:tab w:leader="none" w:pos="155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To the extent that any Guarantor shall make a payment under this Guaranty (a “</w:t>
      </w:r>
      <w:r>
        <w:rPr>
          <w:rFonts w:ascii="Arial" w:cs="Arial" w:eastAsia="Arial" w:hAnsi="Arial"/>
          <w:sz w:val="18"/>
          <w:szCs w:val="18"/>
          <w:i w:val="1"/>
          <w:iCs w:val="1"/>
          <w:color w:val="auto"/>
        </w:rPr>
        <w:t>Guarantor Payment</w:t>
      </w:r>
      <w:r>
        <w:rPr>
          <w:rFonts w:ascii="Arial" w:cs="Arial" w:eastAsia="Arial" w:hAnsi="Arial"/>
          <w:sz w:val="18"/>
          <w:szCs w:val="18"/>
          <w:color w:val="auto"/>
        </w:rPr>
        <w:t>”) which, taking into account all other Guarantor Payments then previously or concurrently made by any other Guarantor, exceeds the amount which otherwise would have been paid by or attributable to such Guarantor if each Guarantor had paid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59" w:name="page360"/>
    <w:bookmarkEnd w:id="359"/>
    <w:p>
      <w:pPr>
        <w:jc w:val="both"/>
        <w:spacing w:after="0" w:line="276" w:lineRule="auto"/>
        <w:rPr>
          <w:sz w:val="20"/>
          <w:szCs w:val="20"/>
          <w:color w:val="auto"/>
        </w:rPr>
      </w:pPr>
      <w:r>
        <w:rPr>
          <w:rFonts w:ascii="Arial" w:cs="Arial" w:eastAsia="Arial" w:hAnsi="Arial"/>
          <w:sz w:val="17"/>
          <w:szCs w:val="17"/>
          <w:color w:val="auto"/>
        </w:rPr>
        <w:t>aggregate Liabilities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Liabilities and termination of this Guaranty,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spacing w:after="0" w:line="173" w:lineRule="exact"/>
        <w:rPr>
          <w:sz w:val="20"/>
          <w:szCs w:val="20"/>
          <w:color w:val="auto"/>
        </w:rPr>
      </w:pPr>
    </w:p>
    <w:p>
      <w:pPr>
        <w:jc w:val="both"/>
        <w:ind w:firstLine="1305"/>
        <w:spacing w:after="0" w:line="302" w:lineRule="auto"/>
        <w:tabs>
          <w:tab w:leader="none" w:pos="1558"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54" w:lineRule="exact"/>
        <w:rPr>
          <w:rFonts w:ascii="Arial" w:cs="Arial" w:eastAsia="Arial" w:hAnsi="Arial"/>
          <w:sz w:val="16"/>
          <w:szCs w:val="16"/>
          <w:color w:val="auto"/>
        </w:rPr>
      </w:pPr>
    </w:p>
    <w:p>
      <w:pPr>
        <w:jc w:val="both"/>
        <w:ind w:firstLine="1305"/>
        <w:spacing w:after="0" w:line="264" w:lineRule="auto"/>
        <w:tabs>
          <w:tab w:leader="none" w:pos="154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This Section 18 is intended only to define the relative rights of the Guarantors, and nothing set forth in this Section 18 is intended to or shall impair the obligations of the Guarantors, jointly and severally, to pay any amounts as and when the same shall become due and payable in accordance with the terms of this Guaranty.</w:t>
      </w:r>
    </w:p>
    <w:p>
      <w:pPr>
        <w:spacing w:after="0" w:line="181" w:lineRule="exact"/>
        <w:rPr>
          <w:rFonts w:ascii="Arial" w:cs="Arial" w:eastAsia="Arial" w:hAnsi="Arial"/>
          <w:sz w:val="18"/>
          <w:szCs w:val="18"/>
          <w:color w:val="auto"/>
        </w:rPr>
      </w:pPr>
    </w:p>
    <w:p>
      <w:pPr>
        <w:ind w:right="20" w:firstLine="1305"/>
        <w:spacing w:after="0" w:line="277" w:lineRule="auto"/>
        <w:tabs>
          <w:tab w:leader="none" w:pos="155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Guarantor or Guarantors to which such contribution and indemnification is owing.</w:t>
      </w:r>
    </w:p>
    <w:p>
      <w:pPr>
        <w:spacing w:after="0" w:line="170" w:lineRule="exact"/>
        <w:rPr>
          <w:rFonts w:ascii="Arial" w:cs="Arial" w:eastAsia="Arial" w:hAnsi="Arial"/>
          <w:sz w:val="18"/>
          <w:szCs w:val="18"/>
          <w:color w:val="auto"/>
        </w:rPr>
      </w:pPr>
    </w:p>
    <w:p>
      <w:pPr>
        <w:ind w:firstLine="1305"/>
        <w:spacing w:after="0" w:line="277" w:lineRule="auto"/>
        <w:tabs>
          <w:tab w:leader="none" w:pos="157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rights of the indemnifying Guarantors against other Guarantors under this Section 18 shall be exercisable upon the full and indefeasible payment of the Liabilities in cash and the termination of this Guaranty pursuant to Section 17.</w:t>
      </w:r>
    </w:p>
    <w:p>
      <w:pPr>
        <w:spacing w:after="0" w:line="17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Section 19. Effect of Restatement. </w:t>
      </w:r>
      <w:r>
        <w:rPr>
          <w:rFonts w:ascii="Arial" w:cs="Arial" w:eastAsia="Arial" w:hAnsi="Arial"/>
          <w:sz w:val="17"/>
          <w:szCs w:val="17"/>
          <w:color w:val="auto"/>
        </w:rPr>
        <w:t>On the Restatement Date, the Original Guaranty will be amended and restated as set forth in this Guaranty.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hereto acknowledge and agree, however, that (a) this Guaranty and the other Restated Operative Documents do not constitute a novation or termination of the Liabilities under and as defined in the Original Guaranty or under the other Operative Documents as in effect immediately prior to the Restatement Date, (b) such Liabilities are in all respects continuing with only the terms being modified as provided in this Guaranty and the other Restated Operative Documents, (c) the mortgage, liens and security interests in favor of the Lessor securing payment of such Obligations are in all respects continuing and in full force and effect with respect to all Obligations and (d) except to the extent the context requires otherwise, all references in the other Operative Documents to the “Guaranty” or other reference originally applicable to the Original Guaranty shall be deemed to refer without further amendment to this Guaranty, as amended, restated, supplemented or otherwise modified from time to time in accordance with the terms 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ND OF</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AGES</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60" w:name="page361"/>
    <w:bookmarkEnd w:id="360"/>
    <w:p>
      <w:pPr>
        <w:ind w:left="660"/>
        <w:spacing w:after="0"/>
        <w:rPr>
          <w:sz w:val="20"/>
          <w:szCs w:val="20"/>
          <w:color w:val="auto"/>
        </w:rPr>
      </w:pPr>
      <w:r>
        <w:rPr>
          <w:rFonts w:ascii="Arial" w:cs="Arial" w:eastAsia="Arial" w:hAnsi="Arial"/>
          <w:sz w:val="16"/>
          <w:szCs w:val="16"/>
          <w:color w:val="auto"/>
        </w:rPr>
        <w:t>I</w:t>
      </w:r>
      <w:r>
        <w:rPr>
          <w:rFonts w:ascii="Arial" w:cs="Arial" w:eastAsia="Arial" w:hAnsi="Arial"/>
          <w:sz w:val="11"/>
          <w:szCs w:val="11"/>
          <w:color w:val="auto"/>
        </w:rPr>
        <w:t>N</w:t>
      </w:r>
      <w:r>
        <w:rPr>
          <w:rFonts w:ascii="Arial" w:cs="Arial" w:eastAsia="Arial" w:hAnsi="Arial"/>
          <w:sz w:val="16"/>
          <w:szCs w:val="16"/>
          <w:color w:val="auto"/>
        </w:rPr>
        <w:t xml:space="preserve"> W</w:t>
      </w:r>
      <w:r>
        <w:rPr>
          <w:rFonts w:ascii="Arial" w:cs="Arial" w:eastAsia="Arial" w:hAnsi="Arial"/>
          <w:sz w:val="11"/>
          <w:szCs w:val="11"/>
          <w:color w:val="auto"/>
        </w:rPr>
        <w:t>ITNESS</w:t>
      </w:r>
      <w:r>
        <w:rPr>
          <w:rFonts w:ascii="Arial" w:cs="Arial" w:eastAsia="Arial" w:hAnsi="Arial"/>
          <w:sz w:val="16"/>
          <w:szCs w:val="16"/>
          <w:color w:val="auto"/>
        </w:rPr>
        <w:t xml:space="preserve"> W</w:t>
      </w:r>
      <w:r>
        <w:rPr>
          <w:rFonts w:ascii="Arial" w:cs="Arial" w:eastAsia="Arial" w:hAnsi="Arial"/>
          <w:sz w:val="11"/>
          <w:szCs w:val="11"/>
          <w:color w:val="auto"/>
        </w:rPr>
        <w:t>HEREOF</w:t>
      </w:r>
      <w:r>
        <w:rPr>
          <w:rFonts w:ascii="Arial" w:cs="Arial" w:eastAsia="Arial" w:hAnsi="Arial"/>
          <w:sz w:val="16"/>
          <w:szCs w:val="16"/>
          <w:color w:val="auto"/>
        </w:rPr>
        <w:t>, each Initial Guarantor has caused this Amended and Restated Guaranty to be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as Parent Guarantor</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Leonard N. Brooks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Vice President,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61" w:name="page362"/>
    <w:bookmarkEnd w:id="361"/>
    <w:p>
      <w:pPr>
        <w:jc w:val="right"/>
        <w:ind w:right="41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H</w:t>
      </w:r>
      <w:r>
        <w:rPr>
          <w:rFonts w:ascii="Arial" w:cs="Arial" w:eastAsia="Arial" w:hAnsi="Arial"/>
          <w:sz w:val="12"/>
          <w:szCs w:val="12"/>
          <w:color w:val="auto"/>
        </w:rPr>
        <w:t>EALTHCARE</w:t>
      </w:r>
      <w:r>
        <w:rPr>
          <w:rFonts w:ascii="Arial" w:cs="Arial" w:eastAsia="Arial" w:hAnsi="Arial"/>
          <w:sz w:val="18"/>
          <w:szCs w:val="18"/>
          <w:color w:val="auto"/>
        </w:rPr>
        <w:t xml:space="preserve"> S</w:t>
      </w:r>
      <w:r>
        <w:rPr>
          <w:rFonts w:ascii="Arial" w:cs="Arial" w:eastAsia="Arial" w:hAnsi="Arial"/>
          <w:sz w:val="12"/>
          <w:szCs w:val="12"/>
          <w:color w:val="auto"/>
        </w:rPr>
        <w:t>OLUTIONS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 a Subsidiary Guarantor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Marion McCourt</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Marion McCourt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-130810</wp:posOffset>
            </wp:positionV>
            <wp:extent cx="260731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General Manager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184150</wp:posOffset>
            </wp:positionV>
            <wp:extent cx="724662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362" w:name="page363"/>
    <w:bookmarkEnd w:id="362"/>
    <w:p>
      <w:pPr>
        <w:jc w:val="right"/>
        <w:ind w:right="79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G</w:t>
      </w:r>
      <w:r>
        <w:rPr>
          <w:rFonts w:ascii="Arial" w:cs="Arial" w:eastAsia="Arial" w:hAnsi="Arial"/>
          <w:sz w:val="12"/>
          <w:szCs w:val="12"/>
          <w:color w:val="auto"/>
        </w:rPr>
        <w:t>ENETICS</w:t>
      </w:r>
      <w:r>
        <w:rPr>
          <w:rFonts w:ascii="Arial" w:cs="Arial" w:eastAsia="Arial" w:hAnsi="Arial"/>
          <w:sz w:val="18"/>
          <w:szCs w:val="18"/>
          <w:color w:val="auto"/>
        </w:rPr>
        <w:t xml:space="preserve"> C</w:t>
      </w:r>
      <w:r>
        <w:rPr>
          <w:rFonts w:ascii="Arial" w:cs="Arial" w:eastAsia="Arial" w:hAnsi="Arial"/>
          <w:sz w:val="12"/>
          <w:szCs w:val="12"/>
          <w:color w:val="auto"/>
        </w:rPr>
        <w:t>ENTER</w:t>
      </w:r>
      <w:r>
        <w:rPr>
          <w:rFonts w:ascii="Arial" w:cs="Arial" w:eastAsia="Arial" w:hAnsi="Arial"/>
          <w:sz w:val="18"/>
          <w:szCs w:val="18"/>
          <w:color w:val="auto"/>
        </w:rPr>
        <w:t xml:space="preserve"> LLC,</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 a Subsidiary Guarantor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Leonard N. Brooks</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-130810</wp:posOffset>
            </wp:positionV>
            <wp:extent cx="260731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184150</wp:posOffset>
            </wp:positionV>
            <wp:extent cx="7246620"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363" w:name="page364"/>
    <w:bookmarkEnd w:id="363"/>
    <w:p>
      <w:pPr>
        <w:ind w:left="5780"/>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as of the date first written above:</w:t>
      </w:r>
    </w:p>
    <w:p>
      <w:pPr>
        <w:spacing w:after="0" w:line="23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ANK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N.A.,</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Aamir Saleem</w:t>
      </w:r>
    </w:p>
    <w:p>
      <w:pPr>
        <w:spacing w:after="0" w:line="3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Aamir Saleem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-130810</wp:posOffset>
            </wp:positionV>
            <wp:extent cx="260731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184150</wp:posOffset>
            </wp:positionV>
            <wp:extent cx="7246620" cy="34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364" w:name="page365"/>
    <w:bookmarkEnd w:id="364"/>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NNEX</w:t>
      </w:r>
      <w:r>
        <w:rPr>
          <w:rFonts w:ascii="Arial" w:cs="Arial" w:eastAsia="Arial" w:hAnsi="Arial"/>
          <w:sz w:val="22"/>
          <w:szCs w:val="22"/>
          <w:b w:val="1"/>
          <w:bCs w:val="1"/>
          <w:color w:val="auto"/>
        </w:rPr>
        <w:t xml:space="preserv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UPPLEMENT TO</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UARANTY</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Reference is hereby made to the Amended and Restated Guaranty, dated as of May 2, 2019 (as amended, restated, supplemented or otherwise modified from time to time, the “</w:t>
      </w:r>
      <w:r>
        <w:rPr>
          <w:rFonts w:ascii="Arial" w:cs="Arial" w:eastAsia="Arial" w:hAnsi="Arial"/>
          <w:sz w:val="16"/>
          <w:szCs w:val="16"/>
          <w:i w:val="1"/>
          <w:iCs w:val="1"/>
          <w:color w:val="auto"/>
        </w:rPr>
        <w:t>Guaranty</w:t>
      </w:r>
      <w:r>
        <w:rPr>
          <w:rFonts w:ascii="Arial" w:cs="Arial" w:eastAsia="Arial" w:hAnsi="Arial"/>
          <w:sz w:val="16"/>
          <w:szCs w:val="16"/>
          <w:color w:val="auto"/>
        </w:rPr>
        <w:t>”), made by (i) R</w:t>
      </w:r>
      <w:r>
        <w:rPr>
          <w:rFonts w:ascii="Arial" w:cs="Arial" w:eastAsia="Arial" w:hAnsi="Arial"/>
          <w:sz w:val="11"/>
          <w:szCs w:val="11"/>
          <w:color w:val="auto"/>
        </w:rPr>
        <w:t>EGENERON</w:t>
      </w:r>
      <w:r>
        <w:rPr>
          <w:rFonts w:ascii="Arial" w:cs="Arial" w:eastAsia="Arial" w:hAnsi="Arial"/>
          <w:sz w:val="16"/>
          <w:szCs w:val="16"/>
          <w:color w:val="auto"/>
        </w:rPr>
        <w:t xml:space="preserve"> P</w:t>
      </w:r>
      <w:r>
        <w:rPr>
          <w:rFonts w:ascii="Arial" w:cs="Arial" w:eastAsia="Arial" w:hAnsi="Arial"/>
          <w:sz w:val="11"/>
          <w:szCs w:val="11"/>
          <w:color w:val="auto"/>
        </w:rPr>
        <w:t>HARMACEUTICALS</w:t>
      </w:r>
      <w:r>
        <w:rPr>
          <w:rFonts w:ascii="Arial" w:cs="Arial" w:eastAsia="Arial" w:hAnsi="Arial"/>
          <w:sz w:val="16"/>
          <w:szCs w:val="16"/>
          <w:color w:val="auto"/>
        </w:rPr>
        <w:t>, I</w:t>
      </w:r>
      <w:r>
        <w:rPr>
          <w:rFonts w:ascii="Arial" w:cs="Arial" w:eastAsia="Arial" w:hAnsi="Arial"/>
          <w:sz w:val="11"/>
          <w:szCs w:val="11"/>
          <w:color w:val="auto"/>
        </w:rPr>
        <w:t>NC</w:t>
      </w:r>
      <w:r>
        <w:rPr>
          <w:rFonts w:ascii="Arial" w:cs="Arial" w:eastAsia="Arial" w:hAnsi="Arial"/>
          <w:sz w:val="16"/>
          <w:szCs w:val="16"/>
          <w:color w:val="auto"/>
        </w:rPr>
        <w:t>., a New York corporation (the “</w:t>
      </w:r>
      <w:r>
        <w:rPr>
          <w:rFonts w:ascii="Arial" w:cs="Arial" w:eastAsia="Arial" w:hAnsi="Arial"/>
          <w:sz w:val="16"/>
          <w:szCs w:val="16"/>
          <w:i w:val="1"/>
          <w:iCs w:val="1"/>
          <w:color w:val="auto"/>
        </w:rPr>
        <w:t>Parent Guarantor</w:t>
      </w:r>
      <w:r>
        <w:rPr>
          <w:rFonts w:ascii="Arial" w:cs="Arial" w:eastAsia="Arial" w:hAnsi="Arial"/>
          <w:sz w:val="16"/>
          <w:szCs w:val="16"/>
          <w:color w:val="auto"/>
        </w:rPr>
        <w:t>”), and (ii) each Subsidiary of the Parent Guarantor party thereto from time to time as a Subsidiary Guarantor, and together with the New Subsidiary Guarantor (as defined below) (the “</w:t>
      </w:r>
      <w:r>
        <w:rPr>
          <w:rFonts w:ascii="Arial" w:cs="Arial" w:eastAsia="Arial" w:hAnsi="Arial"/>
          <w:sz w:val="16"/>
          <w:szCs w:val="16"/>
          <w:i w:val="1"/>
          <w:iCs w:val="1"/>
          <w:color w:val="auto"/>
        </w:rPr>
        <w:t>Subsidiary Guarantors</w:t>
      </w:r>
      <w:r>
        <w:rPr>
          <w:rFonts w:ascii="Arial" w:cs="Arial" w:eastAsia="Arial" w:hAnsi="Arial"/>
          <w:sz w:val="16"/>
          <w:szCs w:val="16"/>
          <w:color w:val="auto"/>
        </w:rPr>
        <w:t xml:space="preserve">”) in favor of (a) each Participant, and (b) the Administrative Agent, for the benefit of itself and the other Beneficiaries. Capitalized terms used herein and not defined herein shall have the meanings given to them in the Guaranty. By its execution below, the undersigned </w:t>
      </w:r>
      <w:r>
        <w:rPr>
          <w:rFonts w:ascii="Arial" w:cs="Arial" w:eastAsia="Arial" w:hAnsi="Arial"/>
          <w:sz w:val="16"/>
          <w:szCs w:val="16"/>
          <w:b w:val="1"/>
          <w:bCs w:val="1"/>
          <w:color w:val="auto"/>
        </w:rPr>
        <w:t>[N</w:t>
      </w:r>
      <w:r>
        <w:rPr>
          <w:rFonts w:ascii="Arial" w:cs="Arial" w:eastAsia="Arial" w:hAnsi="Arial"/>
          <w:sz w:val="11"/>
          <w:szCs w:val="11"/>
          <w:b w:val="1"/>
          <w:bCs w:val="1"/>
          <w:color w:val="auto"/>
        </w:rPr>
        <w:t>AME</w:t>
      </w:r>
      <w:r>
        <w:rPr>
          <w:rFonts w:ascii="Arial" w:cs="Arial" w:eastAsia="Arial" w:hAnsi="Arial"/>
          <w:sz w:val="16"/>
          <w:szCs w:val="16"/>
          <w:color w:val="auto"/>
        </w:rPr>
        <w:t xml:space="preserve"> </w:t>
      </w:r>
      <w:r>
        <w:rPr>
          <w:rFonts w:ascii="Arial" w:cs="Arial" w:eastAsia="Arial" w:hAnsi="Arial"/>
          <w:sz w:val="11"/>
          <w:szCs w:val="11"/>
          <w:b w:val="1"/>
          <w:bCs w:val="1"/>
          <w:color w:val="auto"/>
        </w:rPr>
        <w:t xml:space="preserve">OF </w:t>
      </w:r>
      <w:r>
        <w:rPr>
          <w:rFonts w:ascii="Arial" w:cs="Arial" w:eastAsia="Arial" w:hAnsi="Arial"/>
          <w:sz w:val="16"/>
          <w:szCs w:val="16"/>
          <w:b w:val="1"/>
          <w:bCs w:val="1"/>
          <w:color w:val="auto"/>
        </w:rPr>
        <w:t>N</w:t>
      </w:r>
      <w:r>
        <w:rPr>
          <w:rFonts w:ascii="Arial" w:cs="Arial" w:eastAsia="Arial" w:hAnsi="Arial"/>
          <w:sz w:val="11"/>
          <w:szCs w:val="11"/>
          <w:b w:val="1"/>
          <w:bCs w:val="1"/>
          <w:color w:val="auto"/>
        </w:rPr>
        <w:t xml:space="preserve">EW </w:t>
      </w:r>
      <w:r>
        <w:rPr>
          <w:rFonts w:ascii="Arial" w:cs="Arial" w:eastAsia="Arial" w:hAnsi="Arial"/>
          <w:sz w:val="16"/>
          <w:szCs w:val="16"/>
          <w:b w:val="1"/>
          <w:bCs w:val="1"/>
          <w:color w:val="auto"/>
        </w:rPr>
        <w:t>S</w:t>
      </w:r>
      <w:r>
        <w:rPr>
          <w:rFonts w:ascii="Arial" w:cs="Arial" w:eastAsia="Arial" w:hAnsi="Arial"/>
          <w:sz w:val="11"/>
          <w:szCs w:val="11"/>
          <w:b w:val="1"/>
          <w:bCs w:val="1"/>
          <w:color w:val="auto"/>
        </w:rPr>
        <w:t xml:space="preserve">UBSIDIARY </w:t>
      </w:r>
      <w:r>
        <w:rPr>
          <w:rFonts w:ascii="Arial" w:cs="Arial" w:eastAsia="Arial" w:hAnsi="Arial"/>
          <w:sz w:val="16"/>
          <w:szCs w:val="16"/>
          <w:b w:val="1"/>
          <w:bCs w:val="1"/>
          <w:color w:val="auto"/>
        </w:rPr>
        <w:t>G</w:t>
      </w:r>
      <w:r>
        <w:rPr>
          <w:rFonts w:ascii="Arial" w:cs="Arial" w:eastAsia="Arial" w:hAnsi="Arial"/>
          <w:sz w:val="11"/>
          <w:szCs w:val="11"/>
          <w:b w:val="1"/>
          <w:bCs w:val="1"/>
          <w:color w:val="auto"/>
        </w:rPr>
        <w:t>UARANTOR</w:t>
      </w:r>
      <w:r>
        <w:rPr>
          <w:rFonts w:ascii="Arial" w:cs="Arial" w:eastAsia="Arial" w:hAnsi="Arial"/>
          <w:sz w:val="16"/>
          <w:szCs w:val="16"/>
          <w:b w:val="1"/>
          <w:bCs w:val="1"/>
          <w:color w:val="auto"/>
        </w:rPr>
        <w:t>]</w:t>
      </w:r>
      <w:r>
        <w:rPr>
          <w:rFonts w:ascii="Arial" w:cs="Arial" w:eastAsia="Arial" w:hAnsi="Arial"/>
          <w:sz w:val="16"/>
          <w:szCs w:val="16"/>
          <w:color w:val="auto"/>
        </w:rPr>
        <w:t>, a</w:t>
      </w: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rPr>
        <w:t>[corporation] [partnership] [limited liability company]</w:t>
      </w:r>
      <w:r>
        <w:rPr>
          <w:rFonts w:ascii="Arial" w:cs="Arial" w:eastAsia="Arial" w:hAnsi="Arial"/>
          <w:sz w:val="11"/>
          <w:szCs w:val="11"/>
          <w:b w:val="1"/>
          <w:bCs w:val="1"/>
          <w:color w:val="auto"/>
        </w:rPr>
        <w:t xml:space="preserve"> </w:t>
      </w:r>
      <w:r>
        <w:rPr>
          <w:rFonts w:ascii="Arial" w:cs="Arial" w:eastAsia="Arial" w:hAnsi="Arial"/>
          <w:sz w:val="16"/>
          <w:szCs w:val="16"/>
          <w:color w:val="auto"/>
        </w:rPr>
        <w:t>(the “</w:t>
      </w:r>
      <w:r>
        <w:rPr>
          <w:rFonts w:ascii="Arial" w:cs="Arial" w:eastAsia="Arial" w:hAnsi="Arial"/>
          <w:sz w:val="16"/>
          <w:szCs w:val="16"/>
          <w:i w:val="1"/>
          <w:iCs w:val="1"/>
          <w:color w:val="auto"/>
        </w:rPr>
        <w:t>New Subsidiary Guarantor</w:t>
      </w:r>
      <w:r>
        <w:rPr>
          <w:rFonts w:ascii="Arial" w:cs="Arial" w:eastAsia="Arial" w:hAnsi="Arial"/>
          <w:sz w:val="16"/>
          <w:szCs w:val="16"/>
          <w:color w:val="auto"/>
        </w:rPr>
        <w:t>”), agrees to become, and does</w:t>
      </w:r>
      <w:r>
        <w:rPr>
          <w:rFonts w:ascii="Arial" w:cs="Arial" w:eastAsia="Arial" w:hAnsi="Arial"/>
          <w:sz w:val="11"/>
          <w:szCs w:val="11"/>
          <w:b w:val="1"/>
          <w:bCs w:val="1"/>
          <w:color w:val="auto"/>
        </w:rPr>
        <w:t xml:space="preserve"> </w:t>
      </w:r>
      <w:r>
        <w:rPr>
          <w:rFonts w:ascii="Arial" w:cs="Arial" w:eastAsia="Arial" w:hAnsi="Arial"/>
          <w:sz w:val="16"/>
          <w:szCs w:val="16"/>
          <w:color w:val="auto"/>
        </w:rPr>
        <w:t>hereby become, a Subsidiary Guarantor under the Guaranty and agrees to be bound by such Guaranty as if originally a party thereto. By its execution below, the undersigned represents and warrants as to itself that all of the representations and warranties contained in clauses (a) (solely the first sentence thereof), (b) and (c) of Section 7 of the Guaranty that are applicable to a Subsidiary Guarantor or a Subsidiary of the Parent Guarantor are true and correct in all material respects (or, in the case of any representation or warranty qualified by materiality or Material Adverse Effect, in all respects) as of the date hereof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w:t>
      </w:r>
      <w:r>
        <w:rPr>
          <w:rFonts w:ascii="Arial" w:cs="Arial" w:eastAsia="Arial" w:hAnsi="Arial"/>
          <w:sz w:val="11"/>
          <w:szCs w:val="11"/>
          <w:color w:val="auto"/>
        </w:rPr>
        <w:t>N</w:t>
      </w:r>
      <w:r>
        <w:rPr>
          <w:rFonts w:ascii="Arial" w:cs="Arial" w:eastAsia="Arial" w:hAnsi="Arial"/>
          <w:sz w:val="16"/>
          <w:szCs w:val="16"/>
          <w:color w:val="auto"/>
        </w:rPr>
        <w:t xml:space="preserve"> W</w:t>
      </w:r>
      <w:r>
        <w:rPr>
          <w:rFonts w:ascii="Arial" w:cs="Arial" w:eastAsia="Arial" w:hAnsi="Arial"/>
          <w:sz w:val="11"/>
          <w:szCs w:val="11"/>
          <w:color w:val="auto"/>
        </w:rPr>
        <w:t>ITNESS</w:t>
      </w:r>
      <w:r>
        <w:rPr>
          <w:rFonts w:ascii="Arial" w:cs="Arial" w:eastAsia="Arial" w:hAnsi="Arial"/>
          <w:sz w:val="16"/>
          <w:szCs w:val="16"/>
          <w:color w:val="auto"/>
        </w:rPr>
        <w:t xml:space="preserve"> W</w:t>
      </w:r>
      <w:r>
        <w:rPr>
          <w:rFonts w:ascii="Arial" w:cs="Arial" w:eastAsia="Arial" w:hAnsi="Arial"/>
          <w:sz w:val="11"/>
          <w:szCs w:val="11"/>
          <w:color w:val="auto"/>
        </w:rPr>
        <w:t>HEREOF</w:t>
      </w:r>
      <w:r>
        <w:rPr>
          <w:rFonts w:ascii="Arial" w:cs="Arial" w:eastAsia="Arial" w:hAnsi="Arial"/>
          <w:sz w:val="16"/>
          <w:szCs w:val="16"/>
          <w:color w:val="auto"/>
        </w:rPr>
        <w:t>, the New Subsidiary Guarantor has caused this Supplement to the Guaranty to be duly executed and delivered as of this 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 of ________________, 20__.</w:t>
      </w:r>
    </w:p>
    <w:p>
      <w:pPr>
        <w:spacing w:after="0" w:line="21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N</w:t>
      </w:r>
      <w:r>
        <w:rPr>
          <w:rFonts w:ascii="Arial" w:cs="Arial" w:eastAsia="Arial" w:hAnsi="Arial"/>
          <w:sz w:val="12"/>
          <w:szCs w:val="12"/>
          <w:color w:val="auto"/>
        </w:rPr>
        <w:t>EW</w:t>
      </w:r>
      <w:r>
        <w:rPr>
          <w:rFonts w:ascii="Arial" w:cs="Arial" w:eastAsia="Arial" w:hAnsi="Arial"/>
          <w:sz w:val="18"/>
          <w:szCs w:val="18"/>
          <w:color w:val="auto"/>
        </w:rPr>
        <w:t xml:space="preserve"> S</w:t>
      </w:r>
      <w:r>
        <w:rPr>
          <w:rFonts w:ascii="Arial" w:cs="Arial" w:eastAsia="Arial" w:hAnsi="Arial"/>
          <w:sz w:val="12"/>
          <w:szCs w:val="12"/>
          <w:color w:val="auto"/>
        </w:rPr>
        <w:t>UBSIDIARY</w:t>
      </w:r>
      <w:r>
        <w:rPr>
          <w:rFonts w:ascii="Arial" w:cs="Arial" w:eastAsia="Arial" w:hAnsi="Arial"/>
          <w:sz w:val="18"/>
          <w:szCs w:val="18"/>
          <w:color w:val="auto"/>
        </w:rPr>
        <w:t xml:space="preserve"> G</w:t>
      </w:r>
      <w:r>
        <w:rPr>
          <w:rFonts w:ascii="Arial" w:cs="Arial" w:eastAsia="Arial" w:hAnsi="Arial"/>
          <w:sz w:val="12"/>
          <w:szCs w:val="12"/>
          <w:color w:val="auto"/>
        </w:rPr>
        <w:t>UARANTOR</w:t>
      </w:r>
      <w:r>
        <w:rPr>
          <w:rFonts w:ascii="Arial" w:cs="Arial" w:eastAsia="Arial" w:hAnsi="Arial"/>
          <w:sz w:val="18"/>
          <w:szCs w:val="18"/>
          <w:color w:val="auto"/>
        </w:rPr>
        <w:t>]</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40982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-130810</wp:posOffset>
            </wp:positionV>
            <wp:extent cx="240982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65" w:name="page366"/>
    <w:bookmarkEnd w:id="365"/>
    <w:tbl>
      <w:tblPr>
        <w:tblLayout w:type="fixed"/>
        <w:tblInd w:w="0" w:type="dxa"/>
        <w:tblCellMar>
          <w:top w:w="0" w:type="dxa"/>
          <w:left w:w="0" w:type="dxa"/>
          <w:bottom w:w="0" w:type="dxa"/>
          <w:right w:w="0" w:type="dxa"/>
        </w:tblCellMar>
      </w:tblPr>
      <w:tr>
        <w:trPr>
          <w:trHeight w:val="281"/>
        </w:trPr>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40" w:type="dxa"/>
            <w:vAlign w:val="bottom"/>
          </w:tcPr>
          <w:p>
            <w:pPr>
              <w:ind w:left="136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CHEDULES TO</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UARANTY</w:t>
            </w:r>
            <w:r>
              <w:rPr>
                <w:rFonts w:ascii="Arial" w:cs="Arial" w:eastAsia="Arial" w:hAnsi="Arial"/>
                <w:sz w:val="22"/>
                <w:szCs w:val="22"/>
                <w:b w:val="1"/>
                <w:bCs w:val="1"/>
                <w:color w:val="auto"/>
              </w:rPr>
              <w:t>:</w:t>
            </w:r>
          </w:p>
        </w:tc>
      </w:tr>
      <w:tr>
        <w:trPr>
          <w:trHeight w:val="404"/>
        </w:trPr>
        <w:tc>
          <w:tcPr>
            <w:tcW w:w="140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CHEDULE</w:t>
            </w:r>
            <w:r>
              <w:rPr>
                <w:rFonts w:ascii="Arial" w:cs="Arial" w:eastAsia="Arial" w:hAnsi="Arial"/>
                <w:sz w:val="18"/>
                <w:szCs w:val="18"/>
                <w:b w:val="1"/>
                <w:bCs w:val="1"/>
                <w:color w:val="auto"/>
              </w:rPr>
              <w:t xml:space="preserve"> 7(</w:t>
            </w:r>
            <w:r>
              <w:rPr>
                <w:rFonts w:ascii="Arial" w:cs="Arial" w:eastAsia="Arial" w:hAnsi="Arial"/>
                <w:sz w:val="12"/>
                <w:szCs w:val="12"/>
                <w:b w:val="1"/>
                <w:bCs w:val="1"/>
                <w:color w:val="auto"/>
              </w:rPr>
              <w:t>A</w:t>
            </w:r>
            <w:r>
              <w:rPr>
                <w:rFonts w:ascii="Arial" w:cs="Arial" w:eastAsia="Arial" w:hAnsi="Arial"/>
                <w:sz w:val="18"/>
                <w:szCs w:val="18"/>
                <w:b w:val="1"/>
                <w:bCs w:val="1"/>
                <w:color w:val="auto"/>
              </w:rPr>
              <w:t>)</w:t>
            </w:r>
          </w:p>
        </w:tc>
        <w:tc>
          <w:tcPr>
            <w:tcW w:w="78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9240" w:type="dxa"/>
            <w:vAlign w:val="bottom"/>
          </w:tcPr>
          <w:p>
            <w:pPr>
              <w:ind w:left="2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UBSIDIARIES</w:t>
            </w:r>
          </w:p>
        </w:tc>
      </w:tr>
      <w:tr>
        <w:trPr>
          <w:trHeight w:val="216"/>
        </w:trPr>
        <w:tc>
          <w:tcPr>
            <w:tcW w:w="140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CHEDULE</w:t>
            </w:r>
            <w:r>
              <w:rPr>
                <w:rFonts w:ascii="Arial" w:cs="Arial" w:eastAsia="Arial" w:hAnsi="Arial"/>
                <w:sz w:val="18"/>
                <w:szCs w:val="18"/>
                <w:b w:val="1"/>
                <w:bCs w:val="1"/>
                <w:color w:val="auto"/>
              </w:rPr>
              <w:t xml:space="preserve"> 9(</w:t>
            </w:r>
            <w:r>
              <w:rPr>
                <w:rFonts w:ascii="Arial" w:cs="Arial" w:eastAsia="Arial" w:hAnsi="Arial"/>
                <w:sz w:val="12"/>
                <w:szCs w:val="12"/>
                <w:b w:val="1"/>
                <w:bCs w:val="1"/>
                <w:color w:val="auto"/>
              </w:rPr>
              <w:t>A</w:t>
            </w:r>
            <w:r>
              <w:rPr>
                <w:rFonts w:ascii="Arial" w:cs="Arial" w:eastAsia="Arial" w:hAnsi="Arial"/>
                <w:sz w:val="18"/>
                <w:szCs w:val="18"/>
                <w:b w:val="1"/>
                <w:bCs w:val="1"/>
                <w:color w:val="auto"/>
              </w:rPr>
              <w:t>)</w:t>
            </w:r>
          </w:p>
        </w:tc>
        <w:tc>
          <w:tcPr>
            <w:tcW w:w="78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9240" w:type="dxa"/>
            <w:vAlign w:val="bottom"/>
          </w:tcPr>
          <w:p>
            <w:pPr>
              <w:ind w:left="24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XISTING</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NDEBTEDNESS</w:t>
            </w:r>
          </w:p>
        </w:tc>
      </w:t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CHEDULE</w:t>
            </w:r>
            <w:r>
              <w:rPr>
                <w:rFonts w:ascii="Arial" w:cs="Arial" w:eastAsia="Arial" w:hAnsi="Arial"/>
                <w:sz w:val="18"/>
                <w:szCs w:val="18"/>
                <w:b w:val="1"/>
                <w:bCs w:val="1"/>
                <w:color w:val="auto"/>
              </w:rPr>
              <w:t xml:space="preserve"> 9(</w:t>
            </w:r>
            <w:r>
              <w:rPr>
                <w:rFonts w:ascii="Arial" w:cs="Arial" w:eastAsia="Arial" w:hAnsi="Arial"/>
                <w:sz w:val="12"/>
                <w:szCs w:val="12"/>
                <w:b w:val="1"/>
                <w:bCs w:val="1"/>
                <w:color w:val="auto"/>
              </w:rPr>
              <w:t>B</w:t>
            </w:r>
            <w:r>
              <w:rPr>
                <w:rFonts w:ascii="Arial" w:cs="Arial" w:eastAsia="Arial" w:hAnsi="Arial"/>
                <w:sz w:val="18"/>
                <w:szCs w:val="18"/>
                <w:b w:val="1"/>
                <w:bCs w:val="1"/>
                <w:color w:val="auto"/>
              </w:rPr>
              <w:t>)</w:t>
            </w:r>
          </w:p>
        </w:tc>
        <w:tc>
          <w:tcPr>
            <w:tcW w:w="78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9240" w:type="dxa"/>
            <w:vAlign w:val="bottom"/>
          </w:tcPr>
          <w:p>
            <w:pPr>
              <w:ind w:left="24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XISTING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IENS</w:t>
            </w:r>
          </w:p>
        </w:tc>
      </w:tr>
      <w:tr>
        <w:trPr>
          <w:trHeight w:val="277"/>
        </w:trPr>
        <w:tc>
          <w:tcPr>
            <w:tcW w:w="1400" w:type="dxa"/>
            <w:vAlign w:val="bottom"/>
            <w:tcBorders>
              <w:bottom w:val="single" w:sz="8" w:color="C0C0C0"/>
            </w:tcBorders>
          </w:tcPr>
          <w:p>
            <w:pPr>
              <w:spacing w:after="0"/>
              <w:rPr>
                <w:sz w:val="24"/>
                <w:szCs w:val="24"/>
                <w:color w:val="auto"/>
              </w:rPr>
            </w:pPr>
          </w:p>
        </w:tc>
        <w:tc>
          <w:tcPr>
            <w:tcW w:w="780" w:type="dxa"/>
            <w:vAlign w:val="bottom"/>
            <w:tcBorders>
              <w:bottom w:val="single" w:sz="8" w:color="C0C0C0"/>
            </w:tcBorders>
          </w:tcPr>
          <w:p>
            <w:pPr>
              <w:spacing w:after="0"/>
              <w:rPr>
                <w:sz w:val="24"/>
                <w:szCs w:val="24"/>
                <w:color w:val="auto"/>
              </w:rPr>
            </w:pPr>
          </w:p>
        </w:tc>
        <w:tc>
          <w:tcPr>
            <w:tcW w:w="92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366" w:name="page367"/>
    <w:bookmarkEnd w:id="366"/>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7(</w:t>
      </w:r>
      <w:r>
        <w:rPr>
          <w:rFonts w:ascii="Arial" w:cs="Arial" w:eastAsia="Arial" w:hAnsi="Arial"/>
          <w:sz w:val="14"/>
          <w:szCs w:val="14"/>
          <w:b w:val="1"/>
          <w:bCs w:val="1"/>
          <w:color w:val="auto"/>
        </w:rPr>
        <w:t>A</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TO</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003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shd w:val="clear" w:color="auto" w:fill="BFBFBF"/>
          </w:tcPr>
          <w:p>
            <w:pPr>
              <w:spacing w:after="0"/>
              <w:rPr>
                <w:sz w:val="17"/>
                <w:szCs w:val="17"/>
                <w:color w:val="auto"/>
              </w:rPr>
            </w:pPr>
          </w:p>
        </w:tc>
        <w:tc>
          <w:tcPr>
            <w:tcW w:w="200" w:type="dxa"/>
            <w:vAlign w:val="bottom"/>
            <w:shd w:val="clear" w:color="auto" w:fill="BFBFBF"/>
          </w:tcPr>
          <w:p>
            <w:pPr>
              <w:spacing w:after="0"/>
              <w:rPr>
                <w:sz w:val="17"/>
                <w:szCs w:val="17"/>
                <w:color w:val="auto"/>
              </w:rPr>
            </w:pPr>
          </w:p>
        </w:tc>
        <w:tc>
          <w:tcPr>
            <w:tcW w:w="2960" w:type="dxa"/>
            <w:vAlign w:val="bottom"/>
            <w:shd w:val="clear" w:color="auto" w:fill="BFBFBF"/>
          </w:tcPr>
          <w:p>
            <w:pPr>
              <w:spacing w:after="0"/>
              <w:rPr>
                <w:sz w:val="17"/>
                <w:szCs w:val="17"/>
                <w:color w:val="auto"/>
              </w:rPr>
            </w:pPr>
          </w:p>
        </w:tc>
        <w:tc>
          <w:tcPr>
            <w:tcW w:w="200" w:type="dxa"/>
            <w:vAlign w:val="bottom"/>
            <w:shd w:val="clear" w:color="auto" w:fill="BFBFBF"/>
          </w:tcPr>
          <w:p>
            <w:pPr>
              <w:spacing w:after="0"/>
              <w:rPr>
                <w:sz w:val="17"/>
                <w:szCs w:val="17"/>
                <w:color w:val="auto"/>
              </w:rPr>
            </w:pPr>
          </w:p>
        </w:tc>
        <w:tc>
          <w:tcPr>
            <w:tcW w:w="1140" w:type="dxa"/>
            <w:vAlign w:val="bottom"/>
            <w:gridSpan w:val="2"/>
            <w:shd w:val="clear" w:color="auto" w:fill="BFBFBF"/>
          </w:tcPr>
          <w:p>
            <w:pPr>
              <w:ind w:left="140"/>
              <w:spacing w:after="0"/>
              <w:rPr>
                <w:sz w:val="20"/>
                <w:szCs w:val="20"/>
                <w:color w:val="auto"/>
              </w:rPr>
            </w:pPr>
            <w:r>
              <w:rPr>
                <w:rFonts w:ascii="Arial" w:cs="Arial" w:eastAsia="Arial" w:hAnsi="Arial"/>
                <w:sz w:val="18"/>
                <w:szCs w:val="18"/>
                <w:b w:val="1"/>
                <w:bCs w:val="1"/>
                <w:color w:val="auto"/>
              </w:rPr>
              <w:t>Material</w:t>
            </w:r>
          </w:p>
        </w:tc>
        <w:tc>
          <w:tcPr>
            <w:tcW w:w="1360" w:type="dxa"/>
            <w:vAlign w:val="bottom"/>
            <w:shd w:val="clear" w:color="auto" w:fill="BFBFBF"/>
          </w:tcPr>
          <w:p>
            <w:pPr>
              <w:ind w:left="120"/>
              <w:spacing w:after="0"/>
              <w:rPr>
                <w:sz w:val="20"/>
                <w:szCs w:val="20"/>
                <w:color w:val="auto"/>
              </w:rPr>
            </w:pPr>
            <w:r>
              <w:rPr>
                <w:rFonts w:ascii="Arial" w:cs="Arial" w:eastAsia="Arial" w:hAnsi="Arial"/>
                <w:sz w:val="18"/>
                <w:szCs w:val="18"/>
                <w:b w:val="1"/>
                <w:bCs w:val="1"/>
                <w:color w:val="auto"/>
                <w:w w:val="98"/>
              </w:rPr>
              <w:t>Jurisdiction of</w:t>
            </w:r>
          </w:p>
        </w:tc>
        <w:tc>
          <w:tcPr>
            <w:tcW w:w="220" w:type="dxa"/>
            <w:vAlign w:val="bottom"/>
            <w:shd w:val="clear" w:color="auto" w:fill="BFBFBF"/>
          </w:tcPr>
          <w:p>
            <w:pPr>
              <w:spacing w:after="0"/>
              <w:rPr>
                <w:sz w:val="17"/>
                <w:szCs w:val="17"/>
                <w:color w:val="auto"/>
              </w:rPr>
            </w:pPr>
          </w:p>
        </w:tc>
        <w:tc>
          <w:tcPr>
            <w:tcW w:w="2500" w:type="dxa"/>
            <w:vAlign w:val="bottom"/>
            <w:shd w:val="clear" w:color="auto" w:fill="BFBFBF"/>
          </w:tcPr>
          <w:p>
            <w:pPr>
              <w:spacing w:after="0"/>
              <w:rPr>
                <w:sz w:val="17"/>
                <w:szCs w:val="17"/>
                <w:color w:val="auto"/>
              </w:rPr>
            </w:pPr>
          </w:p>
        </w:tc>
      </w:tr>
      <w:tr>
        <w:trPr>
          <w:trHeight w:val="270"/>
        </w:trPr>
        <w:tc>
          <w:tcPr>
            <w:tcW w:w="3040" w:type="dxa"/>
            <w:vAlign w:val="bottom"/>
            <w:gridSpan w:val="2"/>
            <w:shd w:val="clear" w:color="auto" w:fill="BFBFBF"/>
          </w:tcPr>
          <w:p>
            <w:pPr>
              <w:ind w:left="1160"/>
              <w:spacing w:after="0"/>
              <w:rPr>
                <w:sz w:val="20"/>
                <w:szCs w:val="20"/>
                <w:color w:val="auto"/>
              </w:rPr>
            </w:pPr>
            <w:r>
              <w:rPr>
                <w:rFonts w:ascii="Arial" w:cs="Arial" w:eastAsia="Arial" w:hAnsi="Arial"/>
                <w:sz w:val="18"/>
                <w:szCs w:val="18"/>
                <w:b w:val="1"/>
                <w:bCs w:val="1"/>
                <w:color w:val="auto"/>
              </w:rPr>
              <w:t>Owner</w:t>
            </w:r>
          </w:p>
        </w:tc>
        <w:tc>
          <w:tcPr>
            <w:tcW w:w="3160" w:type="dxa"/>
            <w:vAlign w:val="bottom"/>
            <w:gridSpan w:val="2"/>
            <w:shd w:val="clear" w:color="auto" w:fill="BFBFBF"/>
          </w:tcPr>
          <w:p>
            <w:pPr>
              <w:ind w:left="1060"/>
              <w:spacing w:after="0"/>
              <w:rPr>
                <w:sz w:val="20"/>
                <w:szCs w:val="20"/>
                <w:color w:val="auto"/>
              </w:rPr>
            </w:pPr>
            <w:r>
              <w:rPr>
                <w:rFonts w:ascii="Arial" w:cs="Arial" w:eastAsia="Arial" w:hAnsi="Arial"/>
                <w:sz w:val="18"/>
                <w:szCs w:val="18"/>
                <w:b w:val="1"/>
                <w:bCs w:val="1"/>
                <w:color w:val="auto"/>
              </w:rPr>
              <w:t>Subsidiary</w:t>
            </w:r>
          </w:p>
        </w:tc>
        <w:tc>
          <w:tcPr>
            <w:tcW w:w="1140" w:type="dxa"/>
            <w:vAlign w:val="bottom"/>
            <w:gridSpan w:val="2"/>
            <w:shd w:val="clear" w:color="auto" w:fill="BFBFBF"/>
          </w:tcPr>
          <w:p>
            <w:pPr>
              <w:ind w:left="20"/>
              <w:spacing w:after="0" w:line="269" w:lineRule="exact"/>
              <w:rPr>
                <w:sz w:val="20"/>
                <w:szCs w:val="20"/>
                <w:color w:val="auto"/>
              </w:rPr>
            </w:pPr>
            <w:r>
              <w:rPr>
                <w:rFonts w:ascii="Arial" w:cs="Arial" w:eastAsia="Arial" w:hAnsi="Arial"/>
                <w:sz w:val="18"/>
                <w:szCs w:val="18"/>
                <w:b w:val="1"/>
                <w:bCs w:val="1"/>
                <w:color w:val="auto"/>
              </w:rPr>
              <w:t>Subsidiary</w:t>
            </w:r>
            <w:r>
              <w:rPr>
                <w:rFonts w:ascii="Arial" w:cs="Arial" w:eastAsia="Arial" w:hAnsi="Arial"/>
                <w:sz w:val="30"/>
                <w:szCs w:val="30"/>
                <w:b w:val="1"/>
                <w:bCs w:val="1"/>
                <w:color w:val="auto"/>
                <w:vertAlign w:val="superscript"/>
              </w:rPr>
              <w:t>1</w:t>
            </w:r>
          </w:p>
        </w:tc>
        <w:tc>
          <w:tcPr>
            <w:tcW w:w="1360" w:type="dxa"/>
            <w:vAlign w:val="bottom"/>
            <w:shd w:val="clear" w:color="auto" w:fill="BFBFBF"/>
          </w:tcPr>
          <w:p>
            <w:pPr>
              <w:ind w:left="180"/>
              <w:spacing w:after="0"/>
              <w:rPr>
                <w:sz w:val="20"/>
                <w:szCs w:val="20"/>
                <w:color w:val="auto"/>
              </w:rPr>
            </w:pPr>
            <w:r>
              <w:rPr>
                <w:rFonts w:ascii="Arial" w:cs="Arial" w:eastAsia="Arial" w:hAnsi="Arial"/>
                <w:sz w:val="18"/>
                <w:szCs w:val="18"/>
                <w:b w:val="1"/>
                <w:bCs w:val="1"/>
                <w:color w:val="auto"/>
              </w:rPr>
              <w:t>Organization</w:t>
            </w:r>
          </w:p>
        </w:tc>
        <w:tc>
          <w:tcPr>
            <w:tcW w:w="220" w:type="dxa"/>
            <w:vAlign w:val="bottom"/>
            <w:shd w:val="clear" w:color="auto" w:fill="BFBFBF"/>
          </w:tcPr>
          <w:p>
            <w:pPr>
              <w:spacing w:after="0"/>
              <w:rPr>
                <w:sz w:val="23"/>
                <w:szCs w:val="23"/>
                <w:color w:val="auto"/>
              </w:rPr>
            </w:pPr>
          </w:p>
        </w:tc>
        <w:tc>
          <w:tcPr>
            <w:tcW w:w="2500" w:type="dxa"/>
            <w:vAlign w:val="bottom"/>
            <w:shd w:val="clear" w:color="auto" w:fill="BFBFBF"/>
          </w:tcPr>
          <w:p>
            <w:pPr>
              <w:ind w:left="820"/>
              <w:spacing w:after="0"/>
              <w:rPr>
                <w:sz w:val="20"/>
                <w:szCs w:val="20"/>
                <w:color w:val="auto"/>
              </w:rPr>
            </w:pPr>
            <w:r>
              <w:rPr>
                <w:rFonts w:ascii="Arial" w:cs="Arial" w:eastAsia="Arial" w:hAnsi="Arial"/>
                <w:sz w:val="18"/>
                <w:szCs w:val="18"/>
                <w:b w:val="1"/>
                <w:bCs w:val="1"/>
                <w:color w:val="auto"/>
              </w:rPr>
              <w:t>Ownership</w:t>
            </w:r>
          </w:p>
        </w:tc>
      </w:tr>
      <w:tr>
        <w:trPr>
          <w:trHeight w:val="195"/>
        </w:trPr>
        <w:tc>
          <w:tcPr>
            <w:tcW w:w="2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Regeneron Pharmaceuticals, Inc.</w:t>
            </w:r>
          </w:p>
        </w:tc>
        <w:tc>
          <w:tcPr>
            <w:tcW w:w="20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Regeneron Genetics Center LLC</w:t>
            </w:r>
          </w:p>
        </w:tc>
        <w:tc>
          <w:tcPr>
            <w:tcW w:w="200" w:type="dxa"/>
            <w:vAlign w:val="bottom"/>
          </w:tcPr>
          <w:p>
            <w:pPr>
              <w:spacing w:after="0"/>
              <w:rPr>
                <w:sz w:val="16"/>
                <w:szCs w:val="16"/>
                <w:color w:val="auto"/>
              </w:rPr>
            </w:pPr>
          </w:p>
        </w:tc>
        <w:tc>
          <w:tcPr>
            <w:tcW w:w="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100%</w:t>
            </w: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Regeneron Healthcare Solutions, Inc.</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New York</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Regeneron Assurance, Inc.</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New York</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Loop Road Holdings LLC</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New York</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Rockwood Road Holdings LLC</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New York</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Old Saw Mill Holdings LLC</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New York</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230"/>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OSMR LLC</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New York</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432"/>
        </w:trPr>
        <w:tc>
          <w:tcPr>
            <w:tcW w:w="3040" w:type="dxa"/>
            <w:vAlign w:val="bottom"/>
            <w:gridSpan w:val="2"/>
          </w:tcPr>
          <w:p>
            <w:pPr>
              <w:spacing w:after="0"/>
              <w:rPr>
                <w:sz w:val="20"/>
                <w:szCs w:val="20"/>
                <w:color w:val="auto"/>
              </w:rPr>
            </w:pPr>
            <w:r>
              <w:rPr>
                <w:rFonts w:ascii="Arial" w:cs="Arial" w:eastAsia="Arial" w:hAnsi="Arial"/>
                <w:sz w:val="18"/>
                <w:szCs w:val="18"/>
                <w:color w:val="auto"/>
              </w:rPr>
              <w:t>OSMR LLC</w:t>
            </w:r>
          </w:p>
        </w:tc>
        <w:tc>
          <w:tcPr>
            <w:tcW w:w="3160" w:type="dxa"/>
            <w:vAlign w:val="bottom"/>
            <w:gridSpan w:val="2"/>
          </w:tcPr>
          <w:p>
            <w:pPr>
              <w:spacing w:after="0"/>
              <w:rPr>
                <w:sz w:val="20"/>
                <w:szCs w:val="20"/>
                <w:color w:val="auto"/>
              </w:rPr>
            </w:pPr>
            <w:r>
              <w:rPr>
                <w:rFonts w:ascii="Arial" w:cs="Arial" w:eastAsia="Arial" w:hAnsi="Arial"/>
                <w:sz w:val="18"/>
                <w:szCs w:val="18"/>
                <w:color w:val="auto"/>
              </w:rPr>
              <w:t>Regeneron International Holdings LLC</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418"/>
        </w:trPr>
        <w:tc>
          <w:tcPr>
            <w:tcW w:w="3040" w:type="dxa"/>
            <w:vAlign w:val="bottom"/>
            <w:gridSpan w:val="2"/>
          </w:tcPr>
          <w:p>
            <w:pPr>
              <w:spacing w:after="0"/>
              <w:rPr>
                <w:sz w:val="20"/>
                <w:szCs w:val="20"/>
                <w:color w:val="auto"/>
              </w:rPr>
            </w:pPr>
            <w:r>
              <w:rPr>
                <w:rFonts w:ascii="Arial" w:cs="Arial" w:eastAsia="Arial" w:hAnsi="Arial"/>
                <w:sz w:val="18"/>
                <w:szCs w:val="18"/>
                <w:color w:val="auto"/>
              </w:rPr>
              <w:t>Regeneron International Holdings</w:t>
            </w:r>
          </w:p>
        </w:tc>
        <w:tc>
          <w:tcPr>
            <w:tcW w:w="3160" w:type="dxa"/>
            <w:vAlign w:val="bottom"/>
            <w:gridSpan w:val="2"/>
          </w:tcPr>
          <w:p>
            <w:pPr>
              <w:spacing w:after="0"/>
              <w:rPr>
                <w:sz w:val="20"/>
                <w:szCs w:val="20"/>
                <w:color w:val="auto"/>
              </w:rPr>
            </w:pPr>
            <w:r>
              <w:rPr>
                <w:rFonts w:ascii="Arial" w:cs="Arial" w:eastAsia="Arial" w:hAnsi="Arial"/>
                <w:sz w:val="18"/>
                <w:szCs w:val="18"/>
                <w:color w:val="auto"/>
              </w:rPr>
              <w:t>Regeneron International Limited</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Ireland</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LLC</w:t>
            </w: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19"/>
        </w:trPr>
        <w:tc>
          <w:tcPr>
            <w:tcW w:w="3040" w:type="dxa"/>
            <w:vAlign w:val="bottom"/>
            <w:gridSpan w:val="2"/>
          </w:tcPr>
          <w:p>
            <w:pPr>
              <w:spacing w:after="0"/>
              <w:rPr>
                <w:sz w:val="20"/>
                <w:szCs w:val="20"/>
                <w:color w:val="auto"/>
              </w:rPr>
            </w:pPr>
            <w:r>
              <w:rPr>
                <w:rFonts w:ascii="Arial" w:cs="Arial" w:eastAsia="Arial" w:hAnsi="Arial"/>
                <w:sz w:val="18"/>
                <w:szCs w:val="18"/>
                <w:color w:val="auto"/>
              </w:rPr>
              <w:t>OSMR LLC; Regeneron International</w:t>
            </w:r>
          </w:p>
        </w:tc>
        <w:tc>
          <w:tcPr>
            <w:tcW w:w="3160" w:type="dxa"/>
            <w:vAlign w:val="bottom"/>
            <w:gridSpan w:val="2"/>
          </w:tcPr>
          <w:p>
            <w:pPr>
              <w:spacing w:after="0"/>
              <w:rPr>
                <w:sz w:val="20"/>
                <w:szCs w:val="20"/>
                <w:color w:val="auto"/>
              </w:rPr>
            </w:pPr>
            <w:r>
              <w:rPr>
                <w:rFonts w:ascii="Arial" w:cs="Arial" w:eastAsia="Arial" w:hAnsi="Arial"/>
                <w:sz w:val="18"/>
                <w:szCs w:val="18"/>
                <w:color w:val="auto"/>
              </w:rPr>
              <w:t>OSMR Holdings</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Bermuda</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w w:val="98"/>
              </w:rPr>
              <w:t>19.04% (OSMR LLC)</w:t>
            </w:r>
            <w:r>
              <w:rPr>
                <w:rFonts w:ascii="Arial" w:cs="Arial" w:eastAsia="Arial" w:hAnsi="Arial"/>
                <w:sz w:val="30"/>
                <w:szCs w:val="30"/>
                <w:color w:val="auto"/>
                <w:w w:val="98"/>
                <w:vertAlign w:val="superscript"/>
              </w:rPr>
              <w:t>2</w:t>
            </w:r>
            <w:r>
              <w:rPr>
                <w:rFonts w:ascii="Arial" w:cs="Arial" w:eastAsia="Arial" w:hAnsi="Arial"/>
                <w:sz w:val="18"/>
                <w:szCs w:val="18"/>
                <w:color w:val="auto"/>
                <w:w w:val="98"/>
              </w:rPr>
              <w:t>; 80.96%</w:t>
            </w:r>
          </w:p>
        </w:tc>
      </w:tr>
      <w:tr>
        <w:trPr>
          <w:trHeight w:val="259"/>
        </w:trPr>
        <w:tc>
          <w:tcPr>
            <w:tcW w:w="3040" w:type="dxa"/>
            <w:vAlign w:val="bottom"/>
            <w:gridSpan w:val="2"/>
          </w:tcPr>
          <w:p>
            <w:pPr>
              <w:spacing w:after="0"/>
              <w:rPr>
                <w:sz w:val="20"/>
                <w:szCs w:val="20"/>
                <w:color w:val="auto"/>
              </w:rPr>
            </w:pPr>
            <w:r>
              <w:rPr>
                <w:rFonts w:ascii="Arial" w:cs="Arial" w:eastAsia="Arial" w:hAnsi="Arial"/>
                <w:sz w:val="18"/>
                <w:szCs w:val="18"/>
                <w:color w:val="auto"/>
              </w:rPr>
              <w:t>Limited</w:t>
            </w:r>
          </w:p>
        </w:tc>
        <w:tc>
          <w:tcPr>
            <w:tcW w:w="2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(Regeneron International</w:t>
            </w:r>
          </w:p>
        </w:tc>
      </w:tr>
      <w:tr>
        <w:trPr>
          <w:trHeight w:val="390"/>
        </w:trPr>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Limited)</w:t>
            </w:r>
            <w:r>
              <w:rPr>
                <w:rFonts w:ascii="Arial" w:cs="Arial" w:eastAsia="Arial" w:hAnsi="Arial"/>
                <w:sz w:val="30"/>
                <w:szCs w:val="30"/>
                <w:color w:val="auto"/>
                <w:vertAlign w:val="superscript"/>
              </w:rPr>
              <w:t>3</w:t>
            </w:r>
          </w:p>
        </w:tc>
      </w:tr>
      <w:tr>
        <w:trPr>
          <w:trHeight w:val="295"/>
        </w:trPr>
        <w:tc>
          <w:tcPr>
            <w:tcW w:w="3040" w:type="dxa"/>
            <w:vAlign w:val="bottom"/>
            <w:gridSpan w:val="2"/>
          </w:tcPr>
          <w:p>
            <w:pPr>
              <w:spacing w:after="0"/>
              <w:rPr>
                <w:sz w:val="20"/>
                <w:szCs w:val="20"/>
                <w:color w:val="auto"/>
              </w:rPr>
            </w:pPr>
            <w:r>
              <w:rPr>
                <w:rFonts w:ascii="Arial" w:cs="Arial" w:eastAsia="Arial" w:hAnsi="Arial"/>
                <w:sz w:val="18"/>
                <w:szCs w:val="18"/>
                <w:color w:val="auto"/>
              </w:rPr>
              <w:t>OSMR Holdings</w:t>
            </w:r>
          </w:p>
        </w:tc>
        <w:tc>
          <w:tcPr>
            <w:tcW w:w="3160" w:type="dxa"/>
            <w:vAlign w:val="bottom"/>
            <w:gridSpan w:val="2"/>
          </w:tcPr>
          <w:p>
            <w:pPr>
              <w:spacing w:after="0"/>
              <w:rPr>
                <w:sz w:val="20"/>
                <w:szCs w:val="20"/>
                <w:color w:val="auto"/>
              </w:rPr>
            </w:pPr>
            <w:r>
              <w:rPr>
                <w:rFonts w:ascii="Arial" w:cs="Arial" w:eastAsia="Arial" w:hAnsi="Arial"/>
                <w:sz w:val="18"/>
                <w:szCs w:val="18"/>
                <w:color w:val="auto"/>
              </w:rPr>
              <w:t>OSMR International</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Bermuda</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Regeneron Ireland Holdings Unlimited</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Ireland</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230"/>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18"/>
        </w:trPr>
        <w:tc>
          <w:tcPr>
            <w:tcW w:w="3040" w:type="dxa"/>
            <w:vAlign w:val="bottom"/>
            <w:gridSpan w:val="2"/>
          </w:tcPr>
          <w:p>
            <w:pPr>
              <w:spacing w:after="0"/>
              <w:rPr>
                <w:sz w:val="20"/>
                <w:szCs w:val="20"/>
                <w:color w:val="auto"/>
              </w:rPr>
            </w:pPr>
            <w:r>
              <w:rPr>
                <w:rFonts w:ascii="Arial" w:cs="Arial" w:eastAsia="Arial" w:hAnsi="Arial"/>
                <w:sz w:val="18"/>
                <w:szCs w:val="18"/>
                <w:color w:val="auto"/>
                <w:w w:val="99"/>
              </w:rPr>
              <w:t>Regeneron Ireland Holdings Unlimited</w:t>
            </w:r>
          </w:p>
        </w:tc>
        <w:tc>
          <w:tcPr>
            <w:tcW w:w="3160" w:type="dxa"/>
            <w:vAlign w:val="bottom"/>
            <w:gridSpan w:val="2"/>
          </w:tcPr>
          <w:p>
            <w:pPr>
              <w:spacing w:after="0"/>
              <w:rPr>
                <w:sz w:val="20"/>
                <w:szCs w:val="20"/>
                <w:color w:val="auto"/>
              </w:rPr>
            </w:pPr>
            <w:r>
              <w:rPr>
                <w:rFonts w:ascii="Arial" w:cs="Arial" w:eastAsia="Arial" w:hAnsi="Arial"/>
                <w:sz w:val="18"/>
                <w:szCs w:val="18"/>
                <w:color w:val="auto"/>
              </w:rPr>
              <w:t>Regeneron Atlantic Holdings</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Bermuda</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32"/>
        </w:trPr>
        <w:tc>
          <w:tcPr>
            <w:tcW w:w="3040" w:type="dxa"/>
            <w:vAlign w:val="bottom"/>
            <w:gridSpan w:val="2"/>
          </w:tcPr>
          <w:p>
            <w:pPr>
              <w:spacing w:after="0"/>
              <w:rPr>
                <w:sz w:val="20"/>
                <w:szCs w:val="20"/>
                <w:color w:val="auto"/>
              </w:rPr>
            </w:pPr>
            <w:r>
              <w:rPr>
                <w:rFonts w:ascii="Arial" w:cs="Arial" w:eastAsia="Arial" w:hAnsi="Arial"/>
                <w:sz w:val="18"/>
                <w:szCs w:val="18"/>
                <w:color w:val="auto"/>
              </w:rPr>
              <w:t>Regeneron Atlantic Holdings</w:t>
            </w:r>
          </w:p>
        </w:tc>
        <w:tc>
          <w:tcPr>
            <w:tcW w:w="3160" w:type="dxa"/>
            <w:vAlign w:val="bottom"/>
            <w:gridSpan w:val="2"/>
          </w:tcPr>
          <w:p>
            <w:pPr>
              <w:spacing w:after="0"/>
              <w:rPr>
                <w:sz w:val="20"/>
                <w:szCs w:val="20"/>
                <w:color w:val="auto"/>
              </w:rPr>
            </w:pPr>
            <w:r>
              <w:rPr>
                <w:rFonts w:ascii="Arial" w:cs="Arial" w:eastAsia="Arial" w:hAnsi="Arial"/>
                <w:sz w:val="18"/>
                <w:szCs w:val="18"/>
                <w:color w:val="auto"/>
              </w:rPr>
              <w:t>Regeneron Ireland</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Ireland</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0975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1" w:lineRule="exact"/>
        <w:rPr>
          <w:sz w:val="20"/>
          <w:szCs w:val="20"/>
          <w:color w:val="auto"/>
        </w:rPr>
      </w:pPr>
    </w:p>
    <w:p>
      <w:pPr>
        <w:ind w:left="580" w:hanging="572"/>
        <w:spacing w:after="0"/>
        <w:tabs>
          <w:tab w:leader="none" w:pos="580" w:val="left"/>
        </w:tabs>
        <w:numPr>
          <w:ilvl w:val="0"/>
          <w:numId w:val="280"/>
        </w:numPr>
        <w:rPr>
          <w:rFonts w:ascii="Arial" w:cs="Arial" w:eastAsia="Arial" w:hAnsi="Arial"/>
          <w:sz w:val="24"/>
          <w:szCs w:val="24"/>
          <w:color w:val="auto"/>
          <w:vertAlign w:val="superscript"/>
        </w:rPr>
      </w:pPr>
      <w:r>
        <w:rPr>
          <w:rFonts w:ascii="Arial" w:cs="Arial" w:eastAsia="Arial" w:hAnsi="Arial"/>
          <w:sz w:val="14"/>
          <w:szCs w:val="14"/>
          <w:color w:val="auto"/>
        </w:rPr>
        <w:t>As of December 31, 2018.</w:t>
      </w:r>
    </w:p>
    <w:p>
      <w:pPr>
        <w:ind w:left="580" w:hanging="572"/>
        <w:spacing w:after="0" w:line="187" w:lineRule="auto"/>
        <w:tabs>
          <w:tab w:leader="none" w:pos="580" w:val="left"/>
        </w:tabs>
        <w:numPr>
          <w:ilvl w:val="0"/>
          <w:numId w:val="281"/>
        </w:numPr>
        <w:rPr>
          <w:rFonts w:ascii="Arial" w:cs="Arial" w:eastAsia="Arial" w:hAnsi="Arial"/>
          <w:sz w:val="18"/>
          <w:szCs w:val="18"/>
          <w:color w:val="auto"/>
          <w:vertAlign w:val="superscript"/>
        </w:rPr>
      </w:pPr>
      <w:r>
        <w:rPr>
          <w:rFonts w:ascii="Arial" w:cs="Arial" w:eastAsia="Arial" w:hAnsi="Arial"/>
          <w:sz w:val="12"/>
          <w:szCs w:val="12"/>
          <w:color w:val="auto"/>
        </w:rPr>
        <w:t>OSMR LLC owns 10,000 shares of OSMR Holdings.</w:t>
      </w:r>
    </w:p>
    <w:p>
      <w:pPr>
        <w:ind w:left="580" w:hanging="572"/>
        <w:spacing w:after="0" w:line="184" w:lineRule="auto"/>
        <w:tabs>
          <w:tab w:leader="none" w:pos="580" w:val="left"/>
        </w:tabs>
        <w:numPr>
          <w:ilvl w:val="0"/>
          <w:numId w:val="282"/>
        </w:numPr>
        <w:rPr>
          <w:rFonts w:ascii="Arial" w:cs="Arial" w:eastAsia="Arial" w:hAnsi="Arial"/>
          <w:sz w:val="20"/>
          <w:szCs w:val="20"/>
          <w:color w:val="auto"/>
          <w:vertAlign w:val="superscript"/>
        </w:rPr>
      </w:pPr>
      <w:r>
        <w:rPr>
          <w:rFonts w:ascii="Arial" w:cs="Arial" w:eastAsia="Arial" w:hAnsi="Arial"/>
          <w:sz w:val="12"/>
          <w:szCs w:val="12"/>
          <w:color w:val="auto"/>
        </w:rPr>
        <w:t>Regeneron International Limited owns 42,508 shares of OSMR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67" w:name="page368"/>
    <w:bookmarkEnd w:id="367"/>
    <w:tbl>
      <w:tblPr>
        <w:tblLayout w:type="fixed"/>
        <w:tblInd w:w="0" w:type="dxa"/>
        <w:tblCellMar>
          <w:top w:w="0" w:type="dxa"/>
          <w:left w:w="0" w:type="dxa"/>
          <w:bottom w:w="0" w:type="dxa"/>
          <w:right w:w="0" w:type="dxa"/>
        </w:tblCellMar>
      </w:tblPr>
      <w:tr>
        <w:trPr>
          <w:trHeight w:val="207"/>
        </w:trPr>
        <w:tc>
          <w:tcPr>
            <w:tcW w:w="2840" w:type="dxa"/>
            <w:vAlign w:val="bottom"/>
            <w:shd w:val="clear" w:color="auto" w:fill="BFBFBF"/>
          </w:tcPr>
          <w:p>
            <w:pPr>
              <w:spacing w:after="0"/>
              <w:rPr>
                <w:sz w:val="17"/>
                <w:szCs w:val="17"/>
                <w:color w:val="auto"/>
              </w:rPr>
            </w:pPr>
          </w:p>
        </w:tc>
        <w:tc>
          <w:tcPr>
            <w:tcW w:w="200" w:type="dxa"/>
            <w:vAlign w:val="bottom"/>
            <w:shd w:val="clear" w:color="auto" w:fill="BFBFBF"/>
          </w:tcPr>
          <w:p>
            <w:pPr>
              <w:spacing w:after="0"/>
              <w:rPr>
                <w:sz w:val="17"/>
                <w:szCs w:val="17"/>
                <w:color w:val="auto"/>
              </w:rPr>
            </w:pPr>
          </w:p>
        </w:tc>
        <w:tc>
          <w:tcPr>
            <w:tcW w:w="2960" w:type="dxa"/>
            <w:vAlign w:val="bottom"/>
            <w:shd w:val="clear" w:color="auto" w:fill="BFBFBF"/>
          </w:tcPr>
          <w:p>
            <w:pPr>
              <w:spacing w:after="0"/>
              <w:rPr>
                <w:sz w:val="17"/>
                <w:szCs w:val="17"/>
                <w:color w:val="auto"/>
              </w:rPr>
            </w:pPr>
          </w:p>
        </w:tc>
        <w:tc>
          <w:tcPr>
            <w:tcW w:w="200" w:type="dxa"/>
            <w:vAlign w:val="bottom"/>
            <w:shd w:val="clear" w:color="auto" w:fill="BFBFBF"/>
          </w:tcPr>
          <w:p>
            <w:pPr>
              <w:spacing w:after="0"/>
              <w:rPr>
                <w:sz w:val="17"/>
                <w:szCs w:val="17"/>
                <w:color w:val="auto"/>
              </w:rPr>
            </w:pPr>
          </w:p>
        </w:tc>
        <w:tc>
          <w:tcPr>
            <w:tcW w:w="1140" w:type="dxa"/>
            <w:vAlign w:val="bottom"/>
            <w:gridSpan w:val="2"/>
            <w:shd w:val="clear" w:color="auto" w:fill="BFBFBF"/>
          </w:tcPr>
          <w:p>
            <w:pPr>
              <w:ind w:left="140"/>
              <w:spacing w:after="0"/>
              <w:rPr>
                <w:sz w:val="20"/>
                <w:szCs w:val="20"/>
                <w:color w:val="auto"/>
              </w:rPr>
            </w:pPr>
            <w:r>
              <w:rPr>
                <w:rFonts w:ascii="Arial" w:cs="Arial" w:eastAsia="Arial" w:hAnsi="Arial"/>
                <w:sz w:val="18"/>
                <w:szCs w:val="18"/>
                <w:b w:val="1"/>
                <w:bCs w:val="1"/>
                <w:color w:val="auto"/>
              </w:rPr>
              <w:t>Material</w:t>
            </w:r>
          </w:p>
        </w:tc>
        <w:tc>
          <w:tcPr>
            <w:tcW w:w="1360" w:type="dxa"/>
            <w:vAlign w:val="bottom"/>
            <w:shd w:val="clear" w:color="auto" w:fill="BFBFBF"/>
          </w:tcPr>
          <w:p>
            <w:pPr>
              <w:ind w:left="120"/>
              <w:spacing w:after="0"/>
              <w:rPr>
                <w:sz w:val="20"/>
                <w:szCs w:val="20"/>
                <w:color w:val="auto"/>
              </w:rPr>
            </w:pPr>
            <w:r>
              <w:rPr>
                <w:rFonts w:ascii="Arial" w:cs="Arial" w:eastAsia="Arial" w:hAnsi="Arial"/>
                <w:sz w:val="18"/>
                <w:szCs w:val="18"/>
                <w:b w:val="1"/>
                <w:bCs w:val="1"/>
                <w:color w:val="auto"/>
                <w:w w:val="98"/>
              </w:rPr>
              <w:t>Jurisdiction of</w:t>
            </w:r>
          </w:p>
        </w:tc>
        <w:tc>
          <w:tcPr>
            <w:tcW w:w="220" w:type="dxa"/>
            <w:vAlign w:val="bottom"/>
            <w:shd w:val="clear" w:color="auto" w:fill="BFBFBF"/>
          </w:tcPr>
          <w:p>
            <w:pPr>
              <w:spacing w:after="0"/>
              <w:rPr>
                <w:sz w:val="17"/>
                <w:szCs w:val="17"/>
                <w:color w:val="auto"/>
              </w:rPr>
            </w:pPr>
          </w:p>
        </w:tc>
        <w:tc>
          <w:tcPr>
            <w:tcW w:w="2500" w:type="dxa"/>
            <w:vAlign w:val="bottom"/>
            <w:shd w:val="clear" w:color="auto" w:fill="BFBFBF"/>
          </w:tcPr>
          <w:p>
            <w:pPr>
              <w:spacing w:after="0"/>
              <w:rPr>
                <w:sz w:val="17"/>
                <w:szCs w:val="17"/>
                <w:color w:val="auto"/>
              </w:rPr>
            </w:pPr>
          </w:p>
        </w:tc>
      </w:tr>
      <w:tr>
        <w:trPr>
          <w:trHeight w:val="270"/>
        </w:trPr>
        <w:tc>
          <w:tcPr>
            <w:tcW w:w="3040" w:type="dxa"/>
            <w:vAlign w:val="bottom"/>
            <w:gridSpan w:val="2"/>
            <w:shd w:val="clear" w:color="auto" w:fill="BFBFBF"/>
          </w:tcPr>
          <w:p>
            <w:pPr>
              <w:ind w:left="1160"/>
              <w:spacing w:after="0"/>
              <w:rPr>
                <w:sz w:val="20"/>
                <w:szCs w:val="20"/>
                <w:color w:val="auto"/>
              </w:rPr>
            </w:pPr>
            <w:r>
              <w:rPr>
                <w:rFonts w:ascii="Arial" w:cs="Arial" w:eastAsia="Arial" w:hAnsi="Arial"/>
                <w:sz w:val="18"/>
                <w:szCs w:val="18"/>
                <w:b w:val="1"/>
                <w:bCs w:val="1"/>
                <w:color w:val="auto"/>
              </w:rPr>
              <w:t>Owner</w:t>
            </w:r>
          </w:p>
        </w:tc>
        <w:tc>
          <w:tcPr>
            <w:tcW w:w="3160" w:type="dxa"/>
            <w:vAlign w:val="bottom"/>
            <w:gridSpan w:val="2"/>
            <w:shd w:val="clear" w:color="auto" w:fill="BFBFBF"/>
          </w:tcPr>
          <w:p>
            <w:pPr>
              <w:ind w:left="1060"/>
              <w:spacing w:after="0"/>
              <w:rPr>
                <w:sz w:val="20"/>
                <w:szCs w:val="20"/>
                <w:color w:val="auto"/>
              </w:rPr>
            </w:pPr>
            <w:r>
              <w:rPr>
                <w:rFonts w:ascii="Arial" w:cs="Arial" w:eastAsia="Arial" w:hAnsi="Arial"/>
                <w:sz w:val="18"/>
                <w:szCs w:val="18"/>
                <w:b w:val="1"/>
                <w:bCs w:val="1"/>
                <w:color w:val="auto"/>
              </w:rPr>
              <w:t>Subsidiary</w:t>
            </w:r>
          </w:p>
        </w:tc>
        <w:tc>
          <w:tcPr>
            <w:tcW w:w="1140" w:type="dxa"/>
            <w:vAlign w:val="bottom"/>
            <w:gridSpan w:val="2"/>
            <w:shd w:val="clear" w:color="auto" w:fill="BFBFBF"/>
          </w:tcPr>
          <w:p>
            <w:pPr>
              <w:ind w:left="20"/>
              <w:spacing w:after="0" w:line="269" w:lineRule="exact"/>
              <w:rPr>
                <w:sz w:val="20"/>
                <w:szCs w:val="20"/>
                <w:color w:val="auto"/>
              </w:rPr>
            </w:pPr>
            <w:r>
              <w:rPr>
                <w:rFonts w:ascii="Arial" w:cs="Arial" w:eastAsia="Arial" w:hAnsi="Arial"/>
                <w:sz w:val="18"/>
                <w:szCs w:val="18"/>
                <w:b w:val="1"/>
                <w:bCs w:val="1"/>
                <w:color w:val="auto"/>
              </w:rPr>
              <w:t>Subsidiary</w:t>
            </w:r>
            <w:r>
              <w:rPr>
                <w:rFonts w:ascii="Arial" w:cs="Arial" w:eastAsia="Arial" w:hAnsi="Arial"/>
                <w:sz w:val="30"/>
                <w:szCs w:val="30"/>
                <w:b w:val="1"/>
                <w:bCs w:val="1"/>
                <w:color w:val="auto"/>
                <w:vertAlign w:val="superscript"/>
              </w:rPr>
              <w:t>1</w:t>
            </w:r>
          </w:p>
        </w:tc>
        <w:tc>
          <w:tcPr>
            <w:tcW w:w="1360" w:type="dxa"/>
            <w:vAlign w:val="bottom"/>
            <w:shd w:val="clear" w:color="auto" w:fill="BFBFBF"/>
          </w:tcPr>
          <w:p>
            <w:pPr>
              <w:ind w:left="180"/>
              <w:spacing w:after="0"/>
              <w:rPr>
                <w:sz w:val="20"/>
                <w:szCs w:val="20"/>
                <w:color w:val="auto"/>
              </w:rPr>
            </w:pPr>
            <w:r>
              <w:rPr>
                <w:rFonts w:ascii="Arial" w:cs="Arial" w:eastAsia="Arial" w:hAnsi="Arial"/>
                <w:sz w:val="18"/>
                <w:szCs w:val="18"/>
                <w:b w:val="1"/>
                <w:bCs w:val="1"/>
                <w:color w:val="auto"/>
              </w:rPr>
              <w:t>Organization</w:t>
            </w:r>
          </w:p>
        </w:tc>
        <w:tc>
          <w:tcPr>
            <w:tcW w:w="220" w:type="dxa"/>
            <w:vAlign w:val="bottom"/>
            <w:shd w:val="clear" w:color="auto" w:fill="BFBFBF"/>
          </w:tcPr>
          <w:p>
            <w:pPr>
              <w:spacing w:after="0"/>
              <w:rPr>
                <w:sz w:val="23"/>
                <w:szCs w:val="23"/>
                <w:color w:val="auto"/>
              </w:rPr>
            </w:pPr>
          </w:p>
        </w:tc>
        <w:tc>
          <w:tcPr>
            <w:tcW w:w="2500" w:type="dxa"/>
            <w:vAlign w:val="bottom"/>
            <w:shd w:val="clear" w:color="auto" w:fill="BFBFBF"/>
          </w:tcPr>
          <w:p>
            <w:pPr>
              <w:ind w:left="820"/>
              <w:spacing w:after="0"/>
              <w:rPr>
                <w:sz w:val="20"/>
                <w:szCs w:val="20"/>
                <w:color w:val="auto"/>
              </w:rPr>
            </w:pPr>
            <w:r>
              <w:rPr>
                <w:rFonts w:ascii="Arial" w:cs="Arial" w:eastAsia="Arial" w:hAnsi="Arial"/>
                <w:sz w:val="18"/>
                <w:szCs w:val="18"/>
                <w:b w:val="1"/>
                <w:bCs w:val="1"/>
                <w:color w:val="auto"/>
              </w:rPr>
              <w:t>Ownership</w:t>
            </w:r>
          </w:p>
        </w:tc>
      </w:tr>
      <w:tr>
        <w:trPr>
          <w:trHeight w:val="224"/>
        </w:trPr>
        <w:tc>
          <w:tcPr>
            <w:tcW w:w="2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Designated Activity Company</w:t>
            </w:r>
          </w:p>
        </w:tc>
        <w:tc>
          <w:tcPr>
            <w:tcW w:w="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r>
      <w:tr>
        <w:trPr>
          <w:trHeight w:val="404"/>
        </w:trPr>
        <w:tc>
          <w:tcPr>
            <w:tcW w:w="3040" w:type="dxa"/>
            <w:vAlign w:val="bottom"/>
            <w:gridSpan w:val="2"/>
          </w:tcPr>
          <w:p>
            <w:pPr>
              <w:spacing w:after="0"/>
              <w:rPr>
                <w:sz w:val="20"/>
                <w:szCs w:val="20"/>
                <w:color w:val="auto"/>
              </w:rPr>
            </w:pPr>
            <w:r>
              <w:rPr>
                <w:rFonts w:ascii="Arial" w:cs="Arial" w:eastAsia="Arial" w:hAnsi="Arial"/>
                <w:sz w:val="18"/>
                <w:szCs w:val="18"/>
                <w:color w:val="auto"/>
              </w:rPr>
              <w:t>Regeneron Ireland Designated</w:t>
            </w:r>
          </w:p>
        </w:tc>
        <w:tc>
          <w:tcPr>
            <w:tcW w:w="3160" w:type="dxa"/>
            <w:vAlign w:val="bottom"/>
            <w:gridSpan w:val="2"/>
          </w:tcPr>
          <w:p>
            <w:pPr>
              <w:spacing w:after="0"/>
              <w:rPr>
                <w:sz w:val="20"/>
                <w:szCs w:val="20"/>
                <w:color w:val="auto"/>
              </w:rPr>
            </w:pPr>
            <w:r>
              <w:rPr>
                <w:rFonts w:ascii="Arial" w:cs="Arial" w:eastAsia="Arial" w:hAnsi="Arial"/>
                <w:sz w:val="18"/>
                <w:szCs w:val="18"/>
                <w:color w:val="auto"/>
              </w:rPr>
              <w:t>Regeneron Capital International B.V.</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Netherlands</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220"/>
        </w:trPr>
        <w:tc>
          <w:tcPr>
            <w:tcW w:w="3040" w:type="dxa"/>
            <w:vAlign w:val="bottom"/>
            <w:gridSpan w:val="2"/>
          </w:tcPr>
          <w:p>
            <w:pPr>
              <w:spacing w:after="0"/>
              <w:rPr>
                <w:sz w:val="20"/>
                <w:szCs w:val="20"/>
                <w:color w:val="auto"/>
              </w:rPr>
            </w:pPr>
            <w:r>
              <w:rPr>
                <w:rFonts w:ascii="Arial" w:cs="Arial" w:eastAsia="Arial" w:hAnsi="Arial"/>
                <w:sz w:val="18"/>
                <w:szCs w:val="18"/>
                <w:color w:val="auto"/>
              </w:rPr>
              <w:t>Activity Company</w:t>
            </w:r>
          </w:p>
        </w:tc>
        <w:tc>
          <w:tcPr>
            <w:tcW w:w="3160" w:type="dxa"/>
            <w:vAlign w:val="bottom"/>
            <w:gridSpan w:val="2"/>
          </w:tcPr>
          <w:p>
            <w:pPr>
              <w:spacing w:after="0"/>
              <w:rPr>
                <w:sz w:val="20"/>
                <w:szCs w:val="20"/>
                <w:color w:val="auto"/>
              </w:rPr>
            </w:pPr>
            <w:r>
              <w:rPr>
                <w:rFonts w:ascii="Arial" w:cs="Arial" w:eastAsia="Arial" w:hAnsi="Arial"/>
                <w:sz w:val="18"/>
                <w:szCs w:val="18"/>
                <w:color w:val="auto"/>
              </w:rPr>
              <w:t>Regeneron Spain, S.L.U.</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Spain</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253"/>
        </w:trPr>
        <w:tc>
          <w:tcPr>
            <w:tcW w:w="2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Regeneron Belgium BVBA</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Belgium</w:t>
            </w:r>
          </w:p>
        </w:tc>
        <w:tc>
          <w:tcPr>
            <w:tcW w:w="2720" w:type="dxa"/>
            <w:vAlign w:val="bottom"/>
            <w:gridSpan w:val="2"/>
          </w:tcPr>
          <w:p>
            <w:pPr>
              <w:ind w:left="220"/>
              <w:spacing w:after="0" w:line="253" w:lineRule="exact"/>
              <w:rPr>
                <w:sz w:val="20"/>
                <w:szCs w:val="20"/>
                <w:color w:val="auto"/>
              </w:rPr>
            </w:pPr>
            <w:r>
              <w:rPr>
                <w:rFonts w:ascii="Arial" w:cs="Arial" w:eastAsia="Arial" w:hAnsi="Arial"/>
                <w:sz w:val="18"/>
                <w:szCs w:val="18"/>
                <w:color w:val="auto"/>
              </w:rPr>
              <w:t>99.99%</w:t>
            </w:r>
            <w:r>
              <w:rPr>
                <w:rFonts w:ascii="Arial" w:cs="Arial" w:eastAsia="Arial" w:hAnsi="Arial"/>
                <w:sz w:val="29"/>
                <w:szCs w:val="29"/>
                <w:color w:val="auto"/>
                <w:vertAlign w:val="superscript"/>
              </w:rPr>
              <w:t>4</w:t>
            </w: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Regeneron UK Limited</w:t>
            </w:r>
          </w:p>
        </w:tc>
        <w:tc>
          <w:tcPr>
            <w:tcW w:w="1140" w:type="dxa"/>
            <w:vAlign w:val="bottom"/>
            <w:gridSpan w:val="2"/>
          </w:tcPr>
          <w:p>
            <w:pPr>
              <w:spacing w:after="0"/>
              <w:rPr>
                <w:sz w:val="20"/>
                <w:szCs w:val="20"/>
                <w:color w:val="auto"/>
              </w:rPr>
            </w:pPr>
            <w:r>
              <w:rPr>
                <w:rFonts w:ascii="Arial" w:cs="Arial" w:eastAsia="Arial" w:hAnsi="Arial"/>
                <w:sz w:val="18"/>
                <w:szCs w:val="18"/>
                <w:color w:val="auto"/>
              </w:rPr>
              <w:t>No.</w:t>
            </w:r>
          </w:p>
        </w:tc>
        <w:tc>
          <w:tcPr>
            <w:tcW w:w="1360" w:type="dxa"/>
            <w:vAlign w:val="bottom"/>
          </w:tcPr>
          <w:p>
            <w:pPr>
              <w:spacing w:after="0"/>
              <w:rPr>
                <w:sz w:val="20"/>
                <w:szCs w:val="20"/>
                <w:color w:val="auto"/>
              </w:rPr>
            </w:pPr>
            <w:r>
              <w:rPr>
                <w:rFonts w:ascii="Arial" w:cs="Arial" w:eastAsia="Arial" w:hAnsi="Arial"/>
                <w:sz w:val="18"/>
                <w:szCs w:val="18"/>
                <w:color w:val="auto"/>
              </w:rPr>
              <w:t>England and</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100%</w:t>
            </w:r>
          </w:p>
        </w:tc>
      </w:tr>
      <w:tr>
        <w:trPr>
          <w:trHeight w:val="230"/>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Wales</w:t>
            </w: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268605</wp:posOffset>
            </wp:positionV>
            <wp:extent cx="7246620" cy="3003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180975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5" w:lineRule="exact"/>
        <w:rPr>
          <w:sz w:val="20"/>
          <w:szCs w:val="20"/>
          <w:color w:val="auto"/>
        </w:rPr>
      </w:pPr>
    </w:p>
    <w:p>
      <w:pPr>
        <w:ind w:left="580" w:hanging="572"/>
        <w:spacing w:after="0"/>
        <w:tabs>
          <w:tab w:leader="none" w:pos="580" w:val="left"/>
        </w:tabs>
        <w:numPr>
          <w:ilvl w:val="0"/>
          <w:numId w:val="283"/>
        </w:numPr>
        <w:rPr>
          <w:rFonts w:ascii="Arial" w:cs="Arial" w:eastAsia="Arial" w:hAnsi="Arial"/>
          <w:sz w:val="24"/>
          <w:szCs w:val="24"/>
          <w:color w:val="auto"/>
          <w:vertAlign w:val="superscript"/>
        </w:rPr>
      </w:pPr>
      <w:r>
        <w:rPr>
          <w:rFonts w:ascii="Arial" w:cs="Arial" w:eastAsia="Arial" w:hAnsi="Arial"/>
          <w:sz w:val="14"/>
          <w:szCs w:val="14"/>
          <w:color w:val="auto"/>
        </w:rPr>
        <w:t>0.01% held by Regeneron Spain, S.L.U. (1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8" w:name="page369"/>
    <w:bookmarkEnd w:id="368"/>
    <w:p>
      <w:pPr>
        <w:jc w:val="center"/>
        <w:ind w:right="-120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9(</w:t>
      </w:r>
      <w:r>
        <w:rPr>
          <w:rFonts w:ascii="Arial" w:cs="Arial" w:eastAsia="Arial" w:hAnsi="Arial"/>
          <w:sz w:val="14"/>
          <w:szCs w:val="14"/>
          <w:b w:val="1"/>
          <w:bCs w:val="1"/>
          <w:color w:val="auto"/>
        </w:rPr>
        <w:t>A</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TO</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UARANTY</w:t>
      </w:r>
    </w:p>
    <w:p>
      <w:pPr>
        <w:spacing w:after="0" w:line="21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XISTING</w:t>
      </w:r>
      <w:r>
        <w:rPr>
          <w:rFonts w:ascii="Arial" w:cs="Arial" w:eastAsia="Arial" w:hAnsi="Arial"/>
          <w:sz w:val="22"/>
          <w:szCs w:val="22"/>
          <w:color w:val="auto"/>
        </w:rPr>
        <w:t xml:space="preserve"> I</w:t>
      </w:r>
      <w:r>
        <w:rPr>
          <w:rFonts w:ascii="Arial" w:cs="Arial" w:eastAsia="Arial" w:hAnsi="Arial"/>
          <w:sz w:val="14"/>
          <w:szCs w:val="14"/>
          <w:color w:val="auto"/>
        </w:rPr>
        <w:t>NDEBTEDNESS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369" w:name="page370"/>
    <w:bookmarkEnd w:id="369"/>
    <w:p>
      <w:pPr>
        <w:jc w:val="center"/>
        <w:ind w:right="-120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9(</w:t>
      </w:r>
      <w:r>
        <w:rPr>
          <w:rFonts w:ascii="Arial" w:cs="Arial" w:eastAsia="Arial" w:hAnsi="Arial"/>
          <w:sz w:val="14"/>
          <w:szCs w:val="14"/>
          <w:b w:val="1"/>
          <w:bCs w:val="1"/>
          <w:color w:val="auto"/>
        </w:rPr>
        <w:t>B</w:t>
      </w:r>
      <w:r>
        <w:rPr>
          <w:rFonts w:ascii="Arial" w:cs="Arial" w:eastAsia="Arial" w:hAnsi="Arial"/>
          <w:sz w:val="22"/>
          <w:szCs w:val="22"/>
          <w:b w:val="1"/>
          <w:bCs w:val="1"/>
          <w:color w:val="auto"/>
        </w:rPr>
        <w:t>) T</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UARANTY</w:t>
      </w:r>
    </w:p>
    <w:p>
      <w:pPr>
        <w:spacing w:after="0" w:line="21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XISTING</w:t>
      </w:r>
      <w:r>
        <w:rPr>
          <w:rFonts w:ascii="Arial" w:cs="Arial" w:eastAsia="Arial" w:hAnsi="Arial"/>
          <w:sz w:val="22"/>
          <w:szCs w:val="22"/>
          <w:color w:val="auto"/>
        </w:rPr>
        <w:t xml:space="preserve"> L</w:t>
      </w:r>
      <w:r>
        <w:rPr>
          <w:rFonts w:ascii="Arial" w:cs="Arial" w:eastAsia="Arial" w:hAnsi="Arial"/>
          <w:sz w:val="14"/>
          <w:szCs w:val="14"/>
          <w:color w:val="auto"/>
        </w:rPr>
        <w:t>IENS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219"/>
      </w:cols>
      <w:pgMar w:left="240" w:top="3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6DE806"/>
    <w:multiLevelType w:val="hybridMultilevel"/>
    <w:lvl w:ilvl="0">
      <w:lvlJc w:val="left"/>
      <w:lvlText w:val="(%1)"/>
      <w:numFmt w:val="lowerLetter"/>
      <w:start w:val="2"/>
    </w:lvl>
  </w:abstractNum>
  <w:abstractNum w:abstractNumId="1">
    <w:nsid w:val="1816F8C4"/>
    <w:multiLevelType w:val="hybridMultilevel"/>
    <w:lvl w:ilvl="0">
      <w:lvlJc w:val="left"/>
      <w:lvlText w:val="(%1)"/>
      <w:numFmt w:val="lowerLetter"/>
      <w:start w:val="2"/>
    </w:lvl>
  </w:abstractNum>
  <w:abstractNum w:abstractNumId="2">
    <w:nsid w:val="37DF2233"/>
    <w:multiLevelType w:val="hybridMultilevel"/>
    <w:lvl w:ilvl="0">
      <w:lvlJc w:val="left"/>
      <w:lvlText w:val="(%1)"/>
      <w:numFmt w:val="lowerLetter"/>
      <w:start w:val="26"/>
    </w:lvl>
  </w:abstractNum>
  <w:abstractNum w:abstractNumId="3">
    <w:nsid w:val="7AB49DAF"/>
    <w:multiLevelType w:val="hybridMultilevel"/>
    <w:lvl w:ilvl="0">
      <w:lvlJc w:val="left"/>
      <w:lvlText w:val="(%1)"/>
      <w:numFmt w:val="lowerLetter"/>
      <w:start w:val="1"/>
    </w:lvl>
  </w:abstractNum>
  <w:abstractNum w:abstractNumId="4">
    <w:nsid w:val="759F82CD"/>
    <w:multiLevelType w:val="hybridMultilevel"/>
    <w:lvl w:ilvl="0">
      <w:lvlJc w:val="left"/>
      <w:lvlText w:val="(%1)"/>
      <w:numFmt w:val="lowerLetter"/>
      <w:start w:val="3"/>
    </w:lvl>
  </w:abstractNum>
  <w:abstractNum w:abstractNumId="5">
    <w:nsid w:val="61E74EA3"/>
    <w:multiLevelType w:val="hybridMultilevel"/>
    <w:lvl w:ilvl="0">
      <w:lvlJc w:val="left"/>
      <w:lvlText w:val="(%1)"/>
      <w:numFmt w:val="lowerLetter"/>
      <w:start w:val="2"/>
    </w:lvl>
  </w:abstractNum>
  <w:abstractNum w:abstractNumId="6">
    <w:nsid w:val="597B4D84"/>
    <w:multiLevelType w:val="hybridMultilevel"/>
    <w:lvl w:ilvl="0">
      <w:lvlJc w:val="left"/>
      <w:lvlText w:val="(%1)"/>
      <w:numFmt w:val="lowerLetter"/>
      <w:start w:val="1"/>
    </w:lvl>
    <w:lvl w:ilvl="1">
      <w:lvlJc w:val="left"/>
      <w:lvlText w:val="(%2)"/>
      <w:numFmt w:val="lowerRoman"/>
      <w:start w:val="1"/>
    </w:lvl>
  </w:abstractNum>
  <w:abstractNum w:abstractNumId="7">
    <w:nsid w:val="F819E7F"/>
    <w:multiLevelType w:val="hybridMultilevel"/>
    <w:lvl w:ilvl="0">
      <w:lvlJc w:val="left"/>
      <w:lvlText w:val="(%1)"/>
      <w:numFmt w:val="lowerLetter"/>
      <w:start w:val="2"/>
    </w:lvl>
  </w:abstractNum>
  <w:abstractNum w:abstractNumId="8">
    <w:nsid w:val="57C7D42D"/>
    <w:multiLevelType w:val="hybridMultilevel"/>
    <w:lvl w:ilvl="0">
      <w:lvlJc w:val="left"/>
      <w:lvlText w:val="(%1)"/>
      <w:numFmt w:val="lowerRoman"/>
      <w:start w:val="1"/>
    </w:lvl>
  </w:abstractNum>
  <w:abstractNum w:abstractNumId="9">
    <w:nsid w:val="312167AD"/>
    <w:multiLevelType w:val="hybridMultilevel"/>
    <w:lvl w:ilvl="0">
      <w:lvlJc w:val="left"/>
      <w:lvlText w:val="(%1)"/>
      <w:numFmt w:val="lowerRoman"/>
      <w:start w:val="1"/>
    </w:lvl>
  </w:abstractNum>
  <w:abstractNum w:abstractNumId="10">
    <w:nsid w:val="631B64D4"/>
    <w:multiLevelType w:val="hybridMultilevel"/>
    <w:lvl w:ilvl="0">
      <w:lvlJc w:val="left"/>
      <w:lvlText w:val="(%1)"/>
      <w:numFmt w:val="lowerLetter"/>
      <w:start w:val="3"/>
    </w:lvl>
  </w:abstractNum>
  <w:abstractNum w:abstractNumId="11">
    <w:nsid w:val="78B5E776"/>
    <w:multiLevelType w:val="hybridMultilevel"/>
    <w:lvl w:ilvl="0">
      <w:lvlJc w:val="left"/>
      <w:lvlText w:val="(%1)"/>
      <w:numFmt w:val="lowerLetter"/>
      <w:start w:val="4"/>
    </w:lvl>
  </w:abstractNum>
  <w:abstractNum w:abstractNumId="12">
    <w:nsid w:val="75486E47"/>
    <w:multiLevelType w:val="hybridMultilevel"/>
    <w:lvl w:ilvl="0">
      <w:lvlJc w:val="left"/>
      <w:lvlText w:val="(%1)"/>
      <w:numFmt w:val="lowerLetter"/>
      <w:start w:val="5"/>
    </w:lvl>
  </w:abstractNum>
  <w:abstractNum w:abstractNumId="13">
    <w:nsid w:val="6E534CDE"/>
    <w:multiLevelType w:val="hybridMultilevel"/>
    <w:lvl w:ilvl="0">
      <w:lvlJc w:val="left"/>
      <w:lvlText w:val="(%1)"/>
      <w:numFmt w:val="lowerLetter"/>
      <w:start w:val="7"/>
    </w:lvl>
  </w:abstractNum>
  <w:abstractNum w:abstractNumId="14">
    <w:nsid w:val="1A0DDE32"/>
    <w:multiLevelType w:val="hybridMultilevel"/>
    <w:lvl w:ilvl="0">
      <w:lvlJc w:val="left"/>
      <w:lvlText w:val="(%1)"/>
      <w:numFmt w:val="lowerRoman"/>
      <w:start w:val="2"/>
    </w:lvl>
  </w:abstractNum>
  <w:abstractNum w:abstractNumId="15">
    <w:nsid w:val="65968C1C"/>
    <w:multiLevelType w:val="hybridMultilevel"/>
    <w:lvl w:ilvl="0">
      <w:lvlJc w:val="left"/>
      <w:lvlText w:val="%1"/>
      <w:numFmt w:val="lowerLetter"/>
      <w:start w:val="1"/>
    </w:lvl>
    <w:lvl w:ilvl="1">
      <w:lvlJc w:val="left"/>
      <w:lvlText w:val="(%2)"/>
      <w:numFmt w:val="lowerLetter"/>
      <w:start w:val="61"/>
    </w:lvl>
  </w:abstractNum>
  <w:abstractNum w:abstractNumId="16">
    <w:nsid w:val="46263DEC"/>
    <w:multiLevelType w:val="hybridMultilevel"/>
    <w:lvl w:ilvl="0">
      <w:lvlJc w:val="left"/>
      <w:lvlText w:val="(%1)"/>
      <w:numFmt w:val="lowerLetter"/>
      <w:start w:val="8"/>
    </w:lvl>
    <w:lvl w:ilvl="1">
      <w:lvlJc w:val="left"/>
      <w:lvlText w:val="%2"/>
      <w:numFmt w:val="lowerLetter"/>
      <w:start w:val="1"/>
    </w:lvl>
  </w:abstractNum>
  <w:abstractNum w:abstractNumId="17">
    <w:nsid w:val="260D8C4A"/>
    <w:multiLevelType w:val="hybridMultilevel"/>
    <w:lvl w:ilvl="0">
      <w:lvlJc w:val="left"/>
      <w:lvlText w:val="(%1)"/>
      <w:numFmt w:val="lowerRoman"/>
      <w:start w:val="1"/>
    </w:lvl>
  </w:abstractNum>
  <w:abstractNum w:abstractNumId="18">
    <w:nsid w:val="73D4D3C4"/>
    <w:multiLevelType w:val="hybridMultilevel"/>
    <w:lvl w:ilvl="0">
      <w:lvlJc w:val="left"/>
      <w:lvlText w:val="(%1)"/>
      <w:numFmt w:val="lowerRoman"/>
      <w:start w:val="4"/>
    </w:lvl>
    <w:lvl w:ilvl="1">
      <w:lvlJc w:val="left"/>
      <w:lvlText w:val="(%2)"/>
      <w:numFmt w:val="upperLetter"/>
      <w:start w:val="1"/>
    </w:lvl>
  </w:abstractNum>
  <w:abstractNum w:abstractNumId="19">
    <w:nsid w:val="746F2E3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20">
    <w:nsid w:val="6FDE8AF6"/>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21">
    <w:nsid w:val="3FC32E20"/>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22">
    <w:nsid w:val="49C0E823"/>
    <w:multiLevelType w:val="hybridMultilevel"/>
    <w:lvl w:ilvl="0">
      <w:lvlJc w:val="left"/>
      <w:lvlText w:val="(%1)"/>
      <w:numFmt w:val="lowerLetter"/>
      <w:start w:val="26"/>
    </w:lvl>
    <w:lvl w:ilvl="1">
      <w:lvlJc w:val="left"/>
      <w:lvlText w:val="(%2)"/>
      <w:numFmt w:val="lowerRoman"/>
      <w:start w:val="10"/>
    </w:lvl>
    <w:lvl w:ilvl="2">
      <w:lvlJc w:val="left"/>
      <w:lvlText w:val="%3"/>
      <w:numFmt w:val="upperLetter"/>
      <w:start w:val="1"/>
    </w:lvl>
  </w:abstractNum>
  <w:abstractNum w:abstractNumId="23">
    <w:nsid w:val="14D53685"/>
    <w:multiLevelType w:val="hybridMultilevel"/>
    <w:lvl w:ilvl="0">
      <w:lvlJc w:val="left"/>
      <w:lvlText w:val="(%1)"/>
      <w:numFmt w:val="lowerRoman"/>
      <w:start w:val="11"/>
    </w:lvl>
  </w:abstractNum>
  <w:abstractNum w:abstractNumId="24">
    <w:nsid w:val="230F856C"/>
    <w:multiLevelType w:val="hybridMultilevel"/>
    <w:lvl w:ilvl="0">
      <w:lvlJc w:val="left"/>
      <w:lvlText w:val="(%1)"/>
      <w:numFmt w:val="lowerRoman"/>
      <w:start w:val="15"/>
    </w:lvl>
  </w:abstractNum>
  <w:abstractNum w:abstractNumId="25">
    <w:nsid w:val="6EAA85FB"/>
    <w:multiLevelType w:val="hybridMultilevel"/>
    <w:lvl w:ilvl="0">
      <w:lvlJc w:val="left"/>
      <w:lvlText w:val="(%1)"/>
      <w:numFmt w:val="lowerRoman"/>
      <w:start w:val="22"/>
    </w:lvl>
  </w:abstractNum>
  <w:abstractNum w:abstractNumId="26">
    <w:nsid w:val="3F06ECB2"/>
    <w:multiLevelType w:val="hybridMultilevel"/>
    <w:lvl w:ilvl="0">
      <w:lvlJc w:val="left"/>
      <w:lvlText w:val="%1"/>
      <w:numFmt w:val="decimal"/>
      <w:start w:val="1"/>
    </w:lvl>
    <w:lvl w:ilvl="1">
      <w:lvlJc w:val="left"/>
      <w:lvlText w:val="(%2)"/>
      <w:numFmt w:val="lowerRoman"/>
      <w:start w:val="1"/>
    </w:lvl>
  </w:abstractNum>
  <w:abstractNum w:abstractNumId="27">
    <w:nsid w:val="3B594807"/>
    <w:multiLevelType w:val="hybridMultilevel"/>
    <w:lvl w:ilvl="0">
      <w:lvlJc w:val="left"/>
      <w:lvlText w:val="(%1)"/>
      <w:numFmt w:val="decimal"/>
      <w:start w:val="1"/>
    </w:lvl>
    <w:lvl w:ilvl="1">
      <w:lvlJc w:val="left"/>
      <w:lvlText w:val="%2"/>
      <w:numFmt w:val="lowerRoman"/>
      <w:start w:val="1"/>
    </w:lvl>
  </w:abstractNum>
  <w:abstractNum w:abstractNumId="28">
    <w:nsid w:val="6CAA2304"/>
    <w:multiLevelType w:val="hybridMultilevel"/>
    <w:lvl w:ilvl="0">
      <w:lvlJc w:val="left"/>
      <w:lvlText w:val="(%1)"/>
      <w:numFmt w:val="lowerRoman"/>
      <w:start w:val="2"/>
    </w:lvl>
  </w:abstractNum>
  <w:abstractNum w:abstractNumId="29">
    <w:nsid w:val="3F7C2FF4"/>
    <w:multiLevelType w:val="hybridMultilevel"/>
    <w:lvl w:ilvl="0">
      <w:lvlJc w:val="left"/>
      <w:lvlText w:val="(%1)"/>
      <w:numFmt w:val="lowerLetter"/>
      <w:start w:val="1"/>
    </w:lvl>
  </w:abstractNum>
  <w:abstractNum w:abstractNumId="30">
    <w:nsid w:val="25413BEC"/>
    <w:multiLevelType w:val="hybridMultilevel"/>
    <w:lvl w:ilvl="0">
      <w:lvlJc w:val="left"/>
      <w:lvlText w:val="(%1)"/>
      <w:numFmt w:val="lowerLetter"/>
      <w:start w:val="1"/>
    </w:lvl>
    <w:lvl w:ilvl="1">
      <w:lvlJc w:val="left"/>
      <w:lvlText w:val="(%2)"/>
      <w:numFmt w:val="lowerLetter"/>
      <w:start w:val="2"/>
    </w:lvl>
  </w:abstractNum>
  <w:abstractNum w:abstractNumId="31">
    <w:nsid w:val="17180B0B"/>
    <w:multiLevelType w:val="hybridMultilevel"/>
    <w:lvl w:ilvl="0">
      <w:lvlJc w:val="left"/>
      <w:lvlText w:val="(%1)"/>
      <w:numFmt w:val="lowerLetter"/>
      <w:start w:val="3"/>
    </w:lvl>
  </w:abstractNum>
  <w:abstractNum w:abstractNumId="32">
    <w:nsid w:val="579328B9"/>
    <w:multiLevelType w:val="hybridMultilevel"/>
    <w:lvl w:ilvl="0">
      <w:lvlJc w:val="left"/>
      <w:lvlText w:val="(%1)"/>
      <w:numFmt w:val="lowerLetter"/>
      <w:start w:val="1"/>
    </w:lvl>
  </w:abstractNum>
  <w:abstractNum w:abstractNumId="33">
    <w:nsid w:val="5D205E20"/>
    <w:multiLevelType w:val="hybridMultilevel"/>
    <w:lvl w:ilvl="0">
      <w:lvlJc w:val="left"/>
      <w:lvlText w:val="(%1)"/>
      <w:numFmt w:val="lowerLetter"/>
      <w:start w:val="3"/>
    </w:lvl>
  </w:abstractNum>
  <w:abstractNum w:abstractNumId="34">
    <w:nsid w:val="11CCA8BA"/>
    <w:multiLevelType w:val="hybridMultilevel"/>
    <w:lvl w:ilvl="0">
      <w:lvlJc w:val="left"/>
      <w:lvlText w:val="(%1)"/>
      <w:numFmt w:val="lowerLetter"/>
      <w:start w:val="1"/>
    </w:lvl>
  </w:abstractNum>
  <w:abstractNum w:abstractNumId="35">
    <w:nsid w:val="4D32AB86"/>
    <w:multiLevelType w:val="hybridMultilevel"/>
    <w:lvl w:ilvl="0">
      <w:lvlJc w:val="left"/>
      <w:lvlText w:val="%1"/>
      <w:numFmt w:val="lowerLetter"/>
      <w:start w:val="1"/>
    </w:lvl>
    <w:lvl w:ilvl="1">
      <w:lvlJc w:val="left"/>
      <w:lvlText w:val="(%2)"/>
      <w:numFmt w:val="lowerRoman"/>
      <w:start w:val="1"/>
    </w:lvl>
  </w:abstractNum>
  <w:abstractNum w:abstractNumId="36">
    <w:nsid w:val="3F07ACC3"/>
    <w:multiLevelType w:val="hybridMultilevel"/>
    <w:lvl w:ilvl="0">
      <w:lvlJc w:val="left"/>
      <w:lvlText w:val="(%1)"/>
      <w:numFmt w:val="lowerLetter"/>
      <w:start w:val="2"/>
    </w:lvl>
    <w:lvl w:ilvl="1">
      <w:lvlJc w:val="left"/>
      <w:lvlText w:val="%2"/>
      <w:numFmt w:val="lowerRoman"/>
      <w:start w:val="1"/>
    </w:lvl>
  </w:abstractNum>
  <w:abstractNum w:abstractNumId="37">
    <w:nsid w:val="6B47F63E"/>
    <w:multiLevelType w:val="hybridMultilevel"/>
    <w:lvl w:ilvl="0">
      <w:lvlJc w:val="left"/>
      <w:lvlText w:val="(%1)"/>
      <w:numFmt w:val="lowerLetter"/>
      <w:start w:val="5"/>
    </w:lvl>
  </w:abstractNum>
  <w:abstractNum w:abstractNumId="38">
    <w:nsid w:val="5CB44A05"/>
    <w:multiLevelType w:val="hybridMultilevel"/>
    <w:lvl w:ilvl="0">
      <w:lvlJc w:val="left"/>
      <w:lvlText w:val="(%1)"/>
      <w:numFmt w:val="lowerLetter"/>
      <w:start w:val="1"/>
    </w:lvl>
  </w:abstractNum>
  <w:abstractNum w:abstractNumId="39">
    <w:nsid w:val="16CF80F1"/>
    <w:multiLevelType w:val="hybridMultilevel"/>
    <w:lvl w:ilvl="0">
      <w:lvlJc w:val="left"/>
      <w:lvlText w:val="(%1)"/>
      <w:numFmt w:val="lowerLetter"/>
      <w:start w:val="2"/>
    </w:lvl>
  </w:abstractNum>
  <w:abstractNum w:abstractNumId="40">
    <w:nsid w:val="1C695DEC"/>
    <w:multiLevelType w:val="hybridMultilevel"/>
    <w:lvl w:ilvl="0">
      <w:lvlJc w:val="left"/>
      <w:lvlText w:val="(%1)"/>
      <w:numFmt w:val="decimal"/>
      <w:start w:val="2"/>
    </w:lvl>
  </w:abstractNum>
  <w:abstractNum w:abstractNumId="41">
    <w:nsid w:val="3FCFAED9"/>
    <w:multiLevelType w:val="hybridMultilevel"/>
    <w:lvl w:ilvl="0">
      <w:lvlJc w:val="left"/>
      <w:lvlText w:val="(%1)"/>
      <w:numFmt w:val="lowerLetter"/>
      <w:start w:val="3"/>
    </w:lvl>
  </w:abstractNum>
  <w:abstractNum w:abstractNumId="42">
    <w:nsid w:val="F856867"/>
    <w:multiLevelType w:val="hybridMultilevel"/>
    <w:lvl w:ilvl="0">
      <w:lvlJc w:val="left"/>
      <w:lvlText w:val="(%1)"/>
      <w:numFmt w:val="lowerLetter"/>
      <w:start w:val="1"/>
    </w:lvl>
  </w:abstractNum>
  <w:abstractNum w:abstractNumId="43">
    <w:nsid w:val="11B1CC33"/>
    <w:multiLevelType w:val="hybridMultilevel"/>
    <w:lvl w:ilvl="0">
      <w:lvlJc w:val="left"/>
      <w:lvlText w:val="(%1)"/>
      <w:numFmt w:val="lowerLetter"/>
      <w:start w:val="2"/>
    </w:lvl>
  </w:abstractNum>
  <w:abstractNum w:abstractNumId="44">
    <w:nsid w:val="2E22FBB7"/>
    <w:multiLevelType w:val="hybridMultilevel"/>
    <w:lvl w:ilvl="0">
      <w:lvlJc w:val="left"/>
      <w:lvlText w:val="(%1)"/>
      <w:numFmt w:val="lowerLetter"/>
      <w:start w:val="6"/>
    </w:lvl>
  </w:abstractNum>
  <w:abstractNum w:abstractNumId="45">
    <w:nsid w:val="29934699"/>
    <w:multiLevelType w:val="hybridMultilevel"/>
    <w:lvl w:ilvl="0">
      <w:lvlJc w:val="left"/>
      <w:lvlText w:val="(%1)"/>
      <w:numFmt w:val="lowerLetter"/>
      <w:start w:val="1"/>
    </w:lvl>
  </w:abstractNum>
  <w:abstractNum w:abstractNumId="46">
    <w:nsid w:val="77485850"/>
    <w:multiLevelType w:val="hybridMultilevel"/>
    <w:lvl w:ilvl="0">
      <w:lvlJc w:val="left"/>
      <w:lvlText w:val="(%1)"/>
      <w:numFmt w:val="decimal"/>
      <w:start w:val="1"/>
    </w:lvl>
  </w:abstractNum>
  <w:abstractNum w:abstractNumId="47">
    <w:nsid w:val="744939A3"/>
    <w:multiLevelType w:val="hybridMultilevel"/>
    <w:lvl w:ilvl="0">
      <w:lvlJc w:val="left"/>
      <w:lvlText w:val="(%1)"/>
      <w:numFmt w:val="lowerRoman"/>
      <w:start w:val="7"/>
    </w:lvl>
    <w:lvl w:ilvl="1">
      <w:lvlJc w:val="left"/>
      <w:lvlText w:val="(%2)"/>
      <w:numFmt w:val="decimal"/>
      <w:start w:val="4"/>
    </w:lvl>
  </w:abstractNum>
  <w:abstractNum w:abstractNumId="48">
    <w:nsid w:val="4FA0D2E3"/>
    <w:multiLevelType w:val="hybridMultilevel"/>
    <w:lvl w:ilvl="0">
      <w:lvlJc w:val="left"/>
      <w:lvlText w:val="(%1)"/>
      <w:numFmt w:val="lowerLetter"/>
      <w:start w:val="2"/>
    </w:lvl>
  </w:abstractNum>
  <w:abstractNum w:abstractNumId="49">
    <w:nsid w:val="6B1D2C14"/>
    <w:multiLevelType w:val="hybridMultilevel"/>
    <w:lvl w:ilvl="0">
      <w:lvlJc w:val="left"/>
      <w:lvlText w:val="(%1)"/>
      <w:numFmt w:val="decimal"/>
      <w:start w:val="10"/>
    </w:lvl>
  </w:abstractNum>
  <w:abstractNum w:abstractNumId="50">
    <w:nsid w:val="68B867D3"/>
    <w:multiLevelType w:val="hybridMultilevel"/>
    <w:lvl w:ilvl="0">
      <w:lvlJc w:val="left"/>
      <w:lvlText w:val="(%1)"/>
      <w:numFmt w:val="decimal"/>
      <w:start w:val="30"/>
    </w:lvl>
  </w:abstractNum>
  <w:abstractNum w:abstractNumId="51">
    <w:nsid w:val="3F7F5DD9"/>
    <w:multiLevelType w:val="hybridMultilevel"/>
    <w:lvl w:ilvl="0">
      <w:lvlJc w:val="left"/>
      <w:lvlText w:val="(%1)"/>
      <w:numFmt w:val="lowerLetter"/>
      <w:start w:val="1"/>
    </w:lvl>
  </w:abstractNum>
  <w:abstractNum w:abstractNumId="52">
    <w:nsid w:val="2AE05A34"/>
    <w:multiLevelType w:val="hybridMultilevel"/>
    <w:lvl w:ilvl="0">
      <w:lvlJc w:val="left"/>
      <w:lvlText w:val="(%1)"/>
      <w:numFmt w:val="lowerLetter"/>
      <w:start w:val="3"/>
    </w:lvl>
    <w:lvl w:ilvl="1">
      <w:lvlJc w:val="left"/>
      <w:lvlText w:val="(%2)"/>
      <w:numFmt w:val="lowerLetter"/>
      <w:start w:val="35"/>
    </w:lvl>
  </w:abstractNum>
  <w:abstractNum w:abstractNumId="53">
    <w:nsid w:val="32794FF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5"/>
    </w:lvl>
  </w:abstractNum>
  <w:abstractNum w:abstractNumId="54">
    <w:nsid w:val="5454945E"/>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55">
    <w:nsid w:val="4DEFDFA0"/>
    <w:multiLevelType w:val="hybridMultilevel"/>
    <w:lvl w:ilvl="0">
      <w:lvlJc w:val="left"/>
      <w:lvlText w:val="(%1)"/>
      <w:numFmt w:val="lowerLetter"/>
      <w:start w:val="9"/>
    </w:lvl>
    <w:lvl w:ilvl="1">
      <w:lvlJc w:val="left"/>
      <w:lvlText w:val="(%2)"/>
      <w:numFmt w:val="lowerLetter"/>
      <w:start w:val="5"/>
    </w:lvl>
    <w:lvl w:ilvl="2">
      <w:lvlJc w:val="left"/>
      <w:lvlText w:val="%3"/>
      <w:numFmt w:val="lowerLetter"/>
      <w:start w:val="1"/>
    </w:lvl>
  </w:abstractNum>
  <w:abstractNum w:abstractNumId="56">
    <w:nsid w:val="2123D5F2"/>
    <w:multiLevelType w:val="hybridMultilevel"/>
    <w:lvl w:ilvl="0">
      <w:lvlJc w:val="left"/>
      <w:lvlText w:val="(%1)"/>
      <w:numFmt w:val="upperLetter"/>
      <w:start w:val="1"/>
    </w:lvl>
  </w:abstractNum>
  <w:abstractNum w:abstractNumId="57">
    <w:nsid w:val="135B8110"/>
    <w:multiLevelType w:val="hybridMultilevel"/>
    <w:lvl w:ilvl="0">
      <w:lvlJc w:val="left"/>
      <w:lvlText w:val="%1"/>
      <w:numFmt w:val="lowerLetter"/>
      <w:start w:val="1"/>
    </w:lvl>
    <w:lvl w:ilvl="1">
      <w:lvlJc w:val="left"/>
      <w:lvlText w:val="(%2)"/>
      <w:numFmt w:val="lowerLetter"/>
      <w:start w:val="35"/>
    </w:lvl>
  </w:abstractNum>
  <w:abstractNum w:abstractNumId="58">
    <w:nsid w:val="94927A8"/>
    <w:multiLevelType w:val="hybridMultilevel"/>
    <w:lvl w:ilvl="0">
      <w:lvlJc w:val="left"/>
      <w:lvlText w:val="(%1)"/>
      <w:numFmt w:val="lowerLetter"/>
      <w:start w:val="6"/>
    </w:lvl>
    <w:lvl w:ilvl="1">
      <w:lvlJc w:val="left"/>
      <w:lvlText w:val="%2"/>
      <w:numFmt w:val="lowerLetter"/>
      <w:start w:val="1"/>
    </w:lvl>
  </w:abstractNum>
  <w:abstractNum w:abstractNumId="59">
    <w:nsid w:val="DCDF8F6"/>
    <w:multiLevelType w:val="hybridMultilevel"/>
    <w:lvl w:ilvl="0">
      <w:lvlJc w:val="left"/>
      <w:lvlText w:val="(%1)"/>
      <w:numFmt w:val="lowerLetter"/>
      <w:start w:val="1"/>
    </w:lvl>
  </w:abstractNum>
  <w:abstractNum w:abstractNumId="60">
    <w:nsid w:val="52D7B105"/>
    <w:multiLevelType w:val="hybridMultilevel"/>
    <w:lvl w:ilvl="0">
      <w:lvlJc w:val="left"/>
      <w:lvlText w:val="(%1)"/>
      <w:numFmt w:val="lowerLetter"/>
      <w:start w:val="3"/>
    </w:lvl>
  </w:abstractNum>
  <w:abstractNum w:abstractNumId="61">
    <w:nsid w:val="2E8A6394"/>
    <w:multiLevelType w:val="hybridMultilevel"/>
    <w:lvl w:ilvl="0">
      <w:lvlJc w:val="left"/>
      <w:lvlText w:val="(%1)"/>
      <w:numFmt w:val="lowerLetter"/>
      <w:start w:val="1"/>
    </w:lvl>
    <w:lvl w:ilvl="1">
      <w:lvlJc w:val="left"/>
      <w:lvlText w:val="(%2)"/>
      <w:numFmt w:val="lowerRoman"/>
      <w:start w:val="1"/>
    </w:lvl>
  </w:abstractNum>
  <w:abstractNum w:abstractNumId="62">
    <w:nsid w:val="24E60401"/>
    <w:multiLevelType w:val="hybridMultilevel"/>
    <w:lvl w:ilvl="0">
      <w:lvlJc w:val="left"/>
      <w:lvlText w:val="(%1)"/>
      <w:numFmt w:val="lowerLetter"/>
      <w:start w:val="2"/>
    </w:lvl>
  </w:abstractNum>
  <w:abstractNum w:abstractNumId="63">
    <w:nsid w:val="2A6AD9BE"/>
    <w:multiLevelType w:val="hybridMultilevel"/>
    <w:lvl w:ilvl="0">
      <w:lvlJc w:val="left"/>
      <w:lvlText w:val="(%1)"/>
      <w:numFmt w:val="lowerLetter"/>
      <w:start w:val="1"/>
    </w:lvl>
  </w:abstractNum>
  <w:abstractNum w:abstractNumId="64">
    <w:nsid w:val="BAAC1B4"/>
    <w:multiLevelType w:val="hybridMultilevel"/>
    <w:lvl w:ilvl="0">
      <w:lvlJc w:val="left"/>
      <w:lvlText w:val="(%1)"/>
      <w:numFmt w:val="lowerLetter"/>
      <w:start w:val="2"/>
    </w:lvl>
  </w:abstractNum>
  <w:abstractNum w:abstractNumId="65">
    <w:nsid w:val="36B2ACBC"/>
    <w:multiLevelType w:val="hybridMultilevel"/>
    <w:lvl w:ilvl="0">
      <w:lvlJc w:val="left"/>
      <w:lvlText w:val="(%1)"/>
      <w:numFmt w:val="lowerLetter"/>
      <w:start w:val="2"/>
    </w:lvl>
  </w:abstractNum>
  <w:abstractNum w:abstractNumId="66">
    <w:nsid w:val="779D8544"/>
    <w:multiLevelType w:val="hybridMultilevel"/>
    <w:lvl w:ilvl="0">
      <w:lvlJc w:val="left"/>
      <w:lvlText w:val="(%1)"/>
      <w:numFmt w:val="lowerLetter"/>
      <w:start w:val="3"/>
    </w:lvl>
  </w:abstractNum>
  <w:abstractNum w:abstractNumId="67">
    <w:nsid w:val="4AB26E78"/>
    <w:multiLevelType w:val="hybridMultilevel"/>
    <w:lvl w:ilvl="0">
      <w:lvlJc w:val="left"/>
      <w:lvlText w:val="(%1)"/>
      <w:numFmt w:val="lowerLetter"/>
      <w:start w:val="6"/>
    </w:lvl>
  </w:abstractNum>
  <w:abstractNum w:abstractNumId="68">
    <w:nsid w:val="21FAA2FA"/>
    <w:multiLevelType w:val="hybridMultilevel"/>
    <w:lvl w:ilvl="0">
      <w:lvlJc w:val="left"/>
      <w:lvlText w:val="(%1)"/>
      <w:numFmt w:val="lowerLetter"/>
      <w:start w:val="1"/>
    </w:lvl>
  </w:abstractNum>
  <w:abstractNum w:abstractNumId="69">
    <w:nsid w:val="5451CF49"/>
    <w:multiLevelType w:val="hybridMultilevel"/>
    <w:lvl w:ilvl="0">
      <w:lvlJc w:val="left"/>
      <w:lvlText w:val="(%1)"/>
      <w:numFmt w:val="lowerLetter"/>
      <w:start w:val="6"/>
    </w:lvl>
  </w:abstractNum>
  <w:abstractNum w:abstractNumId="70">
    <w:nsid w:val="6181EF69"/>
    <w:multiLevelType w:val="hybridMultilevel"/>
    <w:lvl w:ilvl="0">
      <w:lvlJc w:val="left"/>
      <w:lvlText w:val="(%1)"/>
      <w:numFmt w:val="lowerLetter"/>
      <w:start w:val="1"/>
    </w:lvl>
  </w:abstractNum>
  <w:abstractNum w:abstractNumId="71">
    <w:nsid w:val="3E6400E6"/>
    <w:multiLevelType w:val="hybridMultilevel"/>
    <w:lvl w:ilvl="0">
      <w:lvlJc w:val="left"/>
      <w:lvlText w:val="(%1)"/>
      <w:numFmt w:val="lowerLetter"/>
      <w:start w:val="3"/>
    </w:lvl>
  </w:abstractNum>
  <w:abstractNum w:abstractNumId="72">
    <w:nsid w:val="14217E23"/>
    <w:multiLevelType w:val="hybridMultilevel"/>
    <w:lvl w:ilvl="0">
      <w:lvlJc w:val="left"/>
      <w:lvlText w:val="(%1)"/>
      <w:numFmt w:val="lowerLetter"/>
      <w:start w:val="1"/>
    </w:lvl>
  </w:abstractNum>
  <w:abstractNum w:abstractNumId="73">
    <w:nsid w:val="710757D0"/>
    <w:multiLevelType w:val="hybridMultilevel"/>
    <w:lvl w:ilvl="0">
      <w:lvlJc w:val="left"/>
      <w:lvlText w:val="(%1)"/>
      <w:numFmt w:val="lowerLetter"/>
      <w:start w:val="1"/>
    </w:lvl>
  </w:abstractNum>
  <w:abstractNum w:abstractNumId="74">
    <w:nsid w:val="5015CD1A"/>
    <w:multiLevelType w:val="hybridMultilevel"/>
    <w:lvl w:ilvl="0">
      <w:lvlJc w:val="left"/>
      <w:lvlText w:val="(%1)"/>
      <w:numFmt w:val="lowerLetter"/>
      <w:start w:val="2"/>
    </w:lvl>
  </w:abstractNum>
  <w:abstractNum w:abstractNumId="75">
    <w:nsid w:val="424479DA"/>
    <w:multiLevelType w:val="hybridMultilevel"/>
    <w:lvl w:ilvl="0">
      <w:lvlJc w:val="left"/>
      <w:lvlText w:val="(%1)"/>
      <w:numFmt w:val="lowerLetter"/>
      <w:start w:val="1"/>
    </w:lvl>
  </w:abstractNum>
  <w:abstractNum w:abstractNumId="76">
    <w:nsid w:val="1A9A9E69"/>
    <w:multiLevelType w:val="hybridMultilevel"/>
    <w:lvl w:ilvl="0">
      <w:lvlJc w:val="left"/>
      <w:lvlText w:val="(%1)"/>
      <w:numFmt w:val="lowerLetter"/>
      <w:start w:val="2"/>
    </w:lvl>
  </w:abstractNum>
  <w:abstractNum w:abstractNumId="77">
    <w:nsid w:val="475E256A"/>
    <w:multiLevelType w:val="hybridMultilevel"/>
    <w:lvl w:ilvl="0">
      <w:lvlJc w:val="left"/>
      <w:lvlText w:val="(%1)"/>
      <w:numFmt w:val="lowerLetter"/>
      <w:start w:val="1"/>
    </w:lvl>
    <w:lvl w:ilvl="1">
      <w:lvlJc w:val="left"/>
      <w:lvlText w:val="(%2)"/>
      <w:numFmt w:val="lowerRoman"/>
      <w:start w:val="1"/>
    </w:lvl>
  </w:abstractNum>
  <w:abstractNum w:abstractNumId="78">
    <w:nsid w:val="368DB37E"/>
    <w:multiLevelType w:val="hybridMultilevel"/>
    <w:lvl w:ilvl="0">
      <w:lvlJc w:val="left"/>
      <w:lvlText w:val="%1"/>
      <w:numFmt w:val="lowerLetter"/>
      <w:start w:val="1"/>
    </w:lvl>
    <w:lvl w:ilvl="1">
      <w:lvlJc w:val="left"/>
      <w:lvlText w:val="(%2)"/>
      <w:numFmt w:val="lowerRoman"/>
      <w:start w:val="10"/>
    </w:lvl>
  </w:abstractNum>
  <w:abstractNum w:abstractNumId="79">
    <w:nsid w:val="6A3B714C"/>
    <w:multiLevelType w:val="hybridMultilevel"/>
    <w:lvl w:ilvl="0">
      <w:lvlJc w:val="left"/>
      <w:lvlText w:val="(%1)"/>
      <w:numFmt w:val="lowerLetter"/>
      <w:start w:val="2"/>
    </w:lvl>
    <w:lvl w:ilvl="1">
      <w:lvlJc w:val="left"/>
      <w:lvlText w:val="(%2)"/>
      <w:numFmt w:val="lowerRoman"/>
      <w:start w:val="1"/>
    </w:lvl>
  </w:abstractNum>
  <w:abstractNum w:abstractNumId="80">
    <w:nsid w:val="327B517E"/>
    <w:multiLevelType w:val="hybridMultilevel"/>
    <w:lvl w:ilvl="0">
      <w:lvlJc w:val="left"/>
      <w:lvlText w:val="(%1)"/>
      <w:numFmt w:val="lowerRoman"/>
      <w:start w:val="2"/>
    </w:lvl>
  </w:abstractNum>
  <w:abstractNum w:abstractNumId="81">
    <w:nsid w:val="1F461B51"/>
    <w:multiLevelType w:val="hybridMultilevel"/>
    <w:lvl w:ilvl="0">
      <w:lvlJc w:val="left"/>
      <w:lvlText w:val="(%1)"/>
      <w:numFmt w:val="lowerLetter"/>
      <w:start w:val="3"/>
    </w:lvl>
  </w:abstractNum>
  <w:abstractNum w:abstractNumId="82">
    <w:nsid w:val="29BACF25"/>
    <w:multiLevelType w:val="hybridMultilevel"/>
    <w:lvl w:ilvl="0">
      <w:lvlJc w:val="left"/>
      <w:lvlText w:val="(%1)"/>
      <w:numFmt w:val="lowerLetter"/>
      <w:start w:val="6"/>
    </w:lvl>
  </w:abstractNum>
  <w:abstractNum w:abstractNumId="83">
    <w:nsid w:val="5D5BABB3"/>
    <w:multiLevelType w:val="hybridMultilevel"/>
    <w:lvl w:ilvl="0">
      <w:lvlJc w:val="left"/>
      <w:lvlText w:val="(%1)"/>
      <w:numFmt w:val="upperLetter"/>
      <w:start w:val="1"/>
    </w:lvl>
  </w:abstractNum>
  <w:abstractNum w:abstractNumId="84">
    <w:nsid w:val="51BF6B48"/>
    <w:multiLevelType w:val="hybridMultilevel"/>
    <w:lvl w:ilvl="0">
      <w:lvlJc w:val="left"/>
      <w:lvlText w:val="(%1)"/>
      <w:numFmt w:val="lowerRoman"/>
      <w:start w:val="2"/>
    </w:lvl>
  </w:abstractNum>
  <w:abstractNum w:abstractNumId="85">
    <w:nsid w:val="7E0F6384"/>
    <w:multiLevelType w:val="hybridMultilevel"/>
    <w:lvl w:ilvl="0">
      <w:lvlJc w:val="left"/>
      <w:lvlText w:val="(%1)"/>
      <w:numFmt w:val="lowerRoman"/>
      <w:start w:val="13"/>
    </w:lvl>
  </w:abstractNum>
  <w:abstractNum w:abstractNumId="86">
    <w:nsid w:val="2B4B8B53"/>
    <w:multiLevelType w:val="hybridMultilevel"/>
    <w:lvl w:ilvl="0">
      <w:lvlJc w:val="left"/>
      <w:lvlText w:val="(%1)"/>
      <w:numFmt w:val="lowerRoman"/>
      <w:start w:val="11"/>
    </w:lvl>
  </w:abstractNum>
  <w:abstractNum w:abstractNumId="87">
    <w:nsid w:val="72E3413A"/>
    <w:multiLevelType w:val="hybridMultilevel"/>
    <w:lvl w:ilvl="0">
      <w:lvlJc w:val="left"/>
      <w:lvlText w:val="(%1)"/>
      <w:numFmt w:val="lowerLetter"/>
      <w:start w:val="1"/>
    </w:lvl>
  </w:abstractNum>
  <w:abstractNum w:abstractNumId="88">
    <w:nsid w:val="116AE494"/>
    <w:multiLevelType w:val="hybridMultilevel"/>
    <w:lvl w:ilvl="0">
      <w:lvlJc w:val="left"/>
      <w:lvlText w:val="(%1)"/>
      <w:numFmt w:val="lowerLetter"/>
      <w:start w:val="2"/>
    </w:lvl>
  </w:abstractNum>
  <w:abstractNum w:abstractNumId="89">
    <w:nsid w:val="3494B2FB"/>
    <w:multiLevelType w:val="hybridMultilevel"/>
    <w:lvl w:ilvl="0">
      <w:lvlJc w:val="left"/>
      <w:lvlText w:val="(%1)"/>
      <w:numFmt w:val="lowerRoman"/>
      <w:start w:val="1"/>
    </w:lvl>
  </w:abstractNum>
  <w:abstractNum w:abstractNumId="90">
    <w:nsid w:val="B13A31"/>
    <w:multiLevelType w:val="hybridMultilevel"/>
    <w:lvl w:ilvl="0">
      <w:lvlJc w:val="left"/>
      <w:lvlText w:val="(%1)"/>
      <w:numFmt w:val="lowerRoman"/>
      <w:start w:val="5"/>
    </w:lvl>
  </w:abstractNum>
  <w:abstractNum w:abstractNumId="91">
    <w:nsid w:val="64429599"/>
    <w:multiLevelType w:val="hybridMultilevel"/>
    <w:lvl w:ilvl="0">
      <w:lvlJc w:val="left"/>
      <w:lvlText w:val="(%1)"/>
      <w:numFmt w:val="lowerRoman"/>
      <w:start w:val="6"/>
    </w:lvl>
  </w:abstractNum>
  <w:abstractNum w:abstractNumId="92">
    <w:nsid w:val="631F1690"/>
    <w:multiLevelType w:val="hybridMultilevel"/>
    <w:lvl w:ilvl="0">
      <w:lvlJc w:val="left"/>
      <w:lvlText w:val="(%1)"/>
      <w:numFmt w:val="lowerLetter"/>
      <w:start w:val="1"/>
    </w:lvl>
  </w:abstractNum>
  <w:abstractNum w:abstractNumId="93">
    <w:nsid w:val="25973E32"/>
    <w:multiLevelType w:val="hybridMultilevel"/>
    <w:lvl w:ilvl="0">
      <w:lvlJc w:val="left"/>
      <w:lvlText w:val="(%1)"/>
      <w:numFmt w:val="lowerLetter"/>
      <w:start w:val="1"/>
    </w:lvl>
  </w:abstractNum>
  <w:abstractNum w:abstractNumId="94">
    <w:nsid w:val="EAD6F57"/>
    <w:multiLevelType w:val="hybridMultilevel"/>
    <w:lvl w:ilvl="0">
      <w:lvlJc w:val="left"/>
      <w:lvlText w:val="(%1)"/>
      <w:numFmt w:val="lowerLetter"/>
      <w:start w:val="9"/>
    </w:lvl>
  </w:abstractNum>
  <w:abstractNum w:abstractNumId="95">
    <w:nsid w:val="6EC9D844"/>
    <w:multiLevelType w:val="hybridMultilevel"/>
    <w:lvl w:ilvl="0">
      <w:lvlJc w:val="left"/>
      <w:lvlText w:val="(%1)"/>
      <w:numFmt w:val="lowerLetter"/>
      <w:start w:val="2"/>
    </w:lvl>
  </w:abstractNum>
  <w:abstractNum w:abstractNumId="96">
    <w:nsid w:val="5C49EAEE"/>
    <w:multiLevelType w:val="hybridMultilevel"/>
    <w:lvl w:ilvl="0">
      <w:lvlJc w:val="left"/>
      <w:lvlText w:val="(%1)"/>
      <w:numFmt w:val="lowerRoman"/>
      <w:start w:val="1"/>
    </w:lvl>
  </w:abstractNum>
  <w:abstractNum w:abstractNumId="97">
    <w:nsid w:val="64AF49B"/>
    <w:multiLevelType w:val="hybridMultilevel"/>
    <w:lvl w:ilvl="0">
      <w:lvlJc w:val="left"/>
      <w:lvlText w:val="(%1)"/>
      <w:numFmt w:val="lowerRoman"/>
      <w:start w:val="2"/>
    </w:lvl>
  </w:abstractNum>
  <w:abstractNum w:abstractNumId="98">
    <w:nsid w:val="397C46BC"/>
    <w:multiLevelType w:val="hybridMultilevel"/>
    <w:lvl w:ilvl="0">
      <w:lvlJc w:val="left"/>
      <w:lvlText w:val="(%1)"/>
      <w:numFmt w:val="lowerLetter"/>
      <w:start w:val="1"/>
    </w:lvl>
  </w:abstractNum>
  <w:abstractNum w:abstractNumId="99">
    <w:nsid w:val="7E448DE9"/>
    <w:multiLevelType w:val="hybridMultilevel"/>
    <w:lvl w:ilvl="0">
      <w:lvlJc w:val="left"/>
      <w:lvlText w:val="(%1)"/>
      <w:numFmt w:val="lowerLetter"/>
      <w:start w:val="2"/>
    </w:lvl>
  </w:abstractNum>
  <w:abstractNum w:abstractNumId="100">
    <w:nsid w:val="5A9CC3E5"/>
    <w:multiLevelType w:val="hybridMultilevel"/>
    <w:lvl w:ilvl="0">
      <w:lvlJc w:val="left"/>
      <w:lvlText w:val="(%1)"/>
      <w:numFmt w:val="lowerRoman"/>
      <w:start w:val="1"/>
    </w:lvl>
  </w:abstractNum>
  <w:abstractNum w:abstractNumId="101">
    <w:nsid w:val="1AFE3625"/>
    <w:multiLevelType w:val="hybridMultilevel"/>
    <w:lvl w:ilvl="0">
      <w:lvlJc w:val="left"/>
      <w:lvlText w:val="%1."/>
      <w:numFmt w:val="decimal"/>
      <w:start w:val="1"/>
    </w:lvl>
    <w:lvl w:ilvl="1">
      <w:lvlJc w:val="left"/>
      <w:lvlText w:val="%2."/>
      <w:numFmt w:val="lowerLetter"/>
      <w:start w:val="1"/>
    </w:lvl>
  </w:abstractNum>
  <w:abstractNum w:abstractNumId="102">
    <w:nsid w:val="3CA88ECF"/>
    <w:multiLevelType w:val="hybridMultilevel"/>
    <w:lvl w:ilvl="0">
      <w:lvlJc w:val="left"/>
      <w:lvlText w:val="%1."/>
      <w:numFmt w:val="decimal"/>
      <w:start w:val="1"/>
    </w:lvl>
  </w:abstractNum>
  <w:abstractNum w:abstractNumId="103">
    <w:nsid w:val="6EBE4208"/>
    <w:multiLevelType w:val="hybridMultilevel"/>
    <w:lvl w:ilvl="0">
      <w:lvlJc w:val="left"/>
      <w:lvlText w:val="%1."/>
      <w:numFmt w:val="decimal"/>
      <w:start w:val="1"/>
    </w:lvl>
  </w:abstractNum>
  <w:abstractNum w:abstractNumId="104">
    <w:nsid w:val="C058DF5"/>
    <w:multiLevelType w:val="hybridMultilevel"/>
    <w:lvl w:ilvl="0">
      <w:lvlJc w:val="left"/>
      <w:lvlText w:val="(%1)"/>
      <w:numFmt w:val="upperLetter"/>
      <w:start w:val="1"/>
    </w:lvl>
  </w:abstractNum>
  <w:abstractNum w:abstractNumId="105">
    <w:nsid w:val="CBE5BE9"/>
    <w:multiLevelType w:val="hybridMultilevel"/>
    <w:lvl w:ilvl="0">
      <w:lvlJc w:val="left"/>
      <w:lvlText w:val="(%1)"/>
      <w:numFmt w:val="upperLetter"/>
      <w:start w:val="6"/>
    </w:lvl>
  </w:abstractNum>
  <w:abstractNum w:abstractNumId="106">
    <w:nsid w:val="3102BBE2"/>
    <w:multiLevelType w:val="hybridMultilevel"/>
    <w:lvl w:ilvl="0">
      <w:lvlJc w:val="left"/>
      <w:lvlText w:val="(%1)"/>
      <w:numFmt w:val="lowerLetter"/>
      <w:start w:val="1"/>
    </w:lvl>
  </w:abstractNum>
  <w:abstractNum w:abstractNumId="107">
    <w:nsid w:val="26A02C5E"/>
    <w:multiLevelType w:val="hybridMultilevel"/>
    <w:lvl w:ilvl="0">
      <w:lvlJc w:val="left"/>
      <w:lvlText w:val="%1"/>
      <w:numFmt w:val="lowerLetter"/>
      <w:start w:val="1"/>
    </w:lvl>
    <w:lvl w:ilvl="1">
      <w:lvlJc w:val="left"/>
      <w:lvlText w:val="(%2)"/>
      <w:numFmt w:val="lowerLetter"/>
      <w:start w:val="2"/>
    </w:lvl>
  </w:abstractNum>
  <w:abstractNum w:abstractNumId="108">
    <w:nsid w:val="541C8153"/>
    <w:multiLevelType w:val="hybridMultilevel"/>
    <w:lvl w:ilvl="0">
      <w:lvlJc w:val="left"/>
      <w:lvlText w:val="(%1)"/>
      <w:numFmt w:val="lowerLetter"/>
      <w:start w:val="61"/>
    </w:lvl>
    <w:lvl w:ilvl="1">
      <w:lvlJc w:val="left"/>
      <w:lvlText w:val="(%2)"/>
      <w:numFmt w:val="lowerLetter"/>
      <w:start w:val="3"/>
    </w:lvl>
  </w:abstractNum>
  <w:abstractNum w:abstractNumId="109">
    <w:nsid w:val="67906F60"/>
    <w:multiLevelType w:val="hybridMultilevel"/>
    <w:lvl w:ilvl="0">
      <w:lvlJc w:val="left"/>
      <w:lvlText w:val="(%1)"/>
      <w:numFmt w:val="lowerLetter"/>
      <w:start w:val="35"/>
    </w:lvl>
    <w:lvl w:ilvl="1">
      <w:lvlJc w:val="left"/>
      <w:lvlText w:val="(%2)"/>
      <w:numFmt w:val="lowerLetter"/>
      <w:start w:val="4"/>
    </w:lvl>
  </w:abstractNum>
  <w:abstractNum w:abstractNumId="110">
    <w:nsid w:val="10DB9DAA"/>
    <w:multiLevelType w:val="hybridMultilevel"/>
    <w:lvl w:ilvl="0">
      <w:lvlJc w:val="left"/>
      <w:lvlText w:val="(%1)"/>
      <w:numFmt w:val="lowerRoman"/>
      <w:start w:val="2"/>
    </w:lvl>
  </w:abstractNum>
  <w:abstractNum w:abstractNumId="111">
    <w:nsid w:val="697D2D2"/>
    <w:multiLevelType w:val="hybridMultilevel"/>
    <w:lvl w:ilvl="0">
      <w:lvlJc w:val="left"/>
      <w:lvlText w:val="(%1)"/>
      <w:numFmt w:val="lowerLetter"/>
      <w:start w:val="5"/>
    </w:lvl>
  </w:abstractNum>
  <w:abstractNum w:abstractNumId="112">
    <w:nsid w:val="6D68AB2"/>
    <w:multiLevelType w:val="hybridMultilevel"/>
    <w:lvl w:ilvl="0">
      <w:lvlJc w:val="left"/>
      <w:lvlText w:val="(%1)"/>
      <w:numFmt w:val="lowerRoman"/>
      <w:start w:val="2"/>
    </w:lvl>
  </w:abstractNum>
  <w:abstractNum w:abstractNumId="113">
    <w:nsid w:val="3A966CD0"/>
    <w:multiLevelType w:val="hybridMultilevel"/>
    <w:lvl w:ilvl="0">
      <w:lvlJc w:val="left"/>
      <w:lvlText w:val="(%1)"/>
      <w:numFmt w:val="lowerLetter"/>
      <w:start w:val="6"/>
    </w:lvl>
  </w:abstractNum>
  <w:abstractNum w:abstractNumId="114">
    <w:nsid w:val="63F37E85"/>
    <w:multiLevelType w:val="hybridMultilevel"/>
    <w:lvl w:ilvl="0">
      <w:lvlJc w:val="left"/>
      <w:lvlText w:val="(%1)"/>
      <w:numFmt w:val="lowerRoman"/>
      <w:start w:val="2"/>
    </w:lvl>
  </w:abstractNum>
  <w:abstractNum w:abstractNumId="115">
    <w:nsid w:val="5895F5FA"/>
    <w:multiLevelType w:val="hybridMultilevel"/>
    <w:lvl w:ilvl="0">
      <w:lvlJc w:val="left"/>
      <w:lvlText w:val="(%1)"/>
      <w:numFmt w:val="lowerLetter"/>
      <w:start w:val="7"/>
    </w:lvl>
  </w:abstractNum>
  <w:abstractNum w:abstractNumId="116">
    <w:nsid w:val="38A5D054"/>
    <w:multiLevelType w:val="hybridMultilevel"/>
    <w:lvl w:ilvl="0">
      <w:lvlJc w:val="left"/>
      <w:lvlText w:val="(%1)"/>
      <w:numFmt w:val="lowerLetter"/>
      <w:start w:val="11"/>
    </w:lvl>
  </w:abstractNum>
  <w:abstractNum w:abstractNumId="117">
    <w:nsid w:val="F3F09D8"/>
    <w:multiLevelType w:val="hybridMultilevel"/>
    <w:lvl w:ilvl="0">
      <w:lvlJc w:val="left"/>
      <w:lvlText w:val="(%1)"/>
      <w:numFmt w:val="lowerLetter"/>
      <w:start w:val="15"/>
    </w:lvl>
    <w:lvl w:ilvl="1">
      <w:lvlJc w:val="left"/>
      <w:lvlText w:val="(%2)"/>
      <w:numFmt w:val="lowerRoman"/>
      <w:start w:val="1"/>
    </w:lvl>
  </w:abstractNum>
  <w:abstractNum w:abstractNumId="118">
    <w:nsid w:val="4B793735"/>
    <w:multiLevelType w:val="hybridMultilevel"/>
    <w:lvl w:ilvl="0">
      <w:lvlJc w:val="left"/>
      <w:lvlText w:val="(%1)"/>
      <w:numFmt w:val="lowerLetter"/>
      <w:start w:val="23"/>
    </w:lvl>
  </w:abstractNum>
  <w:abstractNum w:abstractNumId="119">
    <w:nsid w:val="4A10B4E8"/>
    <w:multiLevelType w:val="hybridMultilevel"/>
    <w:lvl w:ilvl="0">
      <w:lvlJc w:val="left"/>
      <w:lvlText w:val="(%1)"/>
      <w:numFmt w:val="lowerRoman"/>
      <w:start w:val="1"/>
    </w:lvl>
  </w:abstractNum>
  <w:abstractNum w:abstractNumId="120">
    <w:nsid w:val="43D3BCD4"/>
    <w:multiLevelType w:val="hybridMultilevel"/>
    <w:lvl w:ilvl="0">
      <w:lvlJc w:val="left"/>
      <w:lvlText w:val="(%1)"/>
      <w:numFmt w:val="lowerRoman"/>
      <w:start w:val="2"/>
    </w:lvl>
  </w:abstractNum>
  <w:abstractNum w:abstractNumId="121">
    <w:nsid w:val="4C2A7166"/>
    <w:multiLevelType w:val="hybridMultilevel"/>
    <w:lvl w:ilvl="0">
      <w:lvlJc w:val="left"/>
      <w:lvlText w:val="(%1)"/>
      <w:numFmt w:val="lowerRoman"/>
      <w:start w:val="6"/>
    </w:lvl>
  </w:abstractNum>
  <w:abstractNum w:abstractNumId="122">
    <w:nsid w:val="2E534A82"/>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123">
    <w:nsid w:val="26F2D364"/>
    <w:multiLevelType w:val="hybridMultilevel"/>
    <w:lvl w:ilvl="0">
      <w:lvlJc w:val="left"/>
      <w:lvlText w:val="(%1)"/>
      <w:numFmt w:val="lowerLetter"/>
      <w:start w:val="3"/>
    </w:lvl>
  </w:abstractNum>
  <w:abstractNum w:abstractNumId="124">
    <w:nsid w:val="71C1AF98"/>
    <w:multiLevelType w:val="hybridMultilevel"/>
    <w:lvl w:ilvl="0">
      <w:lvlJc w:val="left"/>
      <w:lvlText w:val="%1"/>
      <w:numFmt w:val="lowerLetter"/>
      <w:start w:val="1"/>
    </w:lvl>
    <w:lvl w:ilvl="1">
      <w:lvlJc w:val="left"/>
      <w:lvlText w:val="(%2)"/>
      <w:numFmt w:val="lowerLetter"/>
      <w:start w:val="7"/>
    </w:lvl>
  </w:abstractNum>
  <w:abstractNum w:abstractNumId="125">
    <w:nsid w:val="3D00B9D9"/>
    <w:multiLevelType w:val="hybridMultilevel"/>
    <w:lvl w:ilvl="0">
      <w:lvlJc w:val="left"/>
      <w:lvlText w:val="(%1)"/>
      <w:numFmt w:val="lowerLetter"/>
      <w:start w:val="9"/>
    </w:lvl>
    <w:lvl w:ilvl="1">
      <w:lvlJc w:val="left"/>
      <w:lvlText w:val="(%2)"/>
      <w:numFmt w:val="lowerLetter"/>
      <w:start w:val="8"/>
    </w:lvl>
  </w:abstractNum>
  <w:abstractNum w:abstractNumId="126">
    <w:nsid w:val="15BCABA8"/>
    <w:multiLevelType w:val="hybridMultilevel"/>
    <w:lvl w:ilvl="0">
      <w:lvlJc w:val="left"/>
      <w:lvlText w:val="(%1)"/>
      <w:numFmt w:val="lowerRoman"/>
      <w:start w:val="1"/>
    </w:lvl>
  </w:abstractNum>
  <w:abstractNum w:abstractNumId="127">
    <w:nsid w:val="4E0B9A87"/>
    <w:multiLevelType w:val="hybridMultilevel"/>
    <w:lvl w:ilvl="0">
      <w:lvlJc w:val="left"/>
      <w:lvlText w:val="(%1)"/>
      <w:numFmt w:val="lowerLetter"/>
      <w:start w:val="1"/>
    </w:lvl>
    <w:lvl w:ilvl="1">
      <w:lvlJc w:val="left"/>
      <w:lvlText w:val="(%2)"/>
      <w:numFmt w:val="lowerRoman"/>
      <w:start w:val="1"/>
    </w:lvl>
  </w:abstractNum>
  <w:abstractNum w:abstractNumId="128">
    <w:nsid w:val="434BAE75"/>
    <w:multiLevelType w:val="hybridMultilevel"/>
    <w:lvl w:ilvl="0">
      <w:lvlJc w:val="left"/>
      <w:lvlText w:val="(%1)"/>
      <w:numFmt w:val="lowerRoman"/>
      <w:start w:val="6"/>
    </w:lvl>
  </w:abstractNum>
  <w:abstractNum w:abstractNumId="129">
    <w:nsid w:val="4F38F265"/>
    <w:multiLevelType w:val="hybridMultilevel"/>
    <w:lvl w:ilvl="0">
      <w:lvlJc w:val="left"/>
      <w:lvlText w:val="(%1)"/>
      <w:numFmt w:val="lowerRoman"/>
      <w:start w:val="15"/>
    </w:lvl>
  </w:abstractNum>
  <w:abstractNum w:abstractNumId="130">
    <w:nsid w:val="4C502870"/>
    <w:multiLevelType w:val="hybridMultilevel"/>
    <w:lvl w:ilvl="0">
      <w:lvlJc w:val="left"/>
      <w:lvlText w:val="%1"/>
      <w:numFmt w:val="lowerLetter"/>
      <w:start w:val="1"/>
    </w:lvl>
    <w:lvl w:ilvl="1">
      <w:lvlJc w:val="left"/>
      <w:lvlText w:val="(%2)"/>
      <w:numFmt w:val="lowerRoman"/>
      <w:start w:val="22"/>
    </w:lvl>
  </w:abstractNum>
  <w:abstractNum w:abstractNumId="131">
    <w:nsid w:val="1DE8725A"/>
    <w:multiLevelType w:val="hybridMultilevel"/>
    <w:lvl w:ilvl="0">
      <w:lvlJc w:val="left"/>
      <w:lvlText w:val="(%1)"/>
      <w:numFmt w:val="lowerLetter"/>
      <w:start w:val="2"/>
    </w:lvl>
    <w:lvl w:ilvl="1">
      <w:lvlJc w:val="left"/>
      <w:lvlText w:val="(%2)"/>
      <w:numFmt w:val="lowerRoman"/>
      <w:start w:val="1"/>
    </w:lvl>
  </w:abstractNum>
  <w:abstractNum w:abstractNumId="132">
    <w:nsid w:val="6A37288A"/>
    <w:multiLevelType w:val="hybridMultilevel"/>
    <w:lvl w:ilvl="0">
      <w:lvlJc w:val="left"/>
      <w:lvlText w:val="(%1)"/>
      <w:numFmt w:val="lowerRoman"/>
      <w:start w:val="4"/>
    </w:lvl>
  </w:abstractNum>
  <w:abstractNum w:abstractNumId="133">
    <w:nsid w:val="8F8B73F"/>
    <w:multiLevelType w:val="hybridMultilevel"/>
    <w:lvl w:ilvl="0">
      <w:lvlJc w:val="left"/>
      <w:lvlText w:val="(%1)"/>
      <w:numFmt w:val="lowerRoman"/>
      <w:start w:val="7"/>
    </w:lvl>
  </w:abstractNum>
  <w:abstractNum w:abstractNumId="134">
    <w:nsid w:val="CA6B462"/>
    <w:multiLevelType w:val="hybridMultilevel"/>
    <w:lvl w:ilvl="0">
      <w:lvlJc w:val="left"/>
      <w:lvlText w:val="(%1)"/>
      <w:numFmt w:val="upperLetter"/>
      <w:start w:val="2"/>
    </w:lvl>
    <w:lvl w:ilvl="1">
      <w:lvlJc w:val="left"/>
      <w:lvlText w:val="(%2)"/>
      <w:numFmt w:val="lowerRoman"/>
      <w:start w:val="17"/>
    </w:lvl>
  </w:abstractNum>
  <w:abstractNum w:abstractNumId="135">
    <w:nsid w:val="763CB68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3"/>
    </w:lvl>
    <w:lvl w:ilvl="3">
      <w:lvlJc w:val="left"/>
      <w:lvlText w:val="%4"/>
      <w:numFmt w:val="upperLetter"/>
      <w:start w:val="1"/>
    </w:lvl>
  </w:abstractNum>
  <w:abstractNum w:abstractNumId="136">
    <w:nsid w:val="15B71329"/>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37">
    <w:nsid w:val="3DA9704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2"/>
    </w:lvl>
  </w:abstractNum>
  <w:abstractNum w:abstractNumId="138">
    <w:nsid w:val="1CDCE2DE"/>
    <w:multiLevelType w:val="hybridMultilevel"/>
    <w:lvl w:ilvl="0">
      <w:lvlJc w:val="left"/>
      <w:lvlText w:val="%1"/>
      <w:numFmt w:val="upperLetter"/>
      <w:start w:val="1"/>
    </w:lvl>
    <w:lvl w:ilvl="1">
      <w:lvlJc w:val="left"/>
      <w:lvlText w:val="(%2)"/>
      <w:numFmt w:val="upperLetter"/>
      <w:start w:val="3"/>
    </w:lvl>
  </w:abstractNum>
  <w:abstractNum w:abstractNumId="139">
    <w:nsid w:val="69D3947C"/>
    <w:multiLevelType w:val="hybridMultilevel"/>
    <w:lvl w:ilvl="0">
      <w:lvlJc w:val="left"/>
      <w:lvlText w:val="(%1)"/>
      <w:numFmt w:val="upperLetter"/>
      <w:start w:val="1"/>
    </w:lvl>
    <w:lvl w:ilvl="1">
      <w:lvlJc w:val="left"/>
      <w:lvlText w:val="(%2)"/>
      <w:numFmt w:val="upperLetter"/>
      <w:start w:val="10"/>
    </w:lvl>
  </w:abstractNum>
  <w:abstractNum w:abstractNumId="140">
    <w:nsid w:val="2539DFA5"/>
    <w:multiLevelType w:val="hybridMultilevel"/>
    <w:lvl w:ilvl="0">
      <w:lvlJc w:val="left"/>
      <w:lvlText w:val="%1"/>
      <w:numFmt w:val="lowerLetter"/>
      <w:start w:val="1"/>
    </w:lvl>
    <w:lvl w:ilvl="1">
      <w:lvlJc w:val="left"/>
      <w:lvlText w:val="(%2)"/>
      <w:numFmt w:val="lowerLetter"/>
      <w:start w:val="24"/>
    </w:lvl>
    <w:lvl w:ilvl="2">
      <w:lvlJc w:val="left"/>
      <w:lvlText w:val="(%3)"/>
      <w:numFmt w:val="lowerLetter"/>
      <w:start w:val="35"/>
    </w:lvl>
  </w:abstractNum>
  <w:abstractNum w:abstractNumId="141">
    <w:nsid w:val="2DB88089"/>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142">
    <w:nsid w:val="706B674E"/>
    <w:multiLevelType w:val="hybridMultilevel"/>
    <w:lvl w:ilvl="0">
      <w:lvlJc w:val="left"/>
      <w:lvlText w:val="(%1)"/>
      <w:numFmt w:val="lowerLetter"/>
      <w:start w:val="5"/>
    </w:lvl>
  </w:abstractNum>
  <w:abstractNum w:abstractNumId="143">
    <w:nsid w:val="2C106A57"/>
    <w:multiLevelType w:val="hybridMultilevel"/>
    <w:lvl w:ilvl="0">
      <w:lvlJc w:val="left"/>
      <w:lvlText w:val="(%1)"/>
      <w:numFmt w:val="lowerLetter"/>
      <w:start w:val="6"/>
    </w:lvl>
    <w:lvl w:ilvl="1">
      <w:lvlJc w:val="left"/>
      <w:lvlText w:val="(%2)"/>
      <w:numFmt w:val="lowerLetter"/>
      <w:start w:val="7"/>
    </w:lvl>
  </w:abstractNum>
  <w:abstractNum w:abstractNumId="144">
    <w:nsid w:val="684EED59"/>
    <w:multiLevelType w:val="hybridMultilevel"/>
    <w:lvl w:ilvl="0">
      <w:lvlJc w:val="left"/>
      <w:lvlText w:val="(%1)"/>
      <w:numFmt w:val="lowerLetter"/>
      <w:start w:val="1"/>
    </w:lvl>
  </w:abstractNum>
  <w:abstractNum w:abstractNumId="145">
    <w:nsid w:val="545EE5D3"/>
    <w:multiLevelType w:val="hybridMultilevel"/>
    <w:lvl w:ilvl="0">
      <w:lvlJc w:val="left"/>
      <w:lvlText w:val="(%1)"/>
      <w:numFmt w:val="lowerLetter"/>
      <w:start w:val="1"/>
    </w:lvl>
  </w:abstractNum>
  <w:abstractNum w:abstractNumId="146">
    <w:nsid w:val="4A66051"/>
    <w:multiLevelType w:val="hybridMultilevel"/>
    <w:lvl w:ilvl="0">
      <w:lvlJc w:val="left"/>
      <w:lvlText w:val="(%1)"/>
      <w:numFmt w:val="lowerLetter"/>
      <w:start w:val="1"/>
    </w:lvl>
  </w:abstractNum>
  <w:abstractNum w:abstractNumId="147">
    <w:nsid w:val="20F4BDAD"/>
    <w:multiLevelType w:val="hybridMultilevel"/>
    <w:lvl w:ilvl="0">
      <w:lvlJc w:val="left"/>
      <w:lvlText w:val="(%1)"/>
      <w:numFmt w:val="lowerRoman"/>
      <w:start w:val="1"/>
    </w:lvl>
  </w:abstractNum>
  <w:abstractNum w:abstractNumId="148">
    <w:nsid w:val="639DEFAC"/>
    <w:multiLevelType w:val="hybridMultilevel"/>
    <w:lvl w:ilvl="0">
      <w:lvlJc w:val="left"/>
      <w:lvlText w:val="(%1)"/>
      <w:numFmt w:val="lowerRoman"/>
      <w:start w:val="2"/>
    </w:lvl>
  </w:abstractNum>
  <w:abstractNum w:abstractNumId="149">
    <w:nsid w:val="501F978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150">
    <w:nsid w:val="6B057295"/>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151">
    <w:nsid w:val="2771AC80"/>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52">
    <w:nsid w:val="1C4A08EC"/>
    <w:multiLevelType w:val="hybridMultilevel"/>
    <w:lvl w:ilvl="0">
      <w:lvlJc w:val="left"/>
      <w:lvlText w:val="(%1)"/>
      <w:numFmt w:val="lowerLetter"/>
      <w:start w:val="1"/>
    </w:lvl>
  </w:abstractNum>
  <w:abstractNum w:abstractNumId="153">
    <w:nsid w:val="1958BD17"/>
    <w:multiLevelType w:val="hybridMultilevel"/>
    <w:lvl w:ilvl="0">
      <w:lvlJc w:val="left"/>
      <w:lvlText w:val="(%1)"/>
      <w:numFmt w:val="lowerLetter"/>
      <w:start w:val="2"/>
    </w:lvl>
  </w:abstractNum>
  <w:abstractNum w:abstractNumId="154">
    <w:nsid w:val="4E647FE4"/>
    <w:multiLevelType w:val="hybridMultilevel"/>
    <w:lvl w:ilvl="0">
      <w:lvlJc w:val="left"/>
      <w:lvlText w:val="(%1)"/>
      <w:numFmt w:val="lowerLetter"/>
      <w:start w:val="4"/>
    </w:lvl>
  </w:abstractNum>
  <w:abstractNum w:abstractNumId="155">
    <w:nsid w:val="E0BB885"/>
    <w:multiLevelType w:val="hybridMultilevel"/>
    <w:lvl w:ilvl="0">
      <w:lvlJc w:val="left"/>
      <w:lvlText w:val="%1"/>
      <w:numFmt w:val="lowerLetter"/>
      <w:start w:val="1"/>
    </w:lvl>
    <w:lvl w:ilvl="1">
      <w:lvlJc w:val="left"/>
      <w:lvlText w:val="(%2)"/>
      <w:numFmt w:val="lowerLetter"/>
      <w:start w:val="7"/>
    </w:lvl>
  </w:abstractNum>
  <w:abstractNum w:abstractNumId="156">
    <w:nsid w:val="565976F1"/>
    <w:multiLevelType w:val="hybridMultilevel"/>
    <w:lvl w:ilvl="0">
      <w:lvlJc w:val="left"/>
      <w:lvlText w:val="(%1)"/>
      <w:numFmt w:val="lowerLetter"/>
      <w:start w:val="9"/>
    </w:lvl>
    <w:lvl w:ilvl="1">
      <w:lvlJc w:val="left"/>
      <w:lvlText w:val="%2"/>
      <w:numFmt w:val="lowerLetter"/>
      <w:start w:val="1"/>
    </w:lvl>
  </w:abstractNum>
  <w:abstractNum w:abstractNumId="157">
    <w:nsid w:val="64212B8C"/>
    <w:multiLevelType w:val="hybridMultilevel"/>
    <w:lvl w:ilvl="0">
      <w:lvlJc w:val="left"/>
      <w:lvlText w:val="%1."/>
      <w:numFmt w:val="decimal"/>
      <w:start w:val="1"/>
    </w:lvl>
  </w:abstractNum>
  <w:abstractNum w:abstractNumId="158">
    <w:nsid w:val="5C17530C"/>
    <w:multiLevelType w:val="hybridMultilevel"/>
    <w:lvl w:ilvl="0">
      <w:lvlJc w:val="left"/>
      <w:lvlText w:val="%1."/>
      <w:numFmt w:val="decimal"/>
      <w:start w:val="6"/>
    </w:lvl>
  </w:abstractNum>
  <w:abstractNum w:abstractNumId="159">
    <w:nsid w:val="19A52566"/>
    <w:multiLevelType w:val="hybridMultilevel"/>
    <w:lvl w:ilvl="0">
      <w:lvlJc w:val="left"/>
      <w:lvlText w:val="%1."/>
      <w:numFmt w:val="decimal"/>
      <w:start w:val="1"/>
    </w:lvl>
  </w:abstractNum>
  <w:abstractNum w:abstractNumId="160">
    <w:nsid w:val="335A1DF1"/>
    <w:multiLevelType w:val="hybridMultilevel"/>
    <w:lvl w:ilvl="0">
      <w:lvlJc w:val="left"/>
      <w:lvlText w:val="%1."/>
      <w:numFmt w:val="decimal"/>
      <w:start w:val="1"/>
    </w:lvl>
  </w:abstractNum>
  <w:abstractNum w:abstractNumId="161">
    <w:nsid w:val="28677B7C"/>
    <w:multiLevelType w:val="hybridMultilevel"/>
    <w:lvl w:ilvl="0">
      <w:lvlJc w:val="left"/>
      <w:lvlText w:val="(%1)"/>
      <w:numFmt w:val="lowerLetter"/>
      <w:start w:val="2"/>
    </w:lvl>
  </w:abstractNum>
  <w:abstractNum w:abstractNumId="162">
    <w:nsid w:val="378D97C0"/>
    <w:multiLevelType w:val="hybridMultilevel"/>
    <w:lvl w:ilvl="0">
      <w:lvlJc w:val="left"/>
      <w:lvlText w:val="(%1)"/>
      <w:numFmt w:val="lowerLetter"/>
      <w:start w:val="2"/>
    </w:lvl>
  </w:abstractNum>
  <w:abstractNum w:abstractNumId="163">
    <w:nsid w:val="1D91467C"/>
    <w:multiLevelType w:val="hybridMultilevel"/>
    <w:lvl w:ilvl="0">
      <w:lvlJc w:val="left"/>
      <w:lvlText w:val="(%1)"/>
      <w:numFmt w:val="lowerLetter"/>
      <w:start w:val="2"/>
    </w:lvl>
  </w:abstractNum>
  <w:abstractNum w:abstractNumId="164">
    <w:nsid w:val="316032BB"/>
    <w:multiLevelType w:val="hybridMultilevel"/>
    <w:lvl w:ilvl="0">
      <w:lvlJc w:val="left"/>
      <w:lvlText w:val="(%1)"/>
      <w:numFmt w:val="lowerLetter"/>
      <w:start w:val="1"/>
    </w:lvl>
  </w:abstractNum>
  <w:abstractNum w:abstractNumId="165">
    <w:nsid w:val="44344C22"/>
    <w:multiLevelType w:val="hybridMultilevel"/>
    <w:lvl w:ilvl="0">
      <w:lvlJc w:val="left"/>
      <w:lvlText w:val="(%1)"/>
      <w:numFmt w:val="lowerLetter"/>
      <w:start w:val="2"/>
    </w:lvl>
    <w:lvl w:ilvl="1">
      <w:lvlJc w:val="left"/>
      <w:lvlText w:val="(%2)"/>
      <w:numFmt w:val="lowerRoman"/>
      <w:start w:val="1"/>
    </w:lvl>
  </w:abstractNum>
  <w:abstractNum w:abstractNumId="166">
    <w:nsid w:val="13CDFCFC"/>
    <w:multiLevelType w:val="hybridMultilevel"/>
    <w:lvl w:ilvl="0">
      <w:lvlJc w:val="left"/>
      <w:lvlText w:val="(%1)"/>
      <w:numFmt w:val="lowerRoman"/>
      <w:start w:val="4"/>
    </w:lvl>
  </w:abstractNum>
  <w:abstractNum w:abstractNumId="167">
    <w:nsid w:val="471745E4"/>
    <w:multiLevelType w:val="hybridMultilevel"/>
    <w:lvl w:ilvl="0">
      <w:lvlJc w:val="left"/>
      <w:lvlText w:val="(%1)"/>
      <w:numFmt w:val="lowerRoman"/>
      <w:start w:val="1"/>
    </w:lvl>
  </w:abstractNum>
  <w:abstractNum w:abstractNumId="168">
    <w:nsid w:val="1DDBC66"/>
    <w:multiLevelType w:val="hybridMultilevel"/>
    <w:lvl w:ilvl="0">
      <w:lvlJc w:val="left"/>
      <w:lvlText w:val="(%1)"/>
      <w:numFmt w:val="lowerLetter"/>
      <w:start w:val="2"/>
    </w:lvl>
  </w:abstractNum>
  <w:abstractNum w:abstractNumId="169">
    <w:nsid w:val="30AADFDA"/>
    <w:multiLevelType w:val="hybridMultilevel"/>
    <w:lvl w:ilvl="0">
      <w:lvlJc w:val="left"/>
      <w:lvlText w:val="(%1)"/>
      <w:numFmt w:val="lowerLetter"/>
      <w:start w:val="4"/>
    </w:lvl>
  </w:abstractNum>
  <w:abstractNum w:abstractNumId="170">
    <w:nsid w:val="30EADA61"/>
    <w:multiLevelType w:val="hybridMultilevel"/>
    <w:lvl w:ilvl="0">
      <w:lvlJc w:val="left"/>
      <w:lvlText w:val="(%1)"/>
      <w:numFmt w:val="lowerLetter"/>
      <w:start w:val="2"/>
    </w:lvl>
  </w:abstractNum>
  <w:abstractNum w:abstractNumId="171">
    <w:nsid w:val="27179C0B"/>
    <w:multiLevelType w:val="hybridMultilevel"/>
    <w:lvl w:ilvl="0">
      <w:lvlJc w:val="left"/>
      <w:lvlText w:val="(%1)"/>
      <w:numFmt w:val="lowerLetter"/>
      <w:start w:val="2"/>
    </w:lvl>
  </w:abstractNum>
  <w:abstractNum w:abstractNumId="172">
    <w:nsid w:val="5E636063"/>
    <w:multiLevelType w:val="hybridMultilevel"/>
    <w:lvl w:ilvl="0">
      <w:lvlJc w:val="left"/>
      <w:lvlText w:val="(%1)"/>
      <w:numFmt w:val="lowerLetter"/>
      <w:start w:val="1"/>
    </w:lvl>
  </w:abstractNum>
  <w:abstractNum w:abstractNumId="173">
    <w:nsid w:val="215641AF"/>
    <w:multiLevelType w:val="hybridMultilevel"/>
    <w:lvl w:ilvl="0">
      <w:lvlJc w:val="left"/>
      <w:lvlText w:val="(%1)"/>
      <w:numFmt w:val="lowerLetter"/>
      <w:start w:val="1"/>
    </w:lvl>
  </w:abstractNum>
  <w:abstractNum w:abstractNumId="174">
    <w:nsid w:val="53280662"/>
    <w:multiLevelType w:val="hybridMultilevel"/>
    <w:lvl w:ilvl="0">
      <w:lvlJc w:val="left"/>
      <w:lvlText w:val="(%1)"/>
      <w:numFmt w:val="lowerLetter"/>
      <w:start w:val="6"/>
    </w:lvl>
  </w:abstractNum>
  <w:abstractNum w:abstractNumId="175">
    <w:nsid w:val="46B24DBC"/>
    <w:multiLevelType w:val="hybridMultilevel"/>
    <w:lvl w:ilvl="0">
      <w:lvlJc w:val="left"/>
      <w:lvlText w:val="(%1)"/>
      <w:numFmt w:val="lowerLetter"/>
      <w:start w:val="2"/>
    </w:lvl>
  </w:abstractNum>
  <w:abstractNum w:abstractNumId="176">
    <w:nsid w:val="75B52783"/>
    <w:multiLevelType w:val="hybridMultilevel"/>
    <w:lvl w:ilvl="0">
      <w:lvlJc w:val="left"/>
      <w:lvlText w:val="(%1)"/>
      <w:numFmt w:val="lowerLetter"/>
      <w:start w:val="3"/>
    </w:lvl>
  </w:abstractNum>
  <w:abstractNum w:abstractNumId="177">
    <w:nsid w:val="57CE66B4"/>
    <w:multiLevelType w:val="hybridMultilevel"/>
    <w:lvl w:ilvl="0">
      <w:lvlJc w:val="left"/>
      <w:lvlText w:val="(%1)"/>
      <w:numFmt w:val="lowerLetter"/>
      <w:start w:val="2"/>
    </w:lvl>
  </w:abstractNum>
  <w:abstractNum w:abstractNumId="178">
    <w:nsid w:val="67A70B69"/>
    <w:multiLevelType w:val="hybridMultilevel"/>
    <w:lvl w:ilvl="0">
      <w:lvlJc w:val="left"/>
      <w:lvlText w:val="(%1)"/>
      <w:numFmt w:val="lowerLetter"/>
      <w:start w:val="3"/>
    </w:lvl>
  </w:abstractNum>
  <w:abstractNum w:abstractNumId="179">
    <w:nsid w:val="5953172F"/>
    <w:multiLevelType w:val="hybridMultilevel"/>
    <w:lvl w:ilvl="0">
      <w:lvlJc w:val="left"/>
      <w:lvlText w:val="(%1)"/>
      <w:numFmt w:val="lowerLetter"/>
      <w:start w:val="2"/>
    </w:lvl>
  </w:abstractNum>
  <w:abstractNum w:abstractNumId="180">
    <w:nsid w:val="27EDFE3A"/>
    <w:multiLevelType w:val="hybridMultilevel"/>
    <w:lvl w:ilvl="0">
      <w:lvlJc w:val="left"/>
      <w:lvlText w:val="(%1)"/>
      <w:numFmt w:val="lowerRoman"/>
      <w:start w:val="1"/>
    </w:lvl>
  </w:abstractNum>
  <w:abstractNum w:abstractNumId="181">
    <w:nsid w:val="52AC7DFF"/>
    <w:multiLevelType w:val="hybridMultilevel"/>
    <w:lvl w:ilvl="0">
      <w:lvlJc w:val="left"/>
      <w:lvlText w:val="(%1)"/>
      <w:numFmt w:val="lowerLetter"/>
      <w:start w:val="1"/>
    </w:lvl>
  </w:abstractNum>
  <w:abstractNum w:abstractNumId="182">
    <w:nsid w:val="C4C3AF"/>
    <w:multiLevelType w:val="hybridMultilevel"/>
    <w:lvl w:ilvl="0">
      <w:lvlJc w:val="left"/>
      <w:lvlText w:val="%1"/>
      <w:numFmt w:val="lowerRoman"/>
      <w:start w:val="1"/>
    </w:lvl>
    <w:lvl w:ilvl="1">
      <w:lvlJc w:val="left"/>
      <w:lvlText w:val="(%2)"/>
      <w:numFmt w:val="lowerLetter"/>
      <w:start w:val="5"/>
    </w:lvl>
  </w:abstractNum>
  <w:abstractNum w:abstractNumId="183">
    <w:nsid w:val="44380727"/>
    <w:multiLevelType w:val="hybridMultilevel"/>
    <w:lvl w:ilvl="0">
      <w:lvlJc w:val="left"/>
      <w:lvlText w:val="(%1)"/>
      <w:numFmt w:val="lowerRoman"/>
      <w:start w:val="4"/>
    </w:lvl>
    <w:lvl w:ilvl="1">
      <w:lvlJc w:val="left"/>
      <w:lvlText w:val="%2"/>
      <w:numFmt w:val="lowerLetter"/>
      <w:start w:val="1"/>
    </w:lvl>
  </w:abstractNum>
  <w:abstractNum w:abstractNumId="184">
    <w:nsid w:val="6C053B16"/>
    <w:multiLevelType w:val="hybridMultilevel"/>
    <w:lvl w:ilvl="0">
      <w:lvlJc w:val="left"/>
      <w:lvlText w:val="%1"/>
      <w:numFmt w:val="lowerLetter"/>
      <w:start w:val="1"/>
    </w:lvl>
    <w:lvl w:ilvl="1">
      <w:lvlJc w:val="left"/>
      <w:lvlText w:val="(%2)"/>
      <w:numFmt w:val="lowerLetter"/>
      <w:start w:val="8"/>
    </w:lvl>
  </w:abstractNum>
  <w:abstractNum w:abstractNumId="185">
    <w:nsid w:val="4F294393"/>
    <w:multiLevelType w:val="hybridMultilevel"/>
    <w:lvl w:ilvl="0">
      <w:lvlJc w:val="left"/>
      <w:lvlText w:val="(%1)"/>
      <w:numFmt w:val="lowerLetter"/>
      <w:start w:val="61"/>
    </w:lvl>
    <w:lvl w:ilvl="1">
      <w:lvlJc w:val="left"/>
      <w:lvlText w:val="(%2)"/>
      <w:numFmt w:val="lowerLetter"/>
      <w:start w:val="10"/>
    </w:lvl>
  </w:abstractNum>
  <w:abstractNum w:abstractNumId="186">
    <w:nsid w:val="5243BFAC"/>
    <w:multiLevelType w:val="hybridMultilevel"/>
    <w:lvl w:ilvl="0">
      <w:lvlJc w:val="left"/>
      <w:lvlText w:val="(%1)"/>
      <w:numFmt w:val="lowerLetter"/>
      <w:start w:val="15"/>
    </w:lvl>
  </w:abstractNum>
  <w:abstractNum w:abstractNumId="187">
    <w:nsid w:val="425EB207"/>
    <w:multiLevelType w:val="hybridMultilevel"/>
    <w:lvl w:ilvl="0">
      <w:lvlJc w:val="left"/>
      <w:lvlText w:val="(%1)"/>
      <w:numFmt w:val="lowerLetter"/>
      <w:start w:val="1"/>
    </w:lvl>
  </w:abstractNum>
  <w:abstractNum w:abstractNumId="188">
    <w:nsid w:val="334A6F1F"/>
    <w:multiLevelType w:val="hybridMultilevel"/>
    <w:lvl w:ilvl="0">
      <w:lvlJc w:val="left"/>
      <w:lvlText w:val="(%1)"/>
      <w:numFmt w:val="lowerLetter"/>
      <w:start w:val="2"/>
    </w:lvl>
  </w:abstractNum>
  <w:abstractNum w:abstractNumId="189">
    <w:nsid w:val="2E5B12B8"/>
    <w:multiLevelType w:val="hybridMultilevel"/>
    <w:lvl w:ilvl="0">
      <w:lvlJc w:val="left"/>
      <w:lvlText w:val="(%1)"/>
      <w:numFmt w:val="lowerLetter"/>
      <w:start w:val="5"/>
    </w:lvl>
  </w:abstractNum>
  <w:abstractNum w:abstractNumId="190">
    <w:nsid w:val="5C03D76D"/>
    <w:multiLevelType w:val="hybridMultilevel"/>
    <w:lvl w:ilvl="0">
      <w:lvlJc w:val="left"/>
      <w:lvlText w:val="(%1)"/>
      <w:numFmt w:val="lowerRoman"/>
      <w:start w:val="1"/>
    </w:lvl>
  </w:abstractNum>
  <w:abstractNum w:abstractNumId="191">
    <w:nsid w:val="66A48D11"/>
    <w:multiLevelType w:val="hybridMultilevel"/>
    <w:lvl w:ilvl="0">
      <w:lvlJc w:val="left"/>
      <w:lvlText w:val="(%1)"/>
      <w:numFmt w:val="lowerLetter"/>
      <w:start w:val="1"/>
    </w:lvl>
  </w:abstractNum>
  <w:abstractNum w:abstractNumId="192">
    <w:nsid w:val="56C28E34"/>
    <w:multiLevelType w:val="hybridMultilevel"/>
    <w:lvl w:ilvl="0">
      <w:lvlJc w:val="left"/>
      <w:lvlText w:val="(%1)"/>
      <w:numFmt w:val="lowerLetter"/>
      <w:start w:val="3"/>
    </w:lvl>
  </w:abstractNum>
  <w:abstractNum w:abstractNumId="193">
    <w:nsid w:val="13916F2D"/>
    <w:multiLevelType w:val="hybridMultilevel"/>
    <w:lvl w:ilvl="0">
      <w:lvlJc w:val="left"/>
      <w:lvlText w:val="(%1)"/>
      <w:numFmt w:val="lowerRoman"/>
      <w:start w:val="1"/>
    </w:lvl>
  </w:abstractNum>
  <w:abstractNum w:abstractNumId="194">
    <w:nsid w:val="435D38D"/>
    <w:multiLevelType w:val="hybridMultilevel"/>
    <w:lvl w:ilvl="0">
      <w:lvlJc w:val="left"/>
      <w:lvlText w:val="(%1)"/>
      <w:numFmt w:val="lowerLetter"/>
      <w:start w:val="1"/>
    </w:lvl>
  </w:abstractNum>
  <w:abstractNum w:abstractNumId="195">
    <w:nsid w:val="822C0EF"/>
    <w:multiLevelType w:val="hybridMultilevel"/>
    <w:lvl w:ilvl="0">
      <w:lvlJc w:val="left"/>
      <w:lvlText w:val="(%1)"/>
      <w:numFmt w:val="lowerLetter"/>
      <w:start w:val="3"/>
    </w:lvl>
  </w:abstractNum>
  <w:abstractNum w:abstractNumId="196">
    <w:nsid w:val="57C5BB4F"/>
    <w:multiLevelType w:val="hybridMultilevel"/>
    <w:lvl w:ilvl="0">
      <w:lvlJc w:val="left"/>
      <w:lvlText w:val="(%1)"/>
      <w:numFmt w:val="lowerLetter"/>
      <w:start w:val="8"/>
    </w:lvl>
  </w:abstractNum>
  <w:abstractNum w:abstractNumId="197">
    <w:nsid w:val="1803D089"/>
    <w:multiLevelType w:val="hybridMultilevel"/>
    <w:lvl w:ilvl="0">
      <w:lvlJc w:val="left"/>
      <w:lvlText w:val="(%1)"/>
      <w:numFmt w:val="lowerLetter"/>
      <w:start w:val="11"/>
    </w:lvl>
  </w:abstractNum>
  <w:abstractNum w:abstractNumId="198">
    <w:nsid w:val="4F3A06D4"/>
    <w:multiLevelType w:val="hybridMultilevel"/>
    <w:lvl w:ilvl="0">
      <w:lvlJc w:val="left"/>
      <w:lvlText w:val="(%1)"/>
      <w:numFmt w:val="lowerRoman"/>
      <w:start w:val="1"/>
    </w:lvl>
  </w:abstractNum>
  <w:abstractNum w:abstractNumId="199">
    <w:nsid w:val="59A377B6"/>
    <w:multiLevelType w:val="hybridMultilevel"/>
    <w:lvl w:ilvl="0">
      <w:lvlJc w:val="left"/>
      <w:lvlText w:val="(%1)"/>
      <w:numFmt w:val="lowerRoman"/>
      <w:start w:val="5"/>
    </w:lvl>
  </w:abstractNum>
  <w:abstractNum w:abstractNumId="200">
    <w:nsid w:val="48AEB063"/>
    <w:multiLevelType w:val="hybridMultilevel"/>
    <w:lvl w:ilvl="0">
      <w:lvlJc w:val="left"/>
      <w:lvlText w:val="(%1)"/>
      <w:numFmt w:val="lowerLetter"/>
      <w:start w:val="1"/>
    </w:lvl>
    <w:lvl w:ilvl="1">
      <w:lvlJc w:val="left"/>
      <w:lvlText w:val="(%2)"/>
      <w:numFmt w:val="lowerRoman"/>
      <w:start w:val="1"/>
    </w:lvl>
  </w:abstractNum>
  <w:abstractNum w:abstractNumId="201">
    <w:nsid w:val="24E135"/>
    <w:multiLevelType w:val="hybridMultilevel"/>
    <w:lvl w:ilvl="0">
      <w:lvlJc w:val="left"/>
      <w:lvlText w:val="(%1)"/>
      <w:numFmt w:val="lowerLetter"/>
      <w:start w:val="2"/>
    </w:lvl>
  </w:abstractNum>
  <w:abstractNum w:abstractNumId="202">
    <w:nsid w:val="BB13C1"/>
    <w:multiLevelType w:val="hybridMultilevel"/>
    <w:lvl w:ilvl="0">
      <w:lvlJc w:val="left"/>
      <w:lvlText w:val="(%1)"/>
      <w:numFmt w:val="lowerLetter"/>
      <w:start w:val="2"/>
    </w:lvl>
  </w:abstractNum>
  <w:abstractNum w:abstractNumId="203">
    <w:nsid w:val="271210C7"/>
    <w:multiLevelType w:val="hybridMultilevel"/>
    <w:lvl w:ilvl="0">
      <w:lvlJc w:val="left"/>
      <w:lvlText w:val="(%1)"/>
      <w:numFmt w:val="lowerLetter"/>
      <w:start w:val="3"/>
    </w:lvl>
  </w:abstractNum>
  <w:abstractNum w:abstractNumId="204">
    <w:nsid w:val="217B22E4"/>
    <w:multiLevelType w:val="hybridMultilevel"/>
    <w:lvl w:ilvl="0">
      <w:lvlJc w:val="left"/>
      <w:lvlText w:val="(%1)"/>
      <w:numFmt w:val="lowerLetter"/>
      <w:start w:val="1"/>
    </w:lvl>
  </w:abstractNum>
  <w:abstractNum w:abstractNumId="205">
    <w:nsid w:val="53E31A24"/>
    <w:multiLevelType w:val="hybridMultilevel"/>
    <w:lvl w:ilvl="0">
      <w:lvlJc w:val="left"/>
      <w:lvlText w:val="(%1)"/>
      <w:numFmt w:val="lowerLetter"/>
      <w:start w:val="2"/>
    </w:lvl>
    <w:lvl w:ilvl="1">
      <w:lvlJc w:val="left"/>
      <w:lvlText w:val="(%2)"/>
      <w:numFmt w:val="lowerRoman"/>
      <w:start w:val="1"/>
    </w:lvl>
  </w:abstractNum>
  <w:abstractNum w:abstractNumId="206">
    <w:nsid w:val="6DC45E83"/>
    <w:multiLevelType w:val="hybridMultilevel"/>
    <w:lvl w:ilvl="0">
      <w:lvlJc w:val="left"/>
      <w:lvlText w:val="(%1)"/>
      <w:numFmt w:val="decimal"/>
      <w:start w:val="5"/>
    </w:lvl>
    <w:lvl w:ilvl="1">
      <w:lvlJc w:val="left"/>
      <w:lvlText w:val="(%2)"/>
      <w:numFmt w:val="lowerRoman"/>
      <w:start w:val="7"/>
    </w:lvl>
  </w:abstractNum>
  <w:abstractNum w:abstractNumId="207">
    <w:nsid w:val="17304A67"/>
    <w:multiLevelType w:val="hybridMultilevel"/>
    <w:lvl w:ilvl="0">
      <w:lvlJc w:val="left"/>
      <w:lvlText w:val="(%1)"/>
      <w:numFmt w:val="lowerLetter"/>
      <w:start w:val="2"/>
    </w:lvl>
  </w:abstractNum>
  <w:abstractNum w:abstractNumId="208">
    <w:nsid w:val="2BB180D8"/>
    <w:multiLevelType w:val="hybridMultilevel"/>
    <w:lvl w:ilvl="0">
      <w:lvlJc w:val="left"/>
      <w:lvlText w:val="%1."/>
      <w:numFmt w:val="decimal"/>
      <w:start w:val="1"/>
    </w:lvl>
  </w:abstractNum>
  <w:abstractNum w:abstractNumId="209">
    <w:nsid w:val="556B69ED"/>
    <w:multiLevelType w:val="hybridMultilevel"/>
    <w:lvl w:ilvl="0">
      <w:lvlJc w:val="left"/>
      <w:lvlText w:val="%1."/>
      <w:numFmt w:val="decimal"/>
      <w:start w:val="10"/>
    </w:lvl>
  </w:abstractNum>
  <w:abstractNum w:abstractNumId="210">
    <w:nsid w:val="70836196"/>
    <w:multiLevelType w:val="hybridMultilevel"/>
    <w:lvl w:ilvl="0">
      <w:lvlJc w:val="left"/>
      <w:lvlText w:val="%1."/>
      <w:numFmt w:val="decimal"/>
      <w:start w:val="25"/>
    </w:lvl>
  </w:abstractNum>
  <w:abstractNum w:abstractNumId="211">
    <w:nsid w:val="539F7F12"/>
    <w:multiLevelType w:val="hybridMultilevel"/>
    <w:lvl w:ilvl="0">
      <w:lvlJc w:val="left"/>
      <w:lvlText w:val="%1."/>
      <w:numFmt w:val="decimal"/>
      <w:start w:val="1"/>
    </w:lvl>
  </w:abstractNum>
  <w:abstractNum w:abstractNumId="212">
    <w:nsid w:val="2817E7EC"/>
    <w:multiLevelType w:val="hybridMultilevel"/>
    <w:lvl w:ilvl="0">
      <w:lvlJc w:val="left"/>
      <w:lvlText w:val="%1."/>
      <w:numFmt w:val="decimal"/>
      <w:start w:val="10"/>
    </w:lvl>
  </w:abstractNum>
  <w:abstractNum w:abstractNumId="213">
    <w:nsid w:val="71482545"/>
    <w:multiLevelType w:val="hybridMultilevel"/>
    <w:lvl w:ilvl="0">
      <w:lvlJc w:val="left"/>
      <w:lvlText w:val="%1."/>
      <w:numFmt w:val="decimal"/>
      <w:start w:val="31"/>
    </w:lvl>
  </w:abstractNum>
  <w:abstractNum w:abstractNumId="214">
    <w:nsid w:val="17D78639"/>
    <w:multiLevelType w:val="hybridMultilevel"/>
    <w:lvl w:ilvl="0">
      <w:lvlJc w:val="left"/>
      <w:lvlText w:val="%1."/>
      <w:numFmt w:val="decimal"/>
      <w:start w:val="51"/>
    </w:lvl>
  </w:abstractNum>
  <w:abstractNum w:abstractNumId="215">
    <w:nsid w:val="141D2302"/>
    <w:multiLevelType w:val="hybridMultilevel"/>
    <w:lvl w:ilvl="0">
      <w:lvlJc w:val="left"/>
      <w:lvlText w:val="%1."/>
      <w:numFmt w:val="decimal"/>
      <w:start w:val="67"/>
    </w:lvl>
  </w:abstractNum>
  <w:abstractNum w:abstractNumId="216">
    <w:nsid w:val="407168D8"/>
    <w:multiLevelType w:val="hybridMultilevel"/>
    <w:lvl w:ilvl="0">
      <w:lvlJc w:val="left"/>
      <w:lvlText w:val="(%1)"/>
      <w:numFmt w:val="lowerLetter"/>
      <w:start w:val="1"/>
    </w:lvl>
  </w:abstractNum>
  <w:abstractNum w:abstractNumId="217">
    <w:nsid w:val="6A1B45E5"/>
    <w:multiLevelType w:val="hybridMultilevel"/>
    <w:lvl w:ilvl="0">
      <w:lvlJc w:val="left"/>
      <w:lvlText w:val="%1."/>
      <w:numFmt w:val="decimal"/>
      <w:start w:val="1"/>
    </w:lvl>
  </w:abstractNum>
  <w:abstractNum w:abstractNumId="218">
    <w:nsid w:val="567BD50A"/>
    <w:multiLevelType w:val="hybridMultilevel"/>
    <w:lvl w:ilvl="0">
      <w:lvlJc w:val="left"/>
      <w:lvlText w:val="%1."/>
      <w:numFmt w:val="decimal"/>
      <w:start w:val="10"/>
    </w:lvl>
  </w:abstractNum>
  <w:abstractNum w:abstractNumId="219">
    <w:nsid w:val="73BBD7F8"/>
    <w:multiLevelType w:val="hybridMultilevel"/>
    <w:lvl w:ilvl="0">
      <w:lvlJc w:val="left"/>
      <w:lvlText w:val="%1."/>
      <w:numFmt w:val="decimal"/>
      <w:start w:val="26"/>
    </w:lvl>
  </w:abstractNum>
  <w:abstractNum w:abstractNumId="220">
    <w:nsid w:val="1876589D"/>
    <w:multiLevelType w:val="hybridMultilevel"/>
    <w:lvl w:ilvl="0">
      <w:lvlJc w:val="left"/>
      <w:lvlText w:val="%1."/>
      <w:numFmt w:val="decimal"/>
      <w:start w:val="1"/>
    </w:lvl>
  </w:abstractNum>
  <w:abstractNum w:abstractNumId="221">
    <w:nsid w:val="327FAC77"/>
    <w:multiLevelType w:val="hybridMultilevel"/>
    <w:lvl w:ilvl="0">
      <w:lvlJc w:val="left"/>
      <w:lvlText w:val="%1."/>
      <w:numFmt w:val="decimal"/>
      <w:start w:val="12"/>
    </w:lvl>
  </w:abstractNum>
  <w:abstractNum w:abstractNumId="222">
    <w:nsid w:val="5A606509"/>
    <w:multiLevelType w:val="hybridMultilevel"/>
    <w:lvl w:ilvl="0">
      <w:lvlJc w:val="left"/>
      <w:lvlText w:val="%1."/>
      <w:numFmt w:val="decimal"/>
      <w:start w:val="33"/>
    </w:lvl>
  </w:abstractNum>
  <w:abstractNum w:abstractNumId="223">
    <w:nsid w:val="6F38E6D1"/>
    <w:multiLevelType w:val="hybridMultilevel"/>
    <w:lvl w:ilvl="0">
      <w:lvlJc w:val="left"/>
      <w:lvlText w:val="%1."/>
      <w:numFmt w:val="decimal"/>
      <w:start w:val="53"/>
    </w:lvl>
  </w:abstractNum>
  <w:abstractNum w:abstractNumId="224">
    <w:nsid w:val="46111BA5"/>
    <w:multiLevelType w:val="hybridMultilevel"/>
    <w:lvl w:ilvl="0">
      <w:lvlJc w:val="left"/>
      <w:lvlText w:val="1"/>
      <w:numFmt w:val="bullet"/>
      <w:start w:val="1"/>
    </w:lvl>
  </w:abstractNum>
  <w:abstractNum w:abstractNumId="225">
    <w:nsid w:val="5E963896"/>
    <w:multiLevelType w:val="hybridMultilevel"/>
    <w:lvl w:ilvl="0">
      <w:lvlJc w:val="left"/>
      <w:lvlText w:val="%1."/>
      <w:numFmt w:val="decimal"/>
      <w:start w:val="1"/>
    </w:lvl>
  </w:abstractNum>
  <w:abstractNum w:abstractNumId="226">
    <w:nsid w:val="775BA7C1"/>
    <w:multiLevelType w:val="hybridMultilevel"/>
    <w:lvl w:ilvl="0">
      <w:lvlJc w:val="left"/>
      <w:lvlText w:val="%1."/>
      <w:numFmt w:val="decimal"/>
      <w:start w:val="10"/>
    </w:lvl>
  </w:abstractNum>
  <w:abstractNum w:abstractNumId="227">
    <w:nsid w:val="1DD6D6F4"/>
    <w:multiLevelType w:val="hybridMultilevel"/>
    <w:lvl w:ilvl="0">
      <w:lvlJc w:val="left"/>
      <w:lvlText w:val="%1."/>
      <w:numFmt w:val="decimal"/>
      <w:start w:val="26"/>
    </w:lvl>
  </w:abstractNum>
  <w:abstractNum w:abstractNumId="228">
    <w:nsid w:val="769A091F"/>
    <w:multiLevelType w:val="hybridMultilevel"/>
    <w:lvl w:ilvl="0">
      <w:lvlJc w:val="left"/>
      <w:lvlText w:val="%1."/>
      <w:numFmt w:val="decimal"/>
      <w:start w:val="1"/>
    </w:lvl>
  </w:abstractNum>
  <w:abstractNum w:abstractNumId="229">
    <w:nsid w:val="4695AE95"/>
    <w:multiLevelType w:val="hybridMultilevel"/>
    <w:lvl w:ilvl="0">
      <w:lvlJc w:val="left"/>
      <w:lvlText w:val="%1."/>
      <w:numFmt w:val="decimal"/>
      <w:start w:val="11"/>
    </w:lvl>
  </w:abstractNum>
  <w:abstractNum w:abstractNumId="230">
    <w:nsid w:val="777A4EAA"/>
    <w:multiLevelType w:val="hybridMultilevel"/>
    <w:lvl w:ilvl="0">
      <w:lvlJc w:val="left"/>
      <w:lvlText w:val="%1."/>
      <w:numFmt w:val="decimal"/>
      <w:start w:val="32"/>
    </w:lvl>
  </w:abstractNum>
  <w:abstractNum w:abstractNumId="231">
    <w:nsid w:val="3F48B982"/>
    <w:multiLevelType w:val="hybridMultilevel"/>
    <w:lvl w:ilvl="0">
      <w:lvlJc w:val="left"/>
      <w:lvlText w:val="%1."/>
      <w:numFmt w:val="decimal"/>
      <w:start w:val="52"/>
    </w:lvl>
  </w:abstractNum>
  <w:abstractNum w:abstractNumId="232">
    <w:nsid w:val="46BA8FCA"/>
    <w:multiLevelType w:val="hybridMultilevel"/>
    <w:lvl w:ilvl="0">
      <w:lvlJc w:val="left"/>
      <w:lvlText w:val="%1."/>
      <w:numFmt w:val="decimal"/>
      <w:start w:val="68"/>
    </w:lvl>
  </w:abstractNum>
  <w:abstractNum w:abstractNumId="233">
    <w:nsid w:val="7835626C"/>
    <w:multiLevelType w:val="hybridMultilevel"/>
    <w:lvl w:ilvl="0">
      <w:lvlJc w:val="left"/>
      <w:lvlText w:val="%1."/>
      <w:numFmt w:val="upperLetter"/>
      <w:start w:val="35"/>
    </w:lvl>
  </w:abstractNum>
  <w:abstractNum w:abstractNumId="234">
    <w:nsid w:val="665ACA49"/>
    <w:multiLevelType w:val="hybridMultilevel"/>
    <w:lvl w:ilvl="0">
      <w:lvlJc w:val="left"/>
      <w:lvlText w:val="•"/>
      <w:numFmt w:val="bullet"/>
      <w:start w:val="1"/>
    </w:lvl>
  </w:abstractNum>
  <w:abstractNum w:abstractNumId="235">
    <w:nsid w:val="6835B2AE"/>
    <w:multiLevelType w:val="hybridMultilevel"/>
    <w:lvl w:ilvl="0">
      <w:lvlJc w:val="left"/>
      <w:lvlText w:val="***"/>
      <w:numFmt w:val="bullet"/>
      <w:start w:val="1"/>
    </w:lvl>
    <w:lvl w:ilvl="1">
      <w:lvlJc w:val="left"/>
      <w:lvlText w:val="•"/>
      <w:numFmt w:val="bullet"/>
      <w:start w:val="1"/>
    </w:lvl>
  </w:abstractNum>
  <w:abstractNum w:abstractNumId="236">
    <w:nsid w:val="4C187C90"/>
    <w:multiLevelType w:val="hybridMultilevel"/>
    <w:lvl w:ilvl="0">
      <w:lvlJc w:val="left"/>
      <w:lvlText w:val="(%1)"/>
      <w:numFmt w:val="upperLetter"/>
      <w:start w:val="1"/>
    </w:lvl>
  </w:abstractNum>
  <w:abstractNum w:abstractNumId="237">
    <w:nsid w:val="541F28CD"/>
    <w:multiLevelType w:val="hybridMultilevel"/>
    <w:lvl w:ilvl="0">
      <w:lvlJc w:val="left"/>
      <w:lvlText w:val="(%1)"/>
      <w:numFmt w:val="upperLetter"/>
      <w:start w:val="6"/>
    </w:lvl>
  </w:abstractNum>
  <w:abstractNum w:abstractNumId="238">
    <w:nsid w:val="7F65FD16"/>
    <w:multiLevelType w:val="hybridMultilevel"/>
    <w:lvl w:ilvl="0">
      <w:lvlJc w:val="left"/>
      <w:lvlText w:val="(%1)"/>
      <w:numFmt w:val="lowerLetter"/>
      <w:start w:val="1"/>
    </w:lvl>
  </w:abstractNum>
  <w:abstractNum w:abstractNumId="239">
    <w:nsid w:val="77C9FD68"/>
    <w:multiLevelType w:val="hybridMultilevel"/>
    <w:lvl w:ilvl="0">
      <w:lvlJc w:val="left"/>
      <w:lvlText w:val="%1"/>
      <w:numFmt w:val="lowerLetter"/>
      <w:start w:val="1"/>
    </w:lvl>
    <w:lvl w:ilvl="1">
      <w:lvlJc w:val="left"/>
      <w:lvlText w:val="(%2)"/>
      <w:numFmt w:val="lowerLetter"/>
      <w:start w:val="3"/>
    </w:lvl>
  </w:abstractNum>
  <w:abstractNum w:abstractNumId="240">
    <w:nsid w:val="298A92BA"/>
    <w:multiLevelType w:val="hybridMultilevel"/>
    <w:lvl w:ilvl="0">
      <w:lvlJc w:val="left"/>
      <w:lvlText w:val="(%1)"/>
      <w:numFmt w:val="lowerLetter"/>
      <w:start w:val="35"/>
    </w:lvl>
    <w:lvl w:ilvl="1">
      <w:lvlJc w:val="left"/>
      <w:lvlText w:val="(%2)"/>
      <w:numFmt w:val="lowerLetter"/>
      <w:start w:val="4"/>
    </w:lvl>
  </w:abstractNum>
  <w:abstractNum w:abstractNumId="241">
    <w:nsid w:val="6FE95EAC"/>
    <w:multiLevelType w:val="hybridMultilevel"/>
    <w:lvl w:ilvl="0">
      <w:lvlJc w:val="left"/>
      <w:lvlText w:val="(%1)"/>
      <w:numFmt w:val="lowerRoman"/>
      <w:start w:val="2"/>
    </w:lvl>
  </w:abstractNum>
  <w:abstractNum w:abstractNumId="242">
    <w:nsid w:val="4B697C7A"/>
    <w:multiLevelType w:val="hybridMultilevel"/>
    <w:lvl w:ilvl="0">
      <w:lvlJc w:val="left"/>
      <w:lvlText w:val="(%1)"/>
      <w:numFmt w:val="lowerLetter"/>
      <w:start w:val="5"/>
    </w:lvl>
  </w:abstractNum>
  <w:abstractNum w:abstractNumId="243">
    <w:nsid w:val="51A27AA6"/>
    <w:multiLevelType w:val="hybridMultilevel"/>
    <w:lvl w:ilvl="0">
      <w:lvlJc w:val="left"/>
      <w:lvlText w:val="(%1)"/>
      <w:numFmt w:val="lowerRoman"/>
      <w:start w:val="2"/>
    </w:lvl>
  </w:abstractNum>
  <w:abstractNum w:abstractNumId="244">
    <w:nsid w:val="613183F2"/>
    <w:multiLevelType w:val="hybridMultilevel"/>
    <w:lvl w:ilvl="0">
      <w:lvlJc w:val="left"/>
      <w:lvlText w:val="(%1)"/>
      <w:numFmt w:val="lowerLetter"/>
      <w:start w:val="6"/>
    </w:lvl>
  </w:abstractNum>
  <w:abstractNum w:abstractNumId="245">
    <w:nsid w:val="634102B4"/>
    <w:multiLevelType w:val="hybridMultilevel"/>
    <w:lvl w:ilvl="0">
      <w:lvlJc w:val="left"/>
      <w:lvlText w:val="(%1)"/>
      <w:numFmt w:val="lowerRoman"/>
      <w:start w:val="2"/>
    </w:lvl>
  </w:abstractNum>
  <w:abstractNum w:abstractNumId="246">
    <w:nsid w:val="65BF9DA8"/>
    <w:multiLevelType w:val="hybridMultilevel"/>
    <w:lvl w:ilvl="0">
      <w:lvlJc w:val="left"/>
      <w:lvlText w:val="(%1)"/>
      <w:numFmt w:val="lowerLetter"/>
      <w:start w:val="7"/>
    </w:lvl>
  </w:abstractNum>
  <w:abstractNum w:abstractNumId="247">
    <w:nsid w:val="21A2ECCA"/>
    <w:multiLevelType w:val="hybridMultilevel"/>
    <w:lvl w:ilvl="0">
      <w:lvlJc w:val="left"/>
      <w:lvlText w:val="(%1)"/>
      <w:numFmt w:val="lowerLetter"/>
      <w:start w:val="11"/>
    </w:lvl>
  </w:abstractNum>
  <w:abstractNum w:abstractNumId="248">
    <w:nsid w:val="4D5C4899"/>
    <w:multiLevelType w:val="hybridMultilevel"/>
    <w:lvl w:ilvl="0">
      <w:lvlJc w:val="left"/>
      <w:lvlText w:val="(%1)"/>
      <w:numFmt w:val="lowerLetter"/>
      <w:start w:val="15"/>
    </w:lvl>
    <w:lvl w:ilvl="1">
      <w:lvlJc w:val="left"/>
      <w:lvlText w:val="(%2)"/>
      <w:numFmt w:val="lowerRoman"/>
      <w:start w:val="1"/>
    </w:lvl>
  </w:abstractNum>
  <w:abstractNum w:abstractNumId="249">
    <w:nsid w:val="3C3B72B2"/>
    <w:multiLevelType w:val="hybridMultilevel"/>
    <w:lvl w:ilvl="0">
      <w:lvlJc w:val="left"/>
      <w:lvlText w:val="(%1)"/>
      <w:numFmt w:val="lowerLetter"/>
      <w:start w:val="23"/>
    </w:lvl>
  </w:abstractNum>
  <w:abstractNum w:abstractNumId="250">
    <w:nsid w:val="155EC4C2"/>
    <w:multiLevelType w:val="hybridMultilevel"/>
    <w:lvl w:ilvl="0">
      <w:lvlJc w:val="left"/>
      <w:lvlText w:val="(%1)"/>
      <w:numFmt w:val="lowerRoman"/>
      <w:start w:val="1"/>
    </w:lvl>
  </w:abstractNum>
  <w:abstractNum w:abstractNumId="251">
    <w:nsid w:val="65D2A137"/>
    <w:multiLevelType w:val="hybridMultilevel"/>
    <w:lvl w:ilvl="0">
      <w:lvlJc w:val="left"/>
      <w:lvlText w:val="(%1)"/>
      <w:numFmt w:val="lowerRoman"/>
      <w:start w:val="2"/>
    </w:lvl>
  </w:abstractNum>
  <w:abstractNum w:abstractNumId="252">
    <w:nsid w:val="6EBB1F2A"/>
    <w:multiLevelType w:val="hybridMultilevel"/>
    <w:lvl w:ilvl="0">
      <w:lvlJc w:val="left"/>
      <w:lvlText w:val="(%1)"/>
      <w:numFmt w:val="lowerRoman"/>
      <w:start w:val="6"/>
    </w:lvl>
  </w:abstractNum>
  <w:abstractNum w:abstractNumId="253">
    <w:nsid w:val="6FBF29CB"/>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254">
    <w:nsid w:val="550B8808"/>
    <w:multiLevelType w:val="hybridMultilevel"/>
    <w:lvl w:ilvl="0">
      <w:lvlJc w:val="left"/>
      <w:lvlText w:val="(%1)"/>
      <w:numFmt w:val="lowerLetter"/>
      <w:start w:val="3"/>
    </w:lvl>
  </w:abstractNum>
  <w:abstractNum w:abstractNumId="255">
    <w:nsid w:val="34CC3ACF"/>
    <w:multiLevelType w:val="hybridMultilevel"/>
    <w:lvl w:ilvl="0">
      <w:lvlJc w:val="left"/>
      <w:lvlText w:val="%1"/>
      <w:numFmt w:val="lowerLetter"/>
      <w:start w:val="1"/>
    </w:lvl>
    <w:lvl w:ilvl="1">
      <w:lvlJc w:val="left"/>
      <w:lvlText w:val="(%2)"/>
      <w:numFmt w:val="lowerLetter"/>
      <w:start w:val="7"/>
    </w:lvl>
  </w:abstractNum>
  <w:abstractNum w:abstractNumId="256">
    <w:nsid w:val="4E556261"/>
    <w:multiLevelType w:val="hybridMultilevel"/>
    <w:lvl w:ilvl="0">
      <w:lvlJc w:val="left"/>
      <w:lvlText w:val="(%1)"/>
      <w:numFmt w:val="lowerLetter"/>
      <w:start w:val="9"/>
    </w:lvl>
    <w:lvl w:ilvl="1">
      <w:lvlJc w:val="left"/>
      <w:lvlText w:val="(%2)"/>
      <w:numFmt w:val="lowerLetter"/>
      <w:start w:val="8"/>
    </w:lvl>
  </w:abstractNum>
  <w:abstractNum w:abstractNumId="257">
    <w:nsid w:val="4C672FC9"/>
    <w:multiLevelType w:val="hybridMultilevel"/>
    <w:lvl w:ilvl="0">
      <w:lvlJc w:val="left"/>
      <w:lvlText w:val="(%1)"/>
      <w:numFmt w:val="lowerRoman"/>
      <w:start w:val="1"/>
    </w:lvl>
  </w:abstractNum>
  <w:abstractNum w:abstractNumId="258">
    <w:nsid w:val="52A311C3"/>
    <w:multiLevelType w:val="hybridMultilevel"/>
    <w:lvl w:ilvl="0">
      <w:lvlJc w:val="left"/>
      <w:lvlText w:val="(%1)"/>
      <w:numFmt w:val="lowerLetter"/>
      <w:start w:val="1"/>
    </w:lvl>
    <w:lvl w:ilvl="1">
      <w:lvlJc w:val="left"/>
      <w:lvlText w:val="(%2)"/>
      <w:numFmt w:val="lowerRoman"/>
      <w:start w:val="1"/>
    </w:lvl>
  </w:abstractNum>
  <w:abstractNum w:abstractNumId="259">
    <w:nsid w:val="44EF6B80"/>
    <w:multiLevelType w:val="hybridMultilevel"/>
    <w:lvl w:ilvl="0">
      <w:lvlJc w:val="left"/>
      <w:lvlText w:val="(%1)"/>
      <w:numFmt w:val="lowerRoman"/>
      <w:start w:val="6"/>
    </w:lvl>
  </w:abstractNum>
  <w:abstractNum w:abstractNumId="260">
    <w:nsid w:val="12FCDE5E"/>
    <w:multiLevelType w:val="hybridMultilevel"/>
    <w:lvl w:ilvl="0">
      <w:lvlJc w:val="left"/>
      <w:lvlText w:val="(%1)"/>
      <w:numFmt w:val="lowerRoman"/>
      <w:start w:val="15"/>
    </w:lvl>
  </w:abstractNum>
  <w:abstractNum w:abstractNumId="261">
    <w:nsid w:val="4A1D606E"/>
    <w:multiLevelType w:val="hybridMultilevel"/>
    <w:lvl w:ilvl="0">
      <w:lvlJc w:val="left"/>
      <w:lvlText w:val="%1"/>
      <w:numFmt w:val="lowerLetter"/>
      <w:start w:val="1"/>
    </w:lvl>
    <w:lvl w:ilvl="1">
      <w:lvlJc w:val="left"/>
      <w:lvlText w:val="(%2)"/>
      <w:numFmt w:val="lowerRoman"/>
      <w:start w:val="22"/>
    </w:lvl>
  </w:abstractNum>
  <w:abstractNum w:abstractNumId="262">
    <w:nsid w:val="4382503"/>
    <w:multiLevelType w:val="hybridMultilevel"/>
    <w:lvl w:ilvl="0">
      <w:lvlJc w:val="left"/>
      <w:lvlText w:val="(%1)"/>
      <w:numFmt w:val="lowerLetter"/>
      <w:start w:val="2"/>
    </w:lvl>
    <w:lvl w:ilvl="1">
      <w:lvlJc w:val="left"/>
      <w:lvlText w:val="(%2)"/>
      <w:numFmt w:val="lowerRoman"/>
      <w:start w:val="1"/>
    </w:lvl>
  </w:abstractNum>
  <w:abstractNum w:abstractNumId="263">
    <w:nsid w:val="59B76E28"/>
    <w:multiLevelType w:val="hybridMultilevel"/>
    <w:lvl w:ilvl="0">
      <w:lvlJc w:val="left"/>
      <w:lvlText w:val="(%1)"/>
      <w:numFmt w:val="lowerRoman"/>
      <w:start w:val="5"/>
    </w:lvl>
  </w:abstractNum>
  <w:abstractNum w:abstractNumId="264">
    <w:nsid w:val="4252C2DA"/>
    <w:multiLevelType w:val="hybridMultilevel"/>
    <w:lvl w:ilvl="0">
      <w:lvlJc w:val="left"/>
      <w:lvlText w:val="%1"/>
      <w:numFmt w:val="lowerRoman"/>
      <w:start w:val="1"/>
    </w:lvl>
    <w:lvl w:ilvl="1">
      <w:lvlJc w:val="left"/>
      <w:lvlText w:val="(%2)"/>
      <w:numFmt w:val="lowerRoman"/>
      <w:start w:val="7"/>
    </w:lvl>
  </w:abstractNum>
  <w:abstractNum w:abstractNumId="265">
    <w:nsid w:val="6A92EF4C"/>
    <w:multiLevelType w:val="hybridMultilevel"/>
    <w:lvl w:ilvl="0">
      <w:lvlJc w:val="left"/>
      <w:lvlText w:val="(%1)"/>
      <w:numFmt w:val="lowerRoman"/>
      <w:start w:val="14"/>
    </w:lvl>
    <w:lvl w:ilvl="1">
      <w:lvlJc w:val="left"/>
      <w:lvlText w:val="(%2)"/>
      <w:numFmt w:val="lowerRoman"/>
      <w:start w:val="15"/>
    </w:lvl>
  </w:abstractNum>
  <w:abstractNum w:abstractNumId="266">
    <w:nsid w:val="41ED20D7"/>
    <w:multiLevelType w:val="hybridMultilevel"/>
    <w:lvl w:ilvl="0">
      <w:lvlJc w:val="left"/>
      <w:lvlText w:val="(%1)"/>
      <w:numFmt w:val="lowerRoman"/>
      <w:start w:val="17"/>
    </w:lvl>
  </w:abstractNum>
  <w:abstractNum w:abstractNumId="267">
    <w:nsid w:val="E6B3F6A"/>
    <w:multiLevelType w:val="hybridMultilevel"/>
    <w:lvl w:ilvl="0">
      <w:lvlJc w:val="left"/>
      <w:lvlText w:val="%1"/>
      <w:numFmt w:val="lowerLetter"/>
      <w:start w:val="1"/>
    </w:lvl>
    <w:lvl w:ilvl="1">
      <w:lvlJc w:val="left"/>
      <w:lvlText w:val="(%2)"/>
      <w:numFmt w:val="lowerRoman"/>
      <w:start w:val="24"/>
    </w:lvl>
    <w:lvl w:ilvl="2">
      <w:lvlJc w:val="left"/>
      <w:lvlText w:val="%3"/>
      <w:numFmt w:val="upperLetter"/>
      <w:start w:val="1"/>
    </w:lvl>
  </w:abstractNum>
  <w:abstractNum w:abstractNumId="268">
    <w:nsid w:val="3EB2181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69">
    <w:nsid w:val="41531DED"/>
    <w:multiLevelType w:val="hybridMultilevel"/>
    <w:lvl w:ilvl="0">
      <w:lvlJc w:val="left"/>
      <w:lvlText w:val="(%1)"/>
      <w:numFmt w:val="upperLetter"/>
      <w:start w:val="4"/>
    </w:lvl>
  </w:abstractNum>
  <w:abstractNum w:abstractNumId="270">
    <w:nsid w:val="6353CD2"/>
    <w:multiLevelType w:val="hybridMultilevel"/>
    <w:lvl w:ilvl="0">
      <w:lvlJc w:val="left"/>
      <w:lvlText w:val="%1"/>
      <w:numFmt w:val="lowerLetter"/>
      <w:start w:val="1"/>
    </w:lvl>
    <w:lvl w:ilvl="1">
      <w:lvlJc w:val="left"/>
      <w:lvlText w:val="(%2)"/>
      <w:numFmt w:val="lowerLetter"/>
      <w:start w:val="35"/>
    </w:lvl>
  </w:abstractNum>
  <w:abstractNum w:abstractNumId="271">
    <w:nsid w:val="683CAAD3"/>
    <w:multiLevelType w:val="hybridMultilevel"/>
    <w:lvl w:ilvl="0">
      <w:lvlJc w:val="left"/>
      <w:lvlText w:val="(%1)"/>
      <w:numFmt w:val="lowerLetter"/>
      <w:start w:val="4"/>
    </w:lvl>
    <w:lvl w:ilvl="1">
      <w:lvlJc w:val="left"/>
      <w:lvlText w:val="%2"/>
      <w:numFmt w:val="lowerLetter"/>
      <w:start w:val="1"/>
    </w:lvl>
  </w:abstractNum>
  <w:abstractNum w:abstractNumId="272">
    <w:nsid w:val="313C7C99"/>
    <w:multiLevelType w:val="hybridMultilevel"/>
    <w:lvl w:ilvl="0">
      <w:lvlJc w:val="left"/>
      <w:lvlText w:val="%1"/>
      <w:numFmt w:val="lowerRoman"/>
      <w:start w:val="1"/>
    </w:lvl>
    <w:lvl w:ilvl="1">
      <w:lvlJc w:val="left"/>
      <w:lvlText w:val="(%2)"/>
      <w:numFmt w:val="lowerLetter"/>
      <w:start w:val="5"/>
    </w:lvl>
  </w:abstractNum>
  <w:abstractNum w:abstractNumId="273">
    <w:nsid w:val="519EB94C"/>
    <w:multiLevelType w:val="hybridMultilevel"/>
    <w:lvl w:ilvl="0">
      <w:lvlJc w:val="left"/>
      <w:lvlText w:val="(%1)"/>
      <w:numFmt w:val="lowerRoman"/>
      <w:start w:val="11"/>
    </w:lvl>
    <w:lvl w:ilvl="1">
      <w:lvlJc w:val="left"/>
      <w:lvlText w:val="%2"/>
      <w:numFmt w:val="lowerLetter"/>
      <w:start w:val="1"/>
    </w:lvl>
  </w:abstractNum>
  <w:abstractNum w:abstractNumId="274">
    <w:nsid w:val="39DF2579"/>
    <w:multiLevelType w:val="hybridMultilevel"/>
    <w:lvl w:ilvl="0">
      <w:lvlJc w:val="left"/>
      <w:lvlText w:val="(%1)"/>
      <w:numFmt w:val="lowerLetter"/>
      <w:start w:val="6"/>
    </w:lvl>
  </w:abstractNum>
  <w:abstractNum w:abstractNumId="275">
    <w:nsid w:val="126E008B"/>
    <w:multiLevelType w:val="hybridMultilevel"/>
    <w:lvl w:ilvl="0">
      <w:lvlJc w:val="left"/>
      <w:lvlText w:val="(%1)"/>
      <w:numFmt w:val="lowerLetter"/>
      <w:start w:val="1"/>
    </w:lvl>
  </w:abstractNum>
  <w:abstractNum w:abstractNumId="276">
    <w:nsid w:val="34DFBC00"/>
    <w:multiLevelType w:val="hybridMultilevel"/>
    <w:lvl w:ilvl="0">
      <w:lvlJc w:val="left"/>
      <w:lvlText w:val="(%1)"/>
      <w:numFmt w:val="lowerLetter"/>
      <w:start w:val="2"/>
    </w:lvl>
  </w:abstractNum>
  <w:abstractNum w:abstractNumId="277">
    <w:nsid w:val="1F9EC322"/>
    <w:multiLevelType w:val="hybridMultilevel"/>
    <w:lvl w:ilvl="0">
      <w:lvlJc w:val="left"/>
      <w:lvlText w:val="(%1)"/>
      <w:numFmt w:val="lowerLetter"/>
      <w:start w:val="1"/>
    </w:lvl>
  </w:abstractNum>
  <w:abstractNum w:abstractNumId="278">
    <w:nsid w:val="3410ED56"/>
    <w:multiLevelType w:val="hybridMultilevel"/>
    <w:lvl w:ilvl="0">
      <w:lvlJc w:val="left"/>
      <w:lvlText w:val="(%1)"/>
      <w:numFmt w:val="lowerLetter"/>
      <w:start w:val="2"/>
    </w:lvl>
  </w:abstractNum>
  <w:abstractNum w:abstractNumId="279">
    <w:nsid w:val="23C049A"/>
    <w:multiLevelType w:val="hybridMultilevel"/>
    <w:lvl w:ilvl="0">
      <w:lvlJc w:val="left"/>
      <w:lvlText w:val="1"/>
      <w:numFmt w:val="bullet"/>
      <w:start w:val="1"/>
    </w:lvl>
  </w:abstractNum>
  <w:abstractNum w:abstractNumId="280">
    <w:nsid w:val="5BDA35D4"/>
    <w:multiLevelType w:val="hybridMultilevel"/>
    <w:lvl w:ilvl="0">
      <w:lvlJc w:val="left"/>
      <w:lvlText w:val="2"/>
      <w:numFmt w:val="bullet"/>
      <w:start w:val="1"/>
    </w:lvl>
  </w:abstractNum>
  <w:abstractNum w:abstractNumId="281">
    <w:nsid w:val="496FB218"/>
    <w:multiLevelType w:val="hybridMultilevel"/>
    <w:lvl w:ilvl="0">
      <w:lvlJc w:val="left"/>
      <w:lvlText w:val="3"/>
      <w:numFmt w:val="bullet"/>
      <w:start w:val="1"/>
    </w:lvl>
  </w:abstractNum>
  <w:abstractNum w:abstractNumId="282">
    <w:nsid w:val="680EA5D1"/>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2019-12-28T12:58:50Z</dcterms:created>
  <dcterms:modified xsi:type="dcterms:W3CDTF">2019-12-28T12:58:50Z</dcterms:modified>
</cp:coreProperties>
</file>