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3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and Exchange Act of 1934</w:t>
      </w:r>
    </w:p>
    <w:p>
      <w:pPr>
        <w:spacing w:after="0" w:line="29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December 23, 2005 (December 19, 2005)</w:t>
      </w:r>
    </w:p>
    <w:p>
      <w:pPr>
        <w:spacing w:after="0" w:line="200" w:lineRule="exact"/>
        <w:rPr>
          <w:sz w:val="20"/>
          <w:szCs w:val="20"/>
          <w:color w:val="auto"/>
        </w:rPr>
      </w:pPr>
    </w:p>
    <w:p>
      <w:pPr>
        <w:jc w:val="center"/>
        <w:ind w:right="-399"/>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320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92"/>
              </w:rPr>
              <w:t>New York</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000-19034</w:t>
            </w:r>
          </w:p>
        </w:tc>
        <w:tc>
          <w:tcPr>
            <w:tcW w:w="1300" w:type="dxa"/>
            <w:vAlign w:val="bottom"/>
          </w:tcPr>
          <w:p>
            <w:pPr>
              <w:spacing w:after="0"/>
              <w:rPr>
                <w:sz w:val="17"/>
                <w:szCs w:val="17"/>
                <w:color w:val="auto"/>
              </w:rPr>
            </w:pPr>
          </w:p>
        </w:tc>
        <w:tc>
          <w:tcPr>
            <w:tcW w:w="3180" w:type="dxa"/>
            <w:vAlign w:val="bottom"/>
            <w:gridSpan w:val="5"/>
          </w:tcPr>
          <w:p>
            <w:pPr>
              <w:jc w:val="center"/>
              <w:ind w:left="1310"/>
              <w:spacing w:after="0"/>
              <w:rPr>
                <w:sz w:val="20"/>
                <w:szCs w:val="20"/>
                <w:color w:val="auto"/>
              </w:rPr>
            </w:pPr>
            <w:r>
              <w:rPr>
                <w:rFonts w:ascii="Arial" w:cs="Arial" w:eastAsia="Arial" w:hAnsi="Arial"/>
                <w:sz w:val="18"/>
                <w:szCs w:val="18"/>
                <w:b w:val="1"/>
                <w:bCs w:val="1"/>
                <w:color w:val="auto"/>
                <w:w w:val="90"/>
              </w:rPr>
              <w:t>133444607</w:t>
            </w:r>
          </w:p>
        </w:tc>
      </w:tr>
      <w:tr>
        <w:trPr>
          <w:trHeight w:val="20"/>
        </w:trPr>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8"/>
        </w:trPr>
        <w:tc>
          <w:tcPr>
            <w:tcW w:w="3700" w:type="dxa"/>
            <w:vAlign w:val="bottom"/>
            <w:gridSpan w:val="3"/>
          </w:tcPr>
          <w:p>
            <w:pPr>
              <w:jc w:val="center"/>
              <w:ind w:right="1940"/>
              <w:spacing w:after="0"/>
              <w:rPr>
                <w:sz w:val="20"/>
                <w:szCs w:val="20"/>
                <w:color w:val="auto"/>
              </w:rPr>
            </w:pPr>
            <w:r>
              <w:rPr>
                <w:rFonts w:ascii="Arial" w:cs="Arial" w:eastAsia="Arial" w:hAnsi="Arial"/>
                <w:sz w:val="18"/>
                <w:szCs w:val="18"/>
                <w:color w:val="auto"/>
                <w:w w:val="90"/>
              </w:rPr>
              <w:t>(State or other</w:t>
            </w:r>
          </w:p>
        </w:tc>
        <w:tc>
          <w:tcPr>
            <w:tcW w:w="2880" w:type="dxa"/>
            <w:vAlign w:val="bottom"/>
            <w:gridSpan w:val="4"/>
          </w:tcPr>
          <w:p>
            <w:pPr>
              <w:jc w:val="center"/>
              <w:ind w:right="500"/>
              <w:spacing w:after="0"/>
              <w:rPr>
                <w:sz w:val="20"/>
                <w:szCs w:val="20"/>
                <w:color w:val="auto"/>
              </w:rPr>
            </w:pPr>
            <w:r>
              <w:rPr>
                <w:rFonts w:ascii="Arial" w:cs="Arial" w:eastAsia="Arial" w:hAnsi="Arial"/>
                <w:sz w:val="18"/>
                <w:szCs w:val="18"/>
                <w:color w:val="auto"/>
                <w:w w:val="92"/>
              </w:rPr>
              <w:t>(Commission File Number)</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(I.R.S. Employer</w:t>
            </w:r>
          </w:p>
        </w:tc>
      </w:tr>
      <w:tr>
        <w:trPr>
          <w:trHeight w:val="220"/>
        </w:trPr>
        <w:tc>
          <w:tcPr>
            <w:tcW w:w="3700" w:type="dxa"/>
            <w:vAlign w:val="bottom"/>
            <w:gridSpan w:val="3"/>
          </w:tcPr>
          <w:p>
            <w:pPr>
              <w:jc w:val="center"/>
              <w:ind w:right="1920"/>
              <w:spacing w:after="0"/>
              <w:rPr>
                <w:sz w:val="20"/>
                <w:szCs w:val="20"/>
                <w:color w:val="auto"/>
              </w:rPr>
            </w:pPr>
            <w:r>
              <w:rPr>
                <w:rFonts w:ascii="Arial" w:cs="Arial" w:eastAsia="Arial" w:hAnsi="Arial"/>
                <w:sz w:val="18"/>
                <w:szCs w:val="18"/>
                <w:color w:val="auto"/>
                <w:w w:val="97"/>
              </w:rPr>
              <w:t>jurisdiction of</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6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3"/>
              </w:rPr>
              <w:t>Identification Number)</w:t>
            </w:r>
          </w:p>
        </w:tc>
      </w:tr>
      <w:tr>
        <w:trPr>
          <w:trHeight w:val="230"/>
        </w:trPr>
        <w:tc>
          <w:tcPr>
            <w:tcW w:w="3700" w:type="dxa"/>
            <w:vAlign w:val="bottom"/>
            <w:gridSpan w:val="3"/>
          </w:tcPr>
          <w:p>
            <w:pPr>
              <w:jc w:val="center"/>
              <w:ind w:right="1940"/>
              <w:spacing w:after="0"/>
              <w:rPr>
                <w:sz w:val="20"/>
                <w:szCs w:val="20"/>
                <w:color w:val="auto"/>
              </w:rPr>
            </w:pPr>
            <w:r>
              <w:rPr>
                <w:rFonts w:ascii="Arial" w:cs="Arial" w:eastAsia="Arial" w:hAnsi="Arial"/>
                <w:sz w:val="18"/>
                <w:szCs w:val="18"/>
                <w:color w:val="auto"/>
                <w:w w:val="94"/>
              </w:rPr>
              <w:t>incorporation)</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6580" w:type="dxa"/>
            <w:vAlign w:val="bottom"/>
            <w:gridSpan w:val="7"/>
          </w:tcPr>
          <w:p>
            <w:pPr>
              <w:jc w:val="center"/>
              <w:ind w:right="254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1880" w:type="dxa"/>
            <w:vAlign w:val="bottom"/>
            <w:gridSpan w:val="3"/>
          </w:tcPr>
          <w:p>
            <w:pPr>
              <w:ind w:left="720"/>
              <w:spacing w:after="0"/>
              <w:rPr>
                <w:sz w:val="20"/>
                <w:szCs w:val="20"/>
                <w:color w:val="auto"/>
              </w:rPr>
            </w:pPr>
            <w:r>
              <w:rPr>
                <w:rFonts w:ascii="Arial" w:cs="Arial" w:eastAsia="Arial" w:hAnsi="Arial"/>
                <w:sz w:val="18"/>
                <w:szCs w:val="18"/>
                <w:b w:val="1"/>
                <w:bCs w:val="1"/>
                <w:color w:val="auto"/>
              </w:rPr>
              <w:t>10591-6707</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7"/>
        </w:trPr>
        <w:tc>
          <w:tcPr>
            <w:tcW w:w="500" w:type="dxa"/>
            <w:vAlign w:val="bottom"/>
            <w:tcBorders>
              <w:top w:val="single" w:sz="8" w:color="auto"/>
            </w:tcBorders>
          </w:tcPr>
          <w:p>
            <w:pPr>
              <w:spacing w:after="0"/>
              <w:rPr>
                <w:sz w:val="20"/>
                <w:szCs w:val="20"/>
                <w:color w:val="auto"/>
              </w:rPr>
            </w:pPr>
          </w:p>
        </w:tc>
        <w:tc>
          <w:tcPr>
            <w:tcW w:w="32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2"/>
              </w:rPr>
              <w:t>(Zip Code)</w:t>
            </w:r>
          </w:p>
        </w:tc>
        <w:tc>
          <w:tcPr>
            <w:tcW w:w="1600" w:type="dxa"/>
            <w:vAlign w:val="bottom"/>
            <w:gridSpan w:val="3"/>
          </w:tcPr>
          <w:p>
            <w:pPr>
              <w:spacing w:after="0"/>
              <w:rPr>
                <w:sz w:val="20"/>
                <w:szCs w:val="20"/>
                <w:color w:val="auto"/>
              </w:rPr>
            </w:pPr>
          </w:p>
        </w:tc>
      </w:tr>
    </w:tbl>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27"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jc w:val="both"/>
        <w:ind w:left="700" w:right="40"/>
        <w:spacing w:after="0" w:line="286" w:lineRule="auto"/>
        <w:rPr>
          <w:sz w:val="20"/>
          <w:szCs w:val="20"/>
          <w:color w:val="auto"/>
        </w:rPr>
      </w:pPr>
      <w:r>
        <w:rPr>
          <w:rFonts w:ascii="Arial" w:cs="Arial" w:eastAsia="Arial" w:hAnsi="Arial"/>
          <w:sz w:val="17"/>
          <w:szCs w:val="17"/>
          <w:color w:val="auto"/>
        </w:rPr>
        <w:t>On December 19, 2005, the Compensation Committee of the Board of Directors of Regeneron Pharmaceuticals, Inc. (the “Company”) approved the following 2006 annual salaries and year-end 2005 cash bonus awards (paid in January 2006) to the specified named executive officers (as defined in Item 402(a)(3) of Regulation S-K promulgated by the Securities and Exchange Commission) of the Company:</w:t>
      </w:r>
    </w:p>
    <w:p>
      <w:pPr>
        <w:spacing w:after="0" w:line="161"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Name/Title</w:t>
            </w:r>
          </w:p>
        </w:tc>
        <w:tc>
          <w:tcPr>
            <w:tcW w:w="500" w:type="dxa"/>
            <w:vAlign w:val="bottom"/>
          </w:tcPr>
          <w:p>
            <w:pPr>
              <w:spacing w:after="0"/>
              <w:rPr>
                <w:sz w:val="14"/>
                <w:szCs w:val="14"/>
                <w:color w:val="auto"/>
              </w:rPr>
            </w:pPr>
          </w:p>
        </w:tc>
        <w:tc>
          <w:tcPr>
            <w:tcW w:w="2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2006 Salary (% increase from 2005)</w:t>
            </w:r>
          </w:p>
        </w:tc>
        <w:tc>
          <w:tcPr>
            <w:tcW w:w="520" w:type="dxa"/>
            <w:vAlign w:val="bottom"/>
          </w:tcPr>
          <w:p>
            <w:pPr>
              <w:spacing w:after="0"/>
              <w:rPr>
                <w:sz w:val="14"/>
                <w:szCs w:val="14"/>
                <w:color w:val="auto"/>
              </w:rPr>
            </w:pPr>
          </w:p>
        </w:tc>
        <w:tc>
          <w:tcPr>
            <w:tcW w:w="272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color w:val="auto"/>
              </w:rPr>
              <w:t>Cash Bonus</w:t>
            </w:r>
          </w:p>
        </w:tc>
      </w:tr>
      <w:tr>
        <w:trPr>
          <w:trHeight w:val="195"/>
        </w:trPr>
        <w:tc>
          <w:tcPr>
            <w:tcW w:w="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Leonard S. Schleifer, M.D., Ph.D.</w:t>
            </w:r>
          </w:p>
        </w:tc>
        <w:tc>
          <w:tcPr>
            <w:tcW w:w="500" w:type="dxa"/>
            <w:vAlign w:val="bottom"/>
          </w:tcPr>
          <w:p>
            <w:pPr>
              <w:spacing w:after="0"/>
              <w:rPr>
                <w:sz w:val="16"/>
                <w:szCs w:val="16"/>
                <w:color w:val="auto"/>
              </w:rPr>
            </w:pPr>
          </w:p>
        </w:tc>
        <w:tc>
          <w:tcPr>
            <w:tcW w:w="2760" w:type="dxa"/>
            <w:vAlign w:val="bottom"/>
          </w:tcPr>
          <w:p>
            <w:pPr>
              <w:jc w:val="right"/>
              <w:ind w:right="519"/>
              <w:spacing w:after="0" w:line="195" w:lineRule="exact"/>
              <w:rPr>
                <w:sz w:val="20"/>
                <w:szCs w:val="20"/>
                <w:color w:val="auto"/>
              </w:rPr>
            </w:pPr>
            <w:r>
              <w:rPr>
                <w:rFonts w:ascii="Arial" w:cs="Arial" w:eastAsia="Arial" w:hAnsi="Arial"/>
                <w:sz w:val="18"/>
                <w:szCs w:val="18"/>
                <w:color w:val="auto"/>
              </w:rPr>
              <w:t>$685,000 (2.9%)</w:t>
            </w:r>
          </w:p>
        </w:tc>
        <w:tc>
          <w:tcPr>
            <w:tcW w:w="520" w:type="dxa"/>
            <w:vAlign w:val="bottom"/>
          </w:tcPr>
          <w:p>
            <w:pPr>
              <w:spacing w:after="0"/>
              <w:rPr>
                <w:sz w:val="16"/>
                <w:szCs w:val="16"/>
                <w:color w:val="auto"/>
              </w:rPr>
            </w:pPr>
          </w:p>
        </w:tc>
        <w:tc>
          <w:tcPr>
            <w:tcW w:w="2720" w:type="dxa"/>
            <w:vAlign w:val="bottom"/>
          </w:tcPr>
          <w:p>
            <w:pPr>
              <w:jc w:val="right"/>
              <w:ind w:right="839"/>
              <w:spacing w:after="0" w:line="195" w:lineRule="exact"/>
              <w:rPr>
                <w:sz w:val="20"/>
                <w:szCs w:val="20"/>
                <w:color w:val="auto"/>
              </w:rPr>
            </w:pPr>
            <w:r>
              <w:rPr>
                <w:rFonts w:ascii="Arial" w:cs="Arial" w:eastAsia="Arial" w:hAnsi="Arial"/>
                <w:sz w:val="18"/>
                <w:szCs w:val="18"/>
                <w:color w:val="auto"/>
              </w:rPr>
              <w:t>$340,000</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c>
          <w:tcPr>
            <w:tcW w:w="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3260" w:type="dxa"/>
            <w:vAlign w:val="bottom"/>
            <w:gridSpan w:val="2"/>
          </w:tcPr>
          <w:p>
            <w:pPr>
              <w:jc w:val="right"/>
              <w:ind w:right="519"/>
              <w:spacing w:after="0"/>
              <w:rPr>
                <w:sz w:val="20"/>
                <w:szCs w:val="20"/>
                <w:color w:val="auto"/>
              </w:rPr>
            </w:pPr>
            <w:r>
              <w:rPr>
                <w:rFonts w:ascii="Arial" w:cs="Arial" w:eastAsia="Arial" w:hAnsi="Arial"/>
                <w:sz w:val="18"/>
                <w:szCs w:val="18"/>
                <w:color w:val="auto"/>
              </w:rPr>
              <w:t>$544,300 (4.5%)</w:t>
            </w:r>
          </w:p>
        </w:tc>
        <w:tc>
          <w:tcPr>
            <w:tcW w:w="3240" w:type="dxa"/>
            <w:vAlign w:val="bottom"/>
            <w:gridSpan w:val="2"/>
          </w:tcPr>
          <w:p>
            <w:pPr>
              <w:jc w:val="right"/>
              <w:ind w:right="839"/>
              <w:spacing w:after="0"/>
              <w:rPr>
                <w:sz w:val="20"/>
                <w:szCs w:val="20"/>
                <w:color w:val="auto"/>
              </w:rPr>
            </w:pPr>
            <w:r>
              <w:rPr>
                <w:rFonts w:ascii="Arial" w:cs="Arial" w:eastAsia="Arial" w:hAnsi="Arial"/>
                <w:sz w:val="18"/>
                <w:szCs w:val="18"/>
                <w:color w:val="auto"/>
              </w:rPr>
              <w:t>$280,000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Executive Vice President, Chief</w:t>
            </w:r>
          </w:p>
        </w:tc>
        <w:tc>
          <w:tcPr>
            <w:tcW w:w="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Scientific Officer and President,</w:t>
            </w:r>
          </w:p>
        </w:tc>
        <w:tc>
          <w:tcPr>
            <w:tcW w:w="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Regeneron Research Laboratories</w:t>
            </w:r>
          </w:p>
        </w:tc>
        <w:tc>
          <w:tcPr>
            <w:tcW w:w="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Murray A. Goldberg</w:t>
            </w:r>
          </w:p>
        </w:tc>
        <w:tc>
          <w:tcPr>
            <w:tcW w:w="3260" w:type="dxa"/>
            <w:vAlign w:val="bottom"/>
            <w:gridSpan w:val="2"/>
          </w:tcPr>
          <w:p>
            <w:pPr>
              <w:jc w:val="right"/>
              <w:ind w:right="519"/>
              <w:spacing w:after="0"/>
              <w:rPr>
                <w:sz w:val="20"/>
                <w:szCs w:val="20"/>
                <w:color w:val="auto"/>
              </w:rPr>
            </w:pPr>
            <w:r>
              <w:rPr>
                <w:rFonts w:ascii="Arial" w:cs="Arial" w:eastAsia="Arial" w:hAnsi="Arial"/>
                <w:sz w:val="18"/>
                <w:szCs w:val="18"/>
                <w:color w:val="auto"/>
              </w:rPr>
              <w:t>$374,300 (5.0%)</w:t>
            </w:r>
          </w:p>
        </w:tc>
        <w:tc>
          <w:tcPr>
            <w:tcW w:w="3240" w:type="dxa"/>
            <w:vAlign w:val="bottom"/>
            <w:gridSpan w:val="2"/>
          </w:tcPr>
          <w:p>
            <w:pPr>
              <w:jc w:val="right"/>
              <w:ind w:right="839"/>
              <w:spacing w:after="0"/>
              <w:rPr>
                <w:sz w:val="20"/>
                <w:szCs w:val="20"/>
                <w:color w:val="auto"/>
              </w:rPr>
            </w:pPr>
            <w:r>
              <w:rPr>
                <w:rFonts w:ascii="Arial" w:cs="Arial" w:eastAsia="Arial" w:hAnsi="Arial"/>
                <w:sz w:val="18"/>
                <w:szCs w:val="18"/>
                <w:color w:val="auto"/>
              </w:rPr>
              <w:t>$179,700</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Senior Vice President, Finance</w:t>
            </w:r>
          </w:p>
        </w:tc>
        <w:tc>
          <w:tcPr>
            <w:tcW w:w="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ind w:left="800" w:right="7560" w:firstLine="5"/>
        <w:spacing w:after="0" w:line="323" w:lineRule="auto"/>
        <w:tabs>
          <w:tab w:leader="none" w:pos="98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Administration, Chief Financial Officer, Treasurer, and Assistant Secretary</w:t>
      </w:r>
    </w:p>
    <w:p>
      <w:pPr>
        <w:spacing w:after="0" w:line="13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Neil Stahl, Ph.D.</w:t>
            </w:r>
          </w:p>
        </w:tc>
        <w:tc>
          <w:tcPr>
            <w:tcW w:w="3660" w:type="dxa"/>
            <w:vAlign w:val="bottom"/>
          </w:tcPr>
          <w:p>
            <w:pPr>
              <w:jc w:val="right"/>
              <w:ind w:right="1030"/>
              <w:spacing w:after="0"/>
              <w:rPr>
                <w:sz w:val="20"/>
                <w:szCs w:val="20"/>
                <w:color w:val="auto"/>
              </w:rPr>
            </w:pPr>
            <w:r>
              <w:rPr>
                <w:rFonts w:ascii="Arial" w:cs="Arial" w:eastAsia="Arial" w:hAnsi="Arial"/>
                <w:sz w:val="18"/>
                <w:szCs w:val="18"/>
                <w:color w:val="auto"/>
              </w:rPr>
              <w:t>$348,400 (4.5%)</w:t>
            </w:r>
          </w:p>
        </w:tc>
        <w:tc>
          <w:tcPr>
            <w:tcW w:w="1800" w:type="dxa"/>
            <w:vAlign w:val="bottom"/>
          </w:tcPr>
          <w:p>
            <w:pPr>
              <w:jc w:val="right"/>
              <w:spacing w:after="0"/>
              <w:rPr>
                <w:sz w:val="20"/>
                <w:szCs w:val="20"/>
                <w:color w:val="auto"/>
              </w:rPr>
            </w:pPr>
            <w:r>
              <w:rPr>
                <w:rFonts w:ascii="Arial" w:cs="Arial" w:eastAsia="Arial" w:hAnsi="Arial"/>
                <w:sz w:val="18"/>
                <w:szCs w:val="18"/>
                <w:color w:val="auto"/>
              </w:rPr>
              <w:t>$139,400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Senior Vice President, Preclinical</w:t>
            </w:r>
          </w:p>
        </w:tc>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Development and Biomolecular Science</w:t>
            </w:r>
          </w:p>
        </w:tc>
        <w:tc>
          <w:tcPr>
            <w:tcW w:w="36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Randall G. Rupp, Ph.D.</w:t>
            </w:r>
          </w:p>
        </w:tc>
        <w:tc>
          <w:tcPr>
            <w:tcW w:w="3660" w:type="dxa"/>
            <w:vAlign w:val="bottom"/>
          </w:tcPr>
          <w:p>
            <w:pPr>
              <w:jc w:val="right"/>
              <w:ind w:right="1030"/>
              <w:spacing w:after="0"/>
              <w:rPr>
                <w:sz w:val="20"/>
                <w:szCs w:val="20"/>
                <w:color w:val="auto"/>
              </w:rPr>
            </w:pPr>
            <w:r>
              <w:rPr>
                <w:rFonts w:ascii="Arial" w:cs="Arial" w:eastAsia="Arial" w:hAnsi="Arial"/>
                <w:sz w:val="18"/>
                <w:szCs w:val="18"/>
                <w:color w:val="auto"/>
              </w:rPr>
              <w:t>$339,100 (4.5%)</w:t>
            </w:r>
          </w:p>
        </w:tc>
        <w:tc>
          <w:tcPr>
            <w:tcW w:w="1800" w:type="dxa"/>
            <w:vAlign w:val="bottom"/>
          </w:tcPr>
          <w:p>
            <w:pPr>
              <w:jc w:val="right"/>
              <w:spacing w:after="0"/>
              <w:rPr>
                <w:sz w:val="20"/>
                <w:szCs w:val="20"/>
                <w:color w:val="auto"/>
              </w:rPr>
            </w:pPr>
            <w:r>
              <w:rPr>
                <w:rFonts w:ascii="Arial" w:cs="Arial" w:eastAsia="Arial" w:hAnsi="Arial"/>
                <w:sz w:val="18"/>
                <w:szCs w:val="18"/>
                <w:color w:val="auto"/>
              </w:rPr>
              <w:t>$125,500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Senior Vice President, Manufacturing</w:t>
            </w:r>
          </w:p>
        </w:tc>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Operations</w:t>
            </w:r>
          </w:p>
        </w:tc>
        <w:tc>
          <w:tcPr>
            <w:tcW w:w="366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31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December 23, 2005</w:t>
            </w: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By: /s/ Stuart Kolinski</w:t>
            </w:r>
          </w:p>
        </w:tc>
      </w:tr>
      <w:tr>
        <w:trPr>
          <w:trHeight w:val="195"/>
        </w:trPr>
        <w:tc>
          <w:tcPr>
            <w:tcW w:w="3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r>
      <w:tr>
        <w:trPr>
          <w:trHeight w:val="230"/>
        </w:trPr>
        <w:tc>
          <w:tcPr>
            <w:tcW w:w="3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r>
        <w:trPr>
          <w:trHeight w:val="621"/>
        </w:trPr>
        <w:tc>
          <w:tcPr>
            <w:tcW w:w="3660" w:type="dxa"/>
            <w:vAlign w:val="bottom"/>
          </w:tcPr>
          <w:p>
            <w:pPr>
              <w:spacing w:after="0"/>
              <w:rPr>
                <w:sz w:val="24"/>
                <w:szCs w:val="24"/>
                <w:color w:val="auto"/>
              </w:rPr>
            </w:pPr>
          </w:p>
        </w:tc>
        <w:tc>
          <w:tcPr>
            <w:tcW w:w="608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r>
    </w:tbl>
    <w:p>
      <w:pPr>
        <w:spacing w:after="0" w:line="1" w:lineRule="exact"/>
        <w:rPr>
          <w:sz w:val="20"/>
          <w:szCs w:val="20"/>
          <w:color w:val="auto"/>
        </w:rPr>
      </w:pPr>
    </w:p>
    <w:sectPr>
      <w:pgSz w:w="11900" w:h="16838" w:orient="portrait"/>
      <w:cols w:equalWidth="0" w:num="1">
        <w:col w:w="11420"/>
      </w:cols>
      <w:pgMar w:left="240" w:top="11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2019-12-11T22:24:39Z</dcterms:created>
  <dcterms:modified xsi:type="dcterms:W3CDTF">2019-12-11T22:24:39Z</dcterms:modified>
</cp:coreProperties>
</file>