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7050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050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33.42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468.14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469.8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11,343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470.83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11,143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471.34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11,043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474.88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10,970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475.31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10,643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476.16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10,443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479.21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9,943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482.82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33.42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327 shares of Company stock on March 9, 2020 at prices ranging from $475.19 to $475.68. Upon request by the Commission staff, the Company, or a security holder of the Company, the reporting person will provide full information regarding the number of shares sold by the reporting person on March 9, 2020 at each separate price.</w:t>
      </w: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March 9, 2020 at prices ranging from $476.15 to $476.17. Upon request by the Commission staff, the Company, or a security holder of the Company, the reporting person will provide full information regarding the number of shares sold by the reporting person on March 9, 2020 at each separate price.</w:t>
      </w: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500 shares of Company stock on March 9, 2020 at prices ranging from $479.05 to $479.34. Upon request by the Commission staff, the Company, or a security holder of the Company, the reporting person will provide full information regarding the number of shares sold by the reporting person on March 9, 2020 at each separate price.</w:t>
      </w: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March 9, 2020 at prices ranging from $482.51 to $482.98. Upon request by the Commission staff, the Company, or a security holder of the Company, the reporting person will provide full information regarding the number of shares sold by the reporting person on March 9, 2020 at each separate price.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/s/**Joseph L. Goldstein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03/09/2020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2020-03-10T15:07:01Z</dcterms:created>
  <dcterms:modified xsi:type="dcterms:W3CDTF">2020-03-10T15:07:01Z</dcterms:modified>
</cp:coreProperties>
</file>