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69.jpeg" ContentType="image/jpeg"/>
  <Override PartName="/word/media/image268.jpeg" ContentType="image/jpeg"/>
  <Override PartName="/word/media/image267.jpeg" ContentType="image/jpeg"/>
  <Override PartName="/word/media/image266.jpeg" ContentType="image/jpeg"/>
  <Override PartName="/word/media/image265.jpeg" ContentType="image/jpeg"/>
  <Override PartName="/word/media/image259.jpeg" ContentType="image/jpeg"/>
  <Override PartName="/word/media/image264.jpeg" ContentType="image/jpeg"/>
  <Override PartName="/word/media/image258.jpeg" ContentType="image/jpeg"/>
  <Override PartName="/word/media/image263.jpeg" ContentType="image/jpeg"/>
  <Override PartName="/word/media/image257.jpeg" ContentType="image/jpeg"/>
  <Override PartName="/word/media/image262.jpeg" ContentType="image/jpeg"/>
  <Override PartName="/word/media/image256.jpeg" ContentType="image/jpeg"/>
  <Override PartName="/word/media/image261.jpeg" ContentType="image/jpeg"/>
  <Override PartName="/word/media/image255.jpeg" ContentType="image/jpeg"/>
  <Override PartName="/word/media/image260.jpeg" ContentType="image/jpeg"/>
  <Override PartName="/word/media/image254.jpeg" ContentType="image/jpeg"/>
  <Override PartName="/word/media/image253.jpeg" ContentType="image/jpeg"/>
  <Override PartName="/word/media/image252.jpeg" ContentType="image/jpeg"/>
  <Override PartName="/word/media/image251.jpeg" ContentType="image/jpeg"/>
  <Override PartName="/word/media/image250.jpeg" ContentType="image/jpeg"/>
  <Override PartName="/word/media/image249.jpeg" ContentType="image/jpeg"/>
  <Override PartName="/word/media/image248.jpeg" ContentType="image/jpeg"/>
  <Override PartName="/word/media/image247.jpeg" ContentType="image/jpeg"/>
  <Override PartName="/word/media/image246.jpeg" ContentType="image/jpeg"/>
  <Override PartName="/word/media/image245.jpeg" ContentType="image/jpeg"/>
  <Override PartName="/word/media/image239.jpeg" ContentType="image/jpeg"/>
  <Override PartName="/word/media/image244.jpeg" ContentType="image/jpeg"/>
  <Override PartName="/word/media/image238.jpeg" ContentType="image/jpeg"/>
  <Override PartName="/word/media/image243.jpeg" ContentType="image/jpeg"/>
  <Override PartName="/word/media/image237.jpeg" ContentType="image/jpeg"/>
  <Override PartName="/word/media/image242.jpeg" ContentType="image/jpeg"/>
  <Override PartName="/word/media/image236.jpeg" ContentType="image/jpeg"/>
  <Override PartName="/word/media/image241.jpeg" ContentType="image/jpeg"/>
  <Override PartName="/word/media/image235.jpeg" ContentType="image/jpeg"/>
  <Override PartName="/word/media/image240.jpeg" ContentType="image/jpeg"/>
  <Override PartName="/word/media/image234.jpeg" ContentType="image/jpeg"/>
  <Override PartName="/word/media/image233.jpeg" ContentType="image/jpeg"/>
  <Override PartName="/word/media/image232.jpeg" ContentType="image/jpeg"/>
  <Override PartName="/word/media/image231.jpeg" ContentType="image/jpeg"/>
  <Override PartName="/word/media/image230.jpeg" ContentType="image/jpeg"/>
  <Override PartName="/word/media/image229.jpeg" ContentType="image/jpeg"/>
  <Override PartName="/word/media/image228.jpeg" ContentType="image/jpeg"/>
  <Override PartName="/word/media/image227.jpeg" ContentType="image/jpeg"/>
  <Override PartName="/word/media/image226.jpeg" ContentType="image/jpeg"/>
  <Override PartName="/word/media/image225.jpeg" ContentType="image/jpeg"/>
  <Override PartName="/word/media/image219.jpeg" ContentType="image/jpeg"/>
  <Override PartName="/word/media/image224.jpeg" ContentType="image/jpeg"/>
  <Override PartName="/word/media/image218.jpeg" ContentType="image/jpeg"/>
  <Override PartName="/word/media/image223.jpeg" ContentType="image/jpeg"/>
  <Override PartName="/word/media/image217.jpeg" ContentType="image/jpeg"/>
  <Override PartName="/word/media/image222.jpeg" ContentType="image/jpeg"/>
  <Override PartName="/word/media/image216.jpeg" ContentType="image/jpeg"/>
  <Override PartName="/word/media/image221.jpeg" ContentType="image/jpeg"/>
  <Override PartName="/word/media/image215.jpeg" ContentType="image/jpeg"/>
  <Override PartName="/word/media/image220.jpeg" ContentType="image/jpeg"/>
  <Override PartName="/word/media/image214.jpeg" ContentType="image/jpeg"/>
  <Override PartName="/word/media/image209.jpeg" ContentType="image/jpeg"/>
  <Override PartName="/word/media/image208.jpeg" ContentType="image/jpeg"/>
  <Override PartName="/word/media/image213.jpeg" ContentType="image/jpeg"/>
  <Override PartName="/word/media/image207.jpeg" ContentType="image/jpeg"/>
  <Override PartName="/word/media/image212.jpeg" ContentType="image/jpeg"/>
  <Override PartName="/word/media/image206.jpeg" ContentType="image/jpeg"/>
  <Override PartName="/word/media/image211.jpeg" ContentType="image/jpeg"/>
  <Override PartName="/word/media/image205.jpeg" ContentType="image/jpeg"/>
  <Override PartName="/word/media/image210.jpeg" ContentType="image/jpeg"/>
  <Override PartName="/word/media/image204.jpeg" ContentType="image/jpeg"/>
  <Override PartName="/word/media/image203.jpeg" ContentType="image/jpeg"/>
  <Override PartName="/word/media/image202.jpeg" ContentType="image/jpeg"/>
  <Override PartName="/word/media/image201.jpeg" ContentType="image/jpeg"/>
  <Override PartName="/word/media/image200.jpeg" ContentType="image/jpeg"/>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93.jpeg" ContentType="image/jpeg"/>
  <Override PartName="/word/media/image147.jpeg" ContentType="image/jpeg"/>
  <Override PartName="/word/media/image82.jpeg" ContentType="image/jpeg"/>
  <Override PartName="/word/media/image41.jpeg" ContentType="image/jpeg"/>
  <Override PartName="/word/media/image81.jpeg" ContentType="image/jpeg"/>
  <Override PartName="/word/media/image80.jpeg" ContentType="image/jpeg"/>
  <Override PartName="/word/media/image110.gif" ContentType="image/gif"/>
  <Override PartName="/word/media/image63.jpeg" ContentType="image/jpeg"/>
  <Override PartName="/word/media/image87.jpeg" ContentType="image/jpeg"/>
  <Override PartName="/word/media/image26.jpeg" ContentType="image/jpeg"/>
  <Override PartName="/word/media/image113.gif" ContentType="image/gif"/>
  <Override PartName="/word/media/image166.jpeg" ContentType="image/jpeg"/>
  <Override PartName="/word/media/image62.jpeg" ContentType="image/jpeg"/>
  <Override PartName="/word/media/image61.jpeg" ContentType="image/jpeg"/>
  <Override PartName="/word/media/image60.jpeg" ContentType="image/jpeg"/>
  <Override PartName="/word/media/image66.jpeg" ContentType="image/jpeg"/>
  <Override PartName="/word/media/image72.jpeg" ContentType="image/jpeg"/>
  <Override PartName="/word/media/image39.jpeg" ContentType="image/jpeg"/>
  <Override PartName="/word/media/image59.jpeg" ContentType="image/jpeg"/>
  <Override PartName="/word/media/image86.jpeg" ContentType="image/jpeg"/>
  <Override PartName="/word/media/image92.jpeg" ContentType="image/jpeg"/>
  <Override PartName="/word/media/image89.jpeg" ContentType="image/jpeg"/>
  <Override PartName="/word/media/image117.gif" ContentType="image/gif"/>
  <Override PartName="/word/media/image65.jpeg" ContentType="image/jpeg"/>
  <Override PartName="/word/media/image71.jpeg" ContentType="image/jpeg"/>
  <Override PartName="/word/media/image99.jpeg" ContentType="image/jpeg"/>
  <Override PartName="/word/media/image58.jpeg" ContentType="image/jpeg"/>
  <Override PartName="/word/media/image85.jpeg" ContentType="image/jpeg"/>
  <Override PartName="/word/media/image91.jpeg" ContentType="image/jpeg"/>
  <Override PartName="/word/media/image21.jpeg" ContentType="image/jpeg"/>
  <Override PartName="/word/media/image15.jpeg" ContentType="image/jpeg"/>
  <Override PartName="/word/media/image51.jpeg" ContentType="image/jpeg"/>
  <Override PartName="/word/media/image45.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56.jpeg" ContentType="image/jpeg"/>
  <Override PartName="/word/media/image13.jpeg" ContentType="image/jpeg"/>
  <Override PartName="/word/media/image43.jpeg" ContentType="image/jpeg"/>
  <Override PartName="/word/media/image49.jpeg" ContentType="image/jpeg"/>
  <Override PartName="/word/media/image55.jpeg" ContentType="image/jpeg"/>
  <Override PartName="/word/media/image12.jpeg" ContentType="image/jpeg"/>
  <Override PartName="/word/media/image42.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16.jpeg" ContentType="image/jpeg"/>
  <Override PartName="/word/media/image22.jpeg" ContentType="image/jpeg"/>
  <Override PartName="/word/media/image83.jpeg" ContentType="image/jpeg"/>
  <Override PartName="/word/media/image79.jpeg" ContentType="image/jpeg"/>
  <Override PartName="/word/media/image36.jpeg" ContentType="image/jpeg"/>
  <Override PartName="/word/media/image4.jpeg" ContentType="image/jpeg"/>
  <Override PartName="/word/media/image47.jpeg" ContentType="image/jpeg"/>
  <Override PartName="/word/media/image53.jpeg" ContentType="image/jpeg"/>
  <Override PartName="/word/media/image168.jpeg" ContentType="image/jpeg"/>
  <Override PartName="/word/media/image10.jpeg" ContentType="image/jpeg"/>
  <Override PartName="/word/media/image270.jpeg" ContentType="image/jpeg"/>
  <Override PartName="/word/media/image37.jpeg" ContentType="image/jpeg"/>
  <Override PartName="/word/media/image5.jpeg" ContentType="image/jpeg"/>
  <Override PartName="/word/media/image78.jpeg" ContentType="image/jpeg"/>
  <Override PartName="/word/media/image3.jpeg" ContentType="image/jpeg"/>
  <Override PartName="/word/media/image175.jpeg" ContentType="image/jpeg"/>
  <Override PartName="/word/media/image176.jpeg" ContentType="image/jpeg"/>
  <Override PartName="/word/media/image177.jpeg" ContentType="image/jpeg"/>
  <Override PartName="/word/media/image27.jpeg" ContentType="image/jpeg"/>
  <Override PartName="/word/media/image88.jpeg" ContentType="image/jpeg"/>
  <Override PartName="/word/media/image29.jpeg" ContentType="image/jpeg"/>
  <Override PartName="/word/media/image67.jpeg" ContentType="image/jpeg"/>
  <Override PartName="/word/media/image73.jpeg" ContentType="image/jpeg"/>
  <Override PartName="/word/media/image23.jpeg" ContentType="image/jpeg"/>
  <Override PartName="/word/media/image17.jpeg" ContentType="image/jpeg"/>
  <Override PartName="/word/media/image6.jpeg" ContentType="image/jpeg"/>
  <Override PartName="/word/media/image30.jpeg" ContentType="image/jpeg"/>
  <Override PartName="/word/media/image68.jpeg" ContentType="image/jpeg"/>
  <Override PartName="/word/media/image74.jpeg" ContentType="image/jpeg"/>
  <Override PartName="/word/media/image24.jpeg" ContentType="image/jpeg"/>
  <Override PartName="/word/media/image18.jpeg" ContentType="image/jpeg"/>
  <Override PartName="/word/media/image1.jpeg" ContentType="image/jpeg"/>
  <Override PartName="/word/media/image7.jpeg" ContentType="image/jpeg"/>
  <Override PartName="/word/media/image31.jpeg" ContentType="image/jpeg"/>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8.jpeg" ContentType="image/jpeg"/>
  <Override PartName="/word/media/image32.jpeg" ContentType="image/jpeg"/>
  <Override PartName="/word/media/image148.jpeg" ContentType="image/jpeg"/>
  <Override PartName="/word/media/image114.gif" ContentType="image/gif"/>
  <Override PartName="/word/media/image76.jpeg" ContentType="image/jpeg"/>
  <Override PartName="/word/media/image9.jpeg" ContentType="image/jpeg"/>
  <Override PartName="/word/media/image33.jpeg" ContentType="image/jpeg"/>
  <Override PartName="/word/media/image77.jpeg" ContentType="image/jpeg"/>
  <Override PartName="/word/media/image40.jpeg" ContentType="image/jpeg"/>
  <Override PartName="/word/media/image34.jpeg" ContentType="image/jpeg"/>
  <Override PartName="/word/media/image28.jpeg" ContentType="image/jpeg"/>
  <Override PartName="/word/media/image173.jpeg" ContentType="image/jpeg"/>
  <Override PartName="/word/media/image38.gif" ContentType="image/gif"/>
  <Override PartName="/word/media/image126.jpeg" ContentType="image/jpeg"/>
  <Override PartName="/word/media/image46.jpeg" ContentType="image/jpeg"/>
  <Override PartName="/word/media/image52.jpeg" ContentType="image/jpeg"/>
  <Override PartName="/word/media/image167.jpeg" ContentType="image/jpeg"/>
  <Override PartName="/word/media/image97.jpeg" ContentType="image/jpeg"/>
  <Override PartName="/word/media/image100.jpeg" ContentType="image/jpeg"/>
  <Override PartName="/word/media/image101.jpeg" ContentType="image/jpeg"/>
  <Override PartName="/word/media/image102.jpeg" ContentType="image/jpeg"/>
  <Override PartName="/word/media/image103.jpeg" ContentType="image/jpeg"/>
  <Override PartName="/word/media/image104.jpeg" ContentType="image/jpeg"/>
  <Override PartName="/word/media/image105.jpeg" ContentType="image/jpeg"/>
  <Override PartName="/word/media/image106.jpeg" ContentType="image/jpeg"/>
  <Override PartName="/word/media/image107.jpeg" ContentType="image/jpeg"/>
  <Override PartName="/word/media/image108.jpeg" ContentType="image/jpeg"/>
  <Override PartName="/word/media/image109.gif" ContentType="image/gif"/>
  <Override PartName="/word/media/image111.gif" ContentType="image/gif"/>
  <Override PartName="/word/media/image112.gif" ContentType="image/gif"/>
  <Override PartName="/word/media/image115.gif" ContentType="image/gif"/>
  <Override PartName="/word/media/image131.jpeg" ContentType="image/jpeg"/>
  <Override PartName="/word/media/image116.gif" ContentType="image/gif"/>
  <Override PartName="/word/media/image118.gif" ContentType="image/gif"/>
  <Override PartName="/word/media/image119.gif" ContentType="image/gif"/>
  <Override PartName="/word/media/image120.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media/image127.jpeg" ContentType="image/jpeg"/>
  <Override PartName="/word/media/image128.jpeg" ContentType="image/jpeg"/>
  <Override PartName="/word/media/image129.jpeg" ContentType="image/jpeg"/>
  <Override PartName="/word/media/image130.jpeg" ContentType="image/jpeg"/>
  <Override PartName="/word/media/image132.jpeg" ContentType="image/jpeg"/>
  <Override PartName="/word/media/image133.jpeg" ContentType="image/jpeg"/>
  <Override PartName="/word/media/image170.jpeg" ContentType="image/jpeg"/>
  <Override PartName="/word/media/image171.jpeg" ContentType="image/jpeg"/>
  <Override PartName="/word/media/image172.jpeg" ContentType="image/jpeg"/>
  <Override PartName="/word/media/image134.jpeg" ContentType="image/jpeg"/>
  <Override PartName="/word/media/image140.jpeg" ContentType="image/jpeg"/>
  <Override PartName="/word/media/image135.jpeg" ContentType="image/jpeg"/>
  <Override PartName="/word/media/image141.jpeg" ContentType="image/jpeg"/>
  <Override PartName="/word/media/image136.jpeg" ContentType="image/jpeg"/>
  <Override PartName="/word/media/image142.jpeg" ContentType="image/jpeg"/>
  <Override PartName="/word/media/image137.jpeg" ContentType="image/jpeg"/>
  <Override PartName="/word/media/image143.jpeg" ContentType="image/jpeg"/>
  <Override PartName="/word/media/image138.jpeg" ContentType="image/jpeg"/>
  <Override PartName="/word/media/image144.jpeg" ContentType="image/jpeg"/>
  <Override PartName="/word/media/image139.jpeg" ContentType="image/jpeg"/>
  <Override PartName="/word/media/image145.jpeg" ContentType="image/jpeg"/>
  <Override PartName="/word/media/image146.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60.jpeg" ContentType="image/jpeg"/>
  <Override PartName="/word/media/image154.jpeg" ContentType="image/jpeg"/>
  <Override PartName="/word/media/image161.jpeg" ContentType="image/jpeg"/>
  <Override PartName="/word/media/image155.jpeg" ContentType="image/jpeg"/>
  <Override PartName="/word/media/image162.jpeg" ContentType="image/jpeg"/>
  <Override PartName="/word/media/image156.jpeg" ContentType="image/jpeg"/>
  <Override PartName="/word/media/image157.jpeg" ContentType="image/jpeg"/>
  <Override PartName="/word/media/image163.jpeg" ContentType="image/jpeg"/>
  <Override PartName="/word/media/image158.jpeg" ContentType="image/jpeg"/>
  <Override PartName="/word/media/image164.jpeg" ContentType="image/jpeg"/>
  <Override PartName="/word/media/image174.jpeg" ContentType="image/jpeg"/>
  <Override PartName="/word/media/image178.jpeg" ContentType="image/jpeg"/>
  <Override PartName="/word/media/image179.jpeg" ContentType="image/jpeg"/>
  <Override PartName="/word/media/image180.jpeg" ContentType="image/jpeg"/>
  <Override PartName="/word/media/image181.jpeg" ContentType="image/jpeg"/>
  <Override PartName="/word/media/image182.jpeg" ContentType="image/jpeg"/>
  <Override PartName="/word/media/image183.jpeg" ContentType="image/jpeg"/>
  <Override PartName="/word/media/image184.jpeg" ContentType="image/jpeg"/>
  <Override PartName="/word/media/image190.jpeg" ContentType="image/jpeg"/>
  <Override PartName="/word/media/image185.jpeg" ContentType="image/jpeg"/>
  <Override PartName="/word/media/image191.jpeg" ContentType="image/jpeg"/>
  <Override PartName="/word/media/image186.jpeg" ContentType="image/jpeg"/>
  <Override PartName="/word/media/image192.jpeg" ContentType="image/jpeg"/>
  <Override PartName="/word/media/image187.jpeg" ContentType="image/jpeg"/>
  <Override PartName="/word/media/image193.jpeg" ContentType="image/jpeg"/>
  <Override PartName="/word/media/image188.jpeg" ContentType="image/jpeg"/>
  <Override PartName="/word/media/image194.jpeg" ContentType="image/jpeg"/>
  <Override PartName="/word/media/image189.jpeg" ContentType="image/jpeg"/>
  <Override PartName="/word/media/image195.jpeg" ContentType="image/jpeg"/>
  <Override PartName="/word/media/image35.gif" ContentType="image/gif"/>
  <Override PartName="/word/media/image196.jpeg" ContentType="image/jpeg"/>
  <Override PartName="/word/media/image197.jpeg" ContentType="image/jpeg"/>
  <Override PartName="/word/media/image198.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rFonts w:ascii="Arial;Helvetica;Sans-Serif" w:hAnsi="Arial;Helvetica;Sans-Serif"/>
          <w:b/>
          <w:i w:val="false"/>
          <w:caps w:val="false"/>
          <w:smallCaps w:val="false"/>
          <w:sz w:val="18"/>
        </w:rPr>
      </w:pPr>
      <w:bookmarkStart w:id="0" w:name="lregn2023_def14a.htm"/>
      <w:bookmarkStart w:id="1" w:name="kslregn2023_def14a"/>
      <w:bookmarkEnd w:id="0"/>
      <w:bookmarkEnd w:id="1"/>
      <w:r>
        <w:rPr>
          <w:rFonts w:ascii="Arial;Helvetica;Sans-Serif" w:hAnsi="Arial;Helvetica;Sans-Serif"/>
          <w:b/>
          <w:i w:val="false"/>
          <w:caps w:val="false"/>
          <w:smallCaps w:val="false"/>
          <w:sz w:val="18"/>
        </w:rPr>
        <w:t>UNITED STATES</w:t>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SECURITIES AND EXCHANGE COMMISSION</w:t>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Washington, D.C. 20549</w:t>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SCHEDULE 14A</w:t>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Proxy Statement Pursuant to Section 14(a) of the</w:t>
        <w:br/>
        <w:t>Securities Exchange Act of 1934 (Amendment No.     )</w:t>
      </w:r>
    </w:p>
    <w:p>
      <w:pPr>
        <w:pStyle w:val="TextBody"/>
        <w:jc w:val="center"/>
        <w:rPr>
          <w:caps w:val="false"/>
          <w:smallCaps w:val="false"/>
        </w:rPr>
      </w:pPr>
      <w:r>
        <w:rPr>
          <w:caps w:val="false"/>
          <w:smallCaps w:val="false"/>
        </w:rPr>
        <w:t> </w:t>
      </w:r>
    </w:p>
    <w:tbl>
      <w:tblPr>
        <w:tblW w:w="6190" w:type="dxa"/>
        <w:jc w:val="left"/>
        <w:tblInd w:w="0" w:type="dxa"/>
        <w:tblCellMar>
          <w:top w:w="0" w:type="dxa"/>
          <w:left w:w="0" w:type="dxa"/>
          <w:bottom w:w="0" w:type="dxa"/>
          <w:right w:w="0" w:type="dxa"/>
        </w:tblCellMar>
      </w:tblPr>
      <w:tblGrid>
        <w:gridCol w:w="390"/>
        <w:gridCol w:w="1970"/>
        <w:gridCol w:w="360"/>
        <w:gridCol w:w="3470"/>
      </w:tblGrid>
      <w:tr>
        <w:trPr/>
        <w:tc>
          <w:tcPr>
            <w:tcW w:w="390" w:type="dxa"/>
            <w:tcBorders/>
            <w:shd w:fill="auto" w:val="clear"/>
            <w:vAlign w:val="center"/>
          </w:tcPr>
          <w:p>
            <w:pPr>
              <w:pStyle w:val="TableContents"/>
              <w:spacing w:before="0" w:after="283"/>
              <w:jc w:val="right"/>
              <w:rPr/>
            </w:pPr>
            <w:r>
              <w:rPr/>
              <w:drawing>
                <wp:inline distT="0" distB="0" distL="0" distR="0">
                  <wp:extent cx="238125"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 cy="238125"/>
                          </a:xfrm>
                          <a:prstGeom prst="rect">
                            <a:avLst/>
                          </a:prstGeom>
                        </pic:spPr>
                      </pic:pic>
                    </a:graphicData>
                  </a:graphic>
                </wp:inline>
              </w:drawing>
            </w:r>
          </w:p>
        </w:tc>
        <w:tc>
          <w:tcPr>
            <w:tcW w:w="1970" w:type="dxa"/>
            <w:tcBorders/>
            <w:shd w:fill="auto" w:val="clear"/>
            <w:vAlign w:val="center"/>
          </w:tcPr>
          <w:p>
            <w:pPr>
              <w:pStyle w:val="TableContents"/>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18"/>
              </w:rPr>
              <w:t>Filed by the Registrant</w:t>
            </w:r>
          </w:p>
        </w:tc>
        <w:tc>
          <w:tcPr>
            <w:tcW w:w="360" w:type="dxa"/>
            <w:tcBorders/>
            <w:shd w:fill="auto" w:val="clear"/>
            <w:vAlign w:val="center"/>
          </w:tcPr>
          <w:p>
            <w:pPr>
              <w:pStyle w:val="TableContents"/>
              <w:spacing w:before="0" w:after="283"/>
              <w:rPr/>
            </w:pPr>
            <w:r>
              <w:rPr/>
              <w:drawing>
                <wp:inline distT="0" distB="0" distL="0" distR="0">
                  <wp:extent cx="228600" cy="22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8600" cy="228600"/>
                          </a:xfrm>
                          <a:prstGeom prst="rect">
                            <a:avLst/>
                          </a:prstGeom>
                        </pic:spPr>
                      </pic:pic>
                    </a:graphicData>
                  </a:graphic>
                </wp:inline>
              </w:drawing>
            </w:r>
          </w:p>
        </w:tc>
        <w:tc>
          <w:tcPr>
            <w:tcW w:w="3470" w:type="dxa"/>
            <w:tcBorders/>
            <w:shd w:fill="auto" w:val="clear"/>
            <w:vAlign w:val="center"/>
          </w:tcPr>
          <w:p>
            <w:pPr>
              <w:pStyle w:val="TableContents"/>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18"/>
              </w:rPr>
              <w:t>Filed by a Party other than the Registrant</w:t>
            </w:r>
          </w:p>
        </w:tc>
      </w:tr>
    </w:tbl>
    <w:p>
      <w:pPr>
        <w:pStyle w:val="TextBody"/>
        <w:jc w:val="center"/>
        <w:rPr>
          <w:caps w:val="false"/>
          <w:smallCaps w:val="false"/>
        </w:rPr>
      </w:pPr>
      <w:r>
        <w:rPr>
          <w:caps w:val="false"/>
          <w:smallCaps w:val="false"/>
        </w:rPr>
        <w:t> </w:t>
      </w:r>
    </w:p>
    <w:tbl>
      <w:tblPr>
        <w:tblW w:w="6875" w:type="dxa"/>
        <w:jc w:val="left"/>
        <w:tblInd w:w="0" w:type="dxa"/>
        <w:tblCellMar>
          <w:top w:w="40" w:type="dxa"/>
          <w:left w:w="40" w:type="dxa"/>
          <w:bottom w:w="28" w:type="dxa"/>
          <w:right w:w="40" w:type="dxa"/>
        </w:tblCellMar>
      </w:tblPr>
      <w:tblGrid>
        <w:gridCol w:w="375"/>
        <w:gridCol w:w="6500"/>
      </w:tblGrid>
      <w:tr>
        <w:trPr/>
        <w:tc>
          <w:tcPr>
            <w:tcW w:w="6875" w:type="dxa"/>
            <w:gridSpan w:val="2"/>
            <w:tcBorders>
              <w:top w:val="single" w:sz="2" w:space="0" w:color="000000"/>
              <w:left w:val="single" w:sz="2" w:space="0" w:color="000000"/>
              <w:bottom w:val="single" w:sz="2" w:space="0" w:color="000000"/>
              <w:right w:val="single" w:sz="2" w:space="0" w:color="000000"/>
            </w:tcBorders>
            <w:shd w:fill="F2F2F2" w:val="clear"/>
            <w:vAlign w:val="center"/>
          </w:tcPr>
          <w:p>
            <w:pPr>
              <w:pStyle w:val="TableContents"/>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Check the appropriate box:</w:t>
            </w:r>
          </w:p>
        </w:tc>
      </w:tr>
      <w:tr>
        <w:trPr/>
        <w:tc>
          <w:tcPr>
            <w:tcW w:w="375"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283"/>
              <w:jc w:val="center"/>
              <w:rPr/>
            </w:pPr>
            <w:r>
              <w:rPr/>
              <w:drawing>
                <wp:inline distT="0" distB="0" distL="0" distR="0">
                  <wp:extent cx="228600"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8600" cy="228600"/>
                          </a:xfrm>
                          <a:prstGeom prst="rect">
                            <a:avLst/>
                          </a:prstGeom>
                        </pic:spPr>
                      </pic:pic>
                    </a:graphicData>
                  </a:graphic>
                </wp:inline>
              </w:drawing>
            </w:r>
          </w:p>
        </w:tc>
        <w:tc>
          <w:tcPr>
            <w:tcW w:w="650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Preliminary Proxy Statement</w:t>
            </w:r>
          </w:p>
        </w:tc>
      </w:tr>
      <w:tr>
        <w:trPr/>
        <w:tc>
          <w:tcPr>
            <w:tcW w:w="375"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283"/>
              <w:jc w:val="center"/>
              <w:rPr/>
            </w:pPr>
            <w:r>
              <w:rPr/>
              <w:drawing>
                <wp:inline distT="0" distB="0" distL="0" distR="0">
                  <wp:extent cx="228600" cy="228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8600" cy="228600"/>
                          </a:xfrm>
                          <a:prstGeom prst="rect">
                            <a:avLst/>
                          </a:prstGeom>
                        </pic:spPr>
                      </pic:pic>
                    </a:graphicData>
                  </a:graphic>
                </wp:inline>
              </w:drawing>
            </w:r>
          </w:p>
        </w:tc>
        <w:tc>
          <w:tcPr>
            <w:tcW w:w="650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Confidential, for Use of the Commission Only (as permitted by Rule 14a-6(e)(2))</w:t>
            </w:r>
          </w:p>
        </w:tc>
      </w:tr>
      <w:tr>
        <w:trPr/>
        <w:tc>
          <w:tcPr>
            <w:tcW w:w="375"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283"/>
              <w:jc w:val="center"/>
              <w:rPr/>
            </w:pPr>
            <w:r>
              <w:rPr/>
              <w:drawing>
                <wp:inline distT="0" distB="0" distL="0" distR="0">
                  <wp:extent cx="228600" cy="228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8600" cy="228600"/>
                          </a:xfrm>
                          <a:prstGeom prst="rect">
                            <a:avLst/>
                          </a:prstGeom>
                        </pic:spPr>
                      </pic:pic>
                    </a:graphicData>
                  </a:graphic>
                </wp:inline>
              </w:drawing>
            </w:r>
          </w:p>
        </w:tc>
        <w:tc>
          <w:tcPr>
            <w:tcW w:w="650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Definitive Proxy Statement</w:t>
            </w:r>
          </w:p>
        </w:tc>
      </w:tr>
      <w:tr>
        <w:trPr/>
        <w:tc>
          <w:tcPr>
            <w:tcW w:w="375"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283"/>
              <w:jc w:val="center"/>
              <w:rPr/>
            </w:pPr>
            <w:r>
              <w:rPr/>
              <w:drawing>
                <wp:inline distT="0" distB="0" distL="0" distR="0">
                  <wp:extent cx="228600" cy="228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28600" cy="228600"/>
                          </a:xfrm>
                          <a:prstGeom prst="rect">
                            <a:avLst/>
                          </a:prstGeom>
                        </pic:spPr>
                      </pic:pic>
                    </a:graphicData>
                  </a:graphic>
                </wp:inline>
              </w:drawing>
            </w:r>
          </w:p>
        </w:tc>
        <w:tc>
          <w:tcPr>
            <w:tcW w:w="650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Definitive Additional Materials</w:t>
            </w:r>
          </w:p>
        </w:tc>
      </w:tr>
      <w:tr>
        <w:trPr/>
        <w:tc>
          <w:tcPr>
            <w:tcW w:w="375"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283"/>
              <w:jc w:val="center"/>
              <w:rPr/>
            </w:pPr>
            <w:r>
              <w:rPr/>
              <w:drawing>
                <wp:inline distT="0" distB="0" distL="0" distR="0">
                  <wp:extent cx="228600" cy="228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28600" cy="228600"/>
                          </a:xfrm>
                          <a:prstGeom prst="rect">
                            <a:avLst/>
                          </a:prstGeom>
                        </pic:spPr>
                      </pic:pic>
                    </a:graphicData>
                  </a:graphic>
                </wp:inline>
              </w:drawing>
            </w:r>
          </w:p>
        </w:tc>
        <w:tc>
          <w:tcPr>
            <w:tcW w:w="650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Soliciting Material under §240.14a-12</w:t>
            </w:r>
          </w:p>
        </w:tc>
      </w:tr>
    </w:tbl>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i w:val="false"/>
          <w:caps w:val="false"/>
          <w:smallCaps w:val="false"/>
          <w:sz w:val="40"/>
        </w:rPr>
      </w:pPr>
      <w:r>
        <w:rPr>
          <w:rFonts w:ascii="Arial;Helvetica;Sans-Serif" w:hAnsi="Arial;Helvetica;Sans-Serif"/>
          <w:b/>
          <w:i w:val="false"/>
          <w:caps w:val="false"/>
          <w:smallCaps w:val="false"/>
          <w:sz w:val="40"/>
        </w:rPr>
        <w:t>REGENERON PHARMACEUTICALS, INC.</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drawing>
          <wp:inline distT="0" distB="0" distL="0" distR="0">
            <wp:extent cx="2457450" cy="400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457450" cy="400050"/>
                    </a:xfrm>
                    <a:prstGeom prst="rect">
                      <a:avLst/>
                    </a:prstGeom>
                  </pic:spPr>
                </pic:pic>
              </a:graphicData>
            </a:graphic>
          </wp:inline>
        </w:drawing>
      </w:r>
    </w:p>
    <w:p>
      <w:pPr>
        <w:pStyle w:val="TextBody"/>
        <w:jc w:val="center"/>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(Name of Registrant as Specified In Its Charter)</w:t>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(Name of Person(s) Filing Proxy Statement, if other than the Registrant)</w:t>
      </w:r>
    </w:p>
    <w:p>
      <w:pPr>
        <w:pStyle w:val="TextBody"/>
        <w:jc w:val="center"/>
        <w:rPr>
          <w:caps w:val="false"/>
          <w:smallCaps w:val="false"/>
        </w:rPr>
      </w:pPr>
      <w:r>
        <w:rPr>
          <w:caps w:val="false"/>
          <w:smallCaps w:val="false"/>
        </w:rPr>
        <w:t> </w:t>
      </w:r>
    </w:p>
    <w:tbl>
      <w:tblPr>
        <w:tblW w:w="10040" w:type="dxa"/>
        <w:jc w:val="left"/>
        <w:tblInd w:w="0" w:type="dxa"/>
        <w:tblCellMar>
          <w:top w:w="40" w:type="dxa"/>
          <w:left w:w="40" w:type="dxa"/>
          <w:bottom w:w="28" w:type="dxa"/>
          <w:right w:w="40" w:type="dxa"/>
        </w:tblCellMar>
      </w:tblPr>
      <w:tblGrid>
        <w:gridCol w:w="375"/>
        <w:gridCol w:w="9665"/>
      </w:tblGrid>
      <w:tr>
        <w:trPr/>
        <w:tc>
          <w:tcPr>
            <w:tcW w:w="10040" w:type="dxa"/>
            <w:gridSpan w:val="2"/>
            <w:tcBorders>
              <w:top w:val="single" w:sz="2" w:space="0" w:color="000000"/>
              <w:left w:val="single" w:sz="2" w:space="0" w:color="000000"/>
              <w:bottom w:val="single" w:sz="2" w:space="0" w:color="000000"/>
              <w:right w:val="single" w:sz="2" w:space="0" w:color="000000"/>
            </w:tcBorders>
            <w:shd w:fill="F2F2F2" w:val="clear"/>
            <w:vAlign w:val="center"/>
          </w:tcPr>
          <w:p>
            <w:pPr>
              <w:pStyle w:val="TableContents"/>
              <w:spacing w:before="0" w:after="283"/>
              <w:jc w:val="left"/>
              <w:rPr>
                <w:b/>
                <w:sz w:val="20"/>
              </w:rPr>
            </w:pPr>
            <w:r>
              <w:rPr>
                <w:b/>
                <w:sz w:val="20"/>
              </w:rPr>
              <w:t>Payment of Filing Fee (Check all boxes that apply):</w:t>
            </w:r>
          </w:p>
        </w:tc>
      </w:tr>
      <w:tr>
        <w:trPr/>
        <w:tc>
          <w:tcPr>
            <w:tcW w:w="375" w:type="dxa"/>
            <w:tcBorders>
              <w:left w:val="single" w:sz="2" w:space="0" w:color="000000"/>
              <w:bottom w:val="single" w:sz="2" w:space="0" w:color="000000"/>
              <w:right w:val="single" w:sz="2" w:space="0" w:color="000000"/>
            </w:tcBorders>
            <w:shd w:fill="auto" w:val="clear"/>
            <w:tcMar>
              <w:top w:w="0" w:type="dxa"/>
              <w:left w:w="80" w:type="dxa"/>
              <w:right w:w="80" w:type="dxa"/>
            </w:tcMar>
            <w:vAlign w:val="center"/>
          </w:tcPr>
          <w:p>
            <w:pPr>
              <w:pStyle w:val="TableContents"/>
              <w:spacing w:before="0" w:after="283"/>
              <w:jc w:val="center"/>
              <w:rPr/>
            </w:pPr>
            <w:r>
              <w:rPr/>
              <w:drawing>
                <wp:inline distT="0" distB="0" distL="0" distR="0">
                  <wp:extent cx="228600" cy="228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28600" cy="228600"/>
                          </a:xfrm>
                          <a:prstGeom prst="rect">
                            <a:avLst/>
                          </a:prstGeom>
                        </pic:spPr>
                      </pic:pic>
                    </a:graphicData>
                  </a:graphic>
                </wp:inline>
              </w:drawing>
            </w:r>
          </w:p>
        </w:tc>
        <w:tc>
          <w:tcPr>
            <w:tcW w:w="9665" w:type="dxa"/>
            <w:tcBorders>
              <w:bottom w:val="single" w:sz="2" w:space="0" w:color="000000"/>
              <w:right w:val="single" w:sz="2" w:space="0" w:color="000000"/>
            </w:tcBorders>
            <w:shd w:fill="auto" w:val="clear"/>
            <w:tcMar>
              <w:top w:w="0" w:type="dxa"/>
              <w:left w:w="0" w:type="dxa"/>
              <w:right w:w="100" w:type="dxa"/>
            </w:tcMar>
            <w:vAlign w:val="center"/>
          </w:tcPr>
          <w:p>
            <w:pPr>
              <w:pStyle w:val="TableContents"/>
              <w:spacing w:before="0" w:after="283"/>
              <w:jc w:val="both"/>
              <w:rPr/>
            </w:pPr>
            <w:r>
              <w:rPr/>
              <w:t>No fee required</w:t>
            </w:r>
          </w:p>
        </w:tc>
      </w:tr>
      <w:tr>
        <w:trPr/>
        <w:tc>
          <w:tcPr>
            <w:tcW w:w="375" w:type="dxa"/>
            <w:tcBorders>
              <w:left w:val="single" w:sz="2" w:space="0" w:color="000000"/>
              <w:bottom w:val="single" w:sz="2" w:space="0" w:color="000000"/>
              <w:right w:val="single" w:sz="2" w:space="0" w:color="000000"/>
            </w:tcBorders>
            <w:shd w:fill="auto" w:val="clear"/>
            <w:tcMar>
              <w:top w:w="0" w:type="dxa"/>
              <w:left w:w="80" w:type="dxa"/>
              <w:right w:w="80" w:type="dxa"/>
            </w:tcMar>
            <w:vAlign w:val="center"/>
          </w:tcPr>
          <w:p>
            <w:pPr>
              <w:pStyle w:val="TableContents"/>
              <w:spacing w:before="0" w:after="283"/>
              <w:jc w:val="center"/>
              <w:rPr/>
            </w:pPr>
            <w:r>
              <w:rPr/>
              <w:drawing>
                <wp:inline distT="0" distB="0" distL="0" distR="0">
                  <wp:extent cx="228600" cy="228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28600" cy="228600"/>
                          </a:xfrm>
                          <a:prstGeom prst="rect">
                            <a:avLst/>
                          </a:prstGeom>
                        </pic:spPr>
                      </pic:pic>
                    </a:graphicData>
                  </a:graphic>
                </wp:inline>
              </w:drawing>
            </w:r>
          </w:p>
        </w:tc>
        <w:tc>
          <w:tcPr>
            <w:tcW w:w="9665" w:type="dxa"/>
            <w:tcBorders>
              <w:bottom w:val="single" w:sz="2" w:space="0" w:color="000000"/>
              <w:right w:val="single" w:sz="2" w:space="0" w:color="000000"/>
            </w:tcBorders>
            <w:shd w:fill="auto" w:val="clear"/>
            <w:tcMar>
              <w:top w:w="0" w:type="dxa"/>
              <w:left w:w="0" w:type="dxa"/>
              <w:right w:w="100" w:type="dxa"/>
            </w:tcMar>
            <w:vAlign w:val="center"/>
          </w:tcPr>
          <w:p>
            <w:pPr>
              <w:pStyle w:val="TableContents"/>
              <w:spacing w:before="0" w:after="283"/>
              <w:jc w:val="both"/>
              <w:rPr/>
            </w:pPr>
            <w:r>
              <w:rPr/>
              <w:t>Fee paid previously with preliminary materials</w:t>
            </w:r>
          </w:p>
        </w:tc>
      </w:tr>
      <w:tr>
        <w:trPr/>
        <w:tc>
          <w:tcPr>
            <w:tcW w:w="375" w:type="dxa"/>
            <w:tcBorders>
              <w:left w:val="single" w:sz="2" w:space="0" w:color="000000"/>
              <w:bottom w:val="single" w:sz="2" w:space="0" w:color="000000"/>
              <w:right w:val="single" w:sz="2" w:space="0" w:color="000000"/>
            </w:tcBorders>
            <w:shd w:fill="auto" w:val="clear"/>
            <w:tcMar>
              <w:top w:w="0" w:type="dxa"/>
              <w:left w:w="80" w:type="dxa"/>
              <w:right w:w="80" w:type="dxa"/>
            </w:tcMar>
            <w:vAlign w:val="center"/>
          </w:tcPr>
          <w:p>
            <w:pPr>
              <w:pStyle w:val="TableContents"/>
              <w:spacing w:before="0" w:after="283"/>
              <w:jc w:val="center"/>
              <w:rPr/>
            </w:pPr>
            <w:r>
              <w:rPr/>
              <w:drawing>
                <wp:inline distT="0" distB="0" distL="0" distR="0">
                  <wp:extent cx="228600" cy="228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28600" cy="228600"/>
                          </a:xfrm>
                          <a:prstGeom prst="rect">
                            <a:avLst/>
                          </a:prstGeom>
                        </pic:spPr>
                      </pic:pic>
                    </a:graphicData>
                  </a:graphic>
                </wp:inline>
              </w:drawing>
            </w:r>
          </w:p>
        </w:tc>
        <w:tc>
          <w:tcPr>
            <w:tcW w:w="9665" w:type="dxa"/>
            <w:tcBorders>
              <w:bottom w:val="single" w:sz="2" w:space="0" w:color="000000"/>
              <w:right w:val="single" w:sz="2" w:space="0" w:color="000000"/>
            </w:tcBorders>
            <w:shd w:fill="auto" w:val="clear"/>
            <w:tcMar>
              <w:top w:w="0" w:type="dxa"/>
              <w:left w:w="0" w:type="dxa"/>
              <w:right w:w="100" w:type="dxa"/>
            </w:tcMar>
            <w:vAlign w:val="center"/>
          </w:tcPr>
          <w:p>
            <w:pPr>
              <w:pStyle w:val="TableContents"/>
              <w:spacing w:before="0" w:after="283"/>
              <w:jc w:val="both"/>
              <w:rPr/>
            </w:pPr>
            <w:r>
              <w:rPr/>
              <w:t>Fee computed on table in exhibit required by Item 25(b) per Exchange Act Rules 14a-6(i)(1) and 0-11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drawing>
          <wp:inline distT="0" distB="0" distL="0" distR="0">
            <wp:extent cx="7620000" cy="10106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10106025"/>
                    </a:xfrm>
                    <a:prstGeom prst="rect">
                      <a:avLst/>
                    </a:prstGeom>
                  </pic:spPr>
                </pic:pic>
              </a:graphicData>
            </a:graphic>
          </wp:inline>
        </w:drawing>
      </w:r>
    </w:p>
    <w:p>
      <w:pPr>
        <w:pStyle w:val="HorizontalLine"/>
        <w:rPr/>
      </w:pPr>
      <w:r>
        <w:rPr/>
      </w:r>
    </w:p>
    <w:p>
      <w:pPr>
        <w:pStyle w:val="TextBody"/>
        <w:spacing w:before="0" w:after="0"/>
        <w:jc w:val="center"/>
        <w:rPr/>
      </w:pPr>
      <w:r>
        <w:rPr/>
        <w:drawing>
          <wp:inline distT="0" distB="0" distL="0" distR="0">
            <wp:extent cx="5991225" cy="5143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91225" cy="5143500"/>
                    </a:xfrm>
                    <a:prstGeom prst="rect">
                      <a:avLst/>
                    </a:prstGeom>
                  </pic:spPr>
                </pic:pic>
              </a:graphicData>
            </a:graphic>
          </wp:inline>
        </w:drawing>
      </w:r>
      <w:r>
        <w:rPr/>
        <w:t xml:space="preserve"> </w:t>
      </w:r>
    </w:p>
    <w:p>
      <w:pPr>
        <w:pStyle w:val="HorizontalLine"/>
        <w:rPr/>
      </w:pPr>
      <w:r>
        <w:rPr/>
      </w:r>
    </w:p>
    <w:p>
      <w:pPr>
        <w:pStyle w:val="TextBody"/>
        <w:spacing w:before="0" w:after="0"/>
        <w:jc w:val="center"/>
        <w:rPr/>
      </w:pPr>
      <w:r>
        <w:rPr/>
        <w:drawing>
          <wp:inline distT="0" distB="0" distL="0" distR="0">
            <wp:extent cx="7620000" cy="99250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9925050"/>
                    </a:xfrm>
                    <a:prstGeom prst="rect">
                      <a:avLst/>
                    </a:prstGeom>
                  </pic:spPr>
                </pic:pic>
              </a:graphicData>
            </a:graphic>
          </wp:inline>
        </w:drawing>
      </w:r>
    </w:p>
    <w:p>
      <w:pPr>
        <w:pStyle w:val="HorizontalLine"/>
        <w:rPr/>
      </w:pPr>
      <w:r>
        <w:rPr/>
      </w:r>
    </w:p>
    <w:p>
      <w:pPr>
        <w:pStyle w:val="TextBody"/>
        <w:jc w:val="center"/>
        <w:rPr/>
      </w:pPr>
      <w:r>
        <w:rPr/>
        <w:drawing>
          <wp:inline distT="0" distB="0" distL="0" distR="0">
            <wp:extent cx="7620000" cy="99631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9963150"/>
                    </a:xfrm>
                    <a:prstGeom prst="rect">
                      <a:avLst/>
                    </a:prstGeom>
                  </pic:spPr>
                </pic:pic>
              </a:graphicData>
            </a:graphic>
          </wp:inline>
        </w:drawing>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810"/>
        <w:gridCol w:w="60"/>
        <w:gridCol w:w="1335"/>
      </w:tblGrid>
      <w:tr>
        <w:trPr/>
        <w:tc>
          <w:tcPr>
            <w:tcW w:w="881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60" w:type="dxa"/>
            <w:tcBorders/>
            <w:shd w:fill="auto" w:val="clear"/>
            <w:vAlign w:val="center"/>
          </w:tcPr>
          <w:p>
            <w:pPr>
              <w:pStyle w:val="TableContents"/>
              <w:spacing w:before="0" w:after="283"/>
              <w:jc w:val="right"/>
              <w:rPr/>
            </w:pPr>
            <w:r>
              <w:rPr/>
              <w:t> </w:t>
            </w:r>
          </w:p>
        </w:tc>
        <w:tc>
          <w:tcPr>
            <w:tcW w:w="1335" w:type="dxa"/>
            <w:tcBorders/>
            <w:shd w:fill="auto" w:val="clear"/>
            <w:vAlign w:val="center"/>
          </w:tcPr>
          <w:p>
            <w:pPr>
              <w:pStyle w:val="TableContents"/>
              <w:spacing w:before="0" w:after="283"/>
              <w:jc w:val="right"/>
              <w:rPr/>
            </w:pPr>
            <w:r>
              <w:rPr/>
              <w:drawing>
                <wp:inline distT="0" distB="0" distL="0" distR="0">
                  <wp:extent cx="838200"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38200" cy="142875"/>
                          </a:xfrm>
                          <a:prstGeom prst="rect">
                            <a:avLst/>
                          </a:prstGeom>
                        </pic:spPr>
                      </pic:pic>
                    </a:graphicData>
                  </a:graphic>
                </wp:inline>
              </w:drawing>
            </w:r>
          </w:p>
        </w:tc>
      </w:tr>
    </w:tbl>
    <w:p>
      <w:pPr>
        <w:pStyle w:val="HorizontalLine"/>
        <w:rPr/>
      </w:pPr>
      <w:r>
        <w:rPr/>
      </w:r>
    </w:p>
    <w:p>
      <w:pPr>
        <w:pStyle w:val="TextBody"/>
        <w:jc w:val="left"/>
        <w:rPr/>
      </w:pPr>
      <w:r>
        <w:rPr/>
        <w:drawing>
          <wp:inline distT="0" distB="0" distL="0" distR="0">
            <wp:extent cx="7620000" cy="15525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00" cy="1552575"/>
                    </a:xfrm>
                    <a:prstGeom prst="rect">
                      <a:avLst/>
                    </a:prstGeom>
                  </pic:spPr>
                </pic:pic>
              </a:graphicData>
            </a:graphic>
          </wp:inline>
        </w:drawing>
      </w:r>
    </w:p>
    <w:p>
      <w:pPr>
        <w:pStyle w:val="Heading1"/>
        <w:pBdr/>
        <w:spacing w:before="0" w:after="705"/>
        <w:ind w:left="200" w:right="0" w:hanging="0"/>
        <w:jc w:val="left"/>
        <w:rPr>
          <w:rFonts w:ascii="Arial" w:hAnsi="Arial"/>
          <w:b/>
          <w:i w:val="false"/>
          <w:caps w:val="false"/>
          <w:smallCaps w:val="false"/>
          <w:color w:val="FFFFFF"/>
          <w:sz w:val="56"/>
        </w:rPr>
      </w:pPr>
      <w:bookmarkStart w:id="2" w:name="new_id"/>
      <w:bookmarkEnd w:id="2"/>
      <w:r>
        <w:rPr>
          <w:rFonts w:ascii="Arial" w:hAnsi="Arial"/>
          <w:b/>
          <w:i w:val="false"/>
          <w:caps w:val="false"/>
          <w:smallCaps w:val="false"/>
          <w:color w:val="FFFFFF"/>
          <w:sz w:val="56"/>
        </w:rPr>
        <w:t xml:space="preserve">COMPANY LETTER TO SHAREHOLDERS </w:t>
      </w:r>
    </w:p>
    <w:p>
      <w:pPr>
        <w:pStyle w:val="TextBody"/>
        <w:pBdr/>
        <w:spacing w:before="0" w:after="0"/>
        <w:ind w:left="0" w:right="0" w:hanging="0"/>
        <w:jc w:val="left"/>
        <w:rPr>
          <w:caps w:val="false"/>
          <w:smallCaps w:val="false"/>
          <w:color w:val="D31B5D"/>
          <w:bdr w:val="single" w:sz="12" w:space="2" w:color="245BA7"/>
        </w:rPr>
      </w:pPr>
      <w:r>
        <w:rPr>
          <w:caps w:val="false"/>
          <w:smallCaps w:val="false"/>
          <w:color w:val="D31B5D"/>
          <w:bdr w:val="single" w:sz="12" w:space="2" w:color="245BA7"/>
        </w:rPr>
        <w:t> </w:t>
      </w:r>
    </w:p>
    <w:p>
      <w:pPr>
        <w:pStyle w:val="Heading3"/>
        <w:pBdr/>
        <w:spacing w:before="0" w:after="0"/>
        <w:ind w:left="0" w:right="0" w:hanging="0"/>
        <w:jc w:val="left"/>
        <w:rPr>
          <w:rFonts w:ascii="Arial" w:hAnsi="Arial"/>
          <w:b/>
          <w:i w:val="false"/>
          <w:caps w:val="false"/>
          <w:smallCaps w:val="false"/>
          <w:color w:val="D31B5D"/>
          <w:sz w:val="30"/>
          <w:bdr w:val="single" w:sz="12" w:space="2" w:color="245BA7"/>
        </w:rPr>
      </w:pPr>
      <w:bookmarkStart w:id="3" w:name="new_id-0"/>
      <w:bookmarkEnd w:id="3"/>
      <w:r>
        <w:rPr>
          <w:rFonts w:ascii="Arial" w:hAnsi="Arial"/>
          <w:b/>
          <w:i w:val="false"/>
          <w:caps w:val="false"/>
          <w:smallCaps w:val="false"/>
          <w:color w:val="D31B5D"/>
          <w:sz w:val="30"/>
          <w:bdr w:val="single" w:sz="12" w:space="2" w:color="245BA7"/>
        </w:rPr>
        <w:t xml:space="preserve">DEAR FELLOW SHAREHOLDERS,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2022 was another productive year at Regeneron, marked by significant achievements that positioned us to reach more patients with our medicines while advancing our robust investigational pipeline and novel technologies. We are inspired by the incredible talent and dedication of our team who relentlessly pursue our mission of turning promising science into meaningful medicines. As we mark Regeneron’s 35</w:t>
      </w:r>
      <w:r>
        <w:rPr>
          <w:rFonts w:ascii="Arial" w:hAnsi="Arial"/>
          <w:b w:val="false"/>
          <w:i w:val="false"/>
          <w:caps w:val="false"/>
          <w:smallCaps w:val="false"/>
          <w:color w:val="000000"/>
          <w:sz w:val="12"/>
        </w:rPr>
        <w:t>th</w:t>
      </w:r>
      <w:r>
        <w:rPr>
          <w:rFonts w:ascii="Arial" w:hAnsi="Arial"/>
          <w:b w:val="false"/>
          <w:i w:val="false"/>
          <w:caps w:val="false"/>
          <w:smallCaps w:val="false"/>
          <w:color w:val="000000"/>
          <w:sz w:val="21"/>
        </w:rPr>
        <w:t xml:space="preserve"> year, we reflect on the fundamentals that have brought us to this point and look ahead with confidence that the best is yet to come.</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We believe the business strategy we pursued for decades will continue to drive our future success: we consistently prioritize investment in Regeneron’s research capabilities, homegrown technologies, and high-performing team – and we continue to complement our internal capabilities with highly productive external collaborations. Our strong performance in 2022 represents the fruits of this strategy and fuels the virtuous cycle of continuous reinvestment into the research and development (“R&amp;D”) engine that produced EYLEA</w:t>
      </w:r>
      <w:r>
        <w:rPr>
          <w:rFonts w:ascii="Arial" w:hAnsi="Arial"/>
          <w:b w:val="false"/>
          <w:i w:val="false"/>
          <w:caps w:val="false"/>
          <w:smallCaps w:val="false"/>
          <w:color w:val="000000"/>
          <w:sz w:val="12"/>
        </w:rPr>
        <w:t>®</w:t>
      </w:r>
      <w:r>
        <w:rPr>
          <w:rFonts w:ascii="Arial" w:hAnsi="Arial"/>
          <w:b w:val="false"/>
          <w:i w:val="false"/>
          <w:caps w:val="false"/>
          <w:smallCaps w:val="false"/>
          <w:color w:val="000000"/>
          <w:sz w:val="21"/>
        </w:rPr>
        <w:t xml:space="preserve"> (aflibercept) Injection, Dupixent</w:t>
      </w:r>
      <w:r>
        <w:rPr>
          <w:rFonts w:ascii="Arial" w:hAnsi="Arial"/>
          <w:b w:val="false"/>
          <w:i w:val="false"/>
          <w:caps w:val="false"/>
          <w:smallCaps w:val="false"/>
          <w:color w:val="000000"/>
          <w:sz w:val="12"/>
        </w:rPr>
        <w:t>®</w:t>
      </w:r>
      <w:r>
        <w:rPr>
          <w:rFonts w:ascii="Arial" w:hAnsi="Arial"/>
          <w:b w:val="false"/>
          <w:i w:val="false"/>
          <w:caps w:val="false"/>
          <w:smallCaps w:val="false"/>
          <w:color w:val="000000"/>
          <w:sz w:val="21"/>
        </w:rPr>
        <w:t xml:space="preserve"> (dupilumab), Libtayo</w:t>
      </w:r>
      <w:r>
        <w:rPr>
          <w:rFonts w:ascii="Arial" w:hAnsi="Arial"/>
          <w:b w:val="false"/>
          <w:i w:val="false"/>
          <w:caps w:val="false"/>
          <w:smallCaps w:val="false"/>
          <w:color w:val="000000"/>
          <w:sz w:val="12"/>
        </w:rPr>
        <w:t>®</w:t>
      </w:r>
      <w:r>
        <w:rPr>
          <w:rFonts w:ascii="Arial" w:hAnsi="Arial"/>
          <w:b w:val="false"/>
          <w:i w:val="false"/>
          <w:caps w:val="false"/>
          <w:smallCaps w:val="false"/>
          <w:color w:val="000000"/>
          <w:sz w:val="21"/>
        </w:rPr>
        <w:t xml:space="preserve"> (cemiplimab), and six other Regeneron medicines approved by the U.S. Food and Drug Administration (the “FDA”). This engine is also producing the medicines of the future, generating our clinical pipeline of over 30 distinct and largely homegrown assets, which we believe bodes well for our future prospects.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Looking ahead to 2023 and beyond, we expect to retain and grow our leadership positions in ophthalmology and allergic diseases while expanding our portfolio to include best-in-class oncology bispecific and costimulatory bispecific antibodies, as well as novel genetics medicine approaches such as CRISPR, gene silencing, and gene therapy.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In 2022, Regeneron, together with its collaborators, delivered record global net product sales of EYLEA, Dupixent, and Libtayo, contributing to full-year GAAP net income of $4.34 billion and total revenues of $12.17 billion. Total revenues grew 17% compared to 2021 when excluding contributions from our COVID-19 antibody cocktail REGEN-COV</w:t>
      </w:r>
      <w:r>
        <w:rPr>
          <w:rFonts w:ascii="Arial" w:hAnsi="Arial"/>
          <w:b w:val="false"/>
          <w:i w:val="false"/>
          <w:caps w:val="false"/>
          <w:smallCaps w:val="false"/>
          <w:color w:val="000000"/>
          <w:sz w:val="12"/>
        </w:rPr>
        <w:t>®</w:t>
      </w:r>
      <w:r>
        <w:rPr>
          <w:rFonts w:ascii="Arial" w:hAnsi="Arial"/>
          <w:b w:val="false"/>
          <w:i w:val="false"/>
          <w:caps w:val="false"/>
          <w:smallCaps w:val="false"/>
          <w:color w:val="000000"/>
          <w:sz w:val="21"/>
        </w:rPr>
        <w:t xml:space="preserve">/Ronapreve™ (casirivimab and imdevimab).1 In addition to investing nearly $3.6 billion in Regeneron’s R&amp;D capabilities in 2022, we have continued to execute on our capital allocation strategy. In 2022, we invested approximately $1.3 billion in business development initiatives and returned significant value to our shareholders through share repurchases, with $2.1 billion of our common stock repurchased in 2022 and nearly $10 billion repurchased since 2019.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These strong financial results were driven by execution on the following three strategic imperatives. </w:t>
      </w:r>
    </w:p>
    <w:p>
      <w:pPr>
        <w:pStyle w:val="TextBody"/>
        <w:pBdr/>
        <w:spacing w:before="0" w:after="120"/>
        <w:ind w:left="0" w:right="0" w:hanging="0"/>
        <w:jc w:val="left"/>
        <w:rPr>
          <w:rFonts w:ascii="Arial" w:hAnsi="Arial"/>
          <w:b w:val="false"/>
          <w:i w:val="false"/>
          <w:caps w:val="false"/>
          <w:smallCaps w:val="false"/>
          <w:color w:val="000000"/>
          <w:sz w:val="21"/>
        </w:rPr>
      </w:pPr>
      <w:r>
        <w:rPr>
          <w:rFonts w:ascii="Arial" w:hAnsi="Arial"/>
          <w:b/>
          <w:i w:val="false"/>
          <w:caps w:val="false"/>
          <w:smallCaps w:val="false"/>
          <w:color w:val="000000"/>
          <w:sz w:val="21"/>
        </w:rPr>
        <w:t>Fortify our leadership in the treatment of retinal diseases</w:t>
      </w:r>
      <w:r>
        <w:rPr>
          <w:rFonts w:ascii="Arial" w:hAnsi="Arial"/>
          <w:b w:val="false"/>
          <w:i w:val="false"/>
          <w:caps w:val="false"/>
          <w:smallCaps w:val="false"/>
          <w:color w:val="000000"/>
          <w:sz w:val="21"/>
        </w:rPr>
        <w:t xml:space="preserve">: </w:t>
      </w:r>
    </w:p>
    <w:p>
      <w:pPr>
        <w:pStyle w:val="TextBody"/>
        <w:spacing w:before="0" w:after="0"/>
        <w:ind w:left="0" w:right="30" w:hanging="0"/>
        <w:jc w:val="left"/>
        <w:rPr>
          <w:caps w:val="false"/>
          <w:smallCaps w:val="false"/>
          <w:color w:val="245BA7"/>
        </w:rPr>
      </w:pPr>
      <w:r>
        <w:rPr>
          <w:caps w:val="false"/>
          <w:smallCaps w:val="false"/>
          <w:color w:val="245BA7"/>
        </w:rPr>
        <w:t>•</w:t>
      </w:r>
    </w:p>
    <w:p>
      <w:pPr>
        <w:pStyle w:val="TextBody"/>
        <w:pBdr/>
        <w:spacing w:before="0" w:after="0"/>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EYLEA continued to be the No. 1 prescribed anti-VEGF treatment for retinal diseases in 2022, capturing approximately 75% of the branded market share and reaching more than 57 million injections globally since its launch 11 years ago. Global net product sales grew 4% year-over-year to $9.65 billion in 2022.2 In February 2023, EYLEA gained FDA approval as the first pharmacological treatment for infants with prematurity of retinopathy, expanding our opportunity to help some of the most vulnerable patients with unmet needs. </w:t>
      </w:r>
    </w:p>
    <w:p>
      <w:pPr>
        <w:pStyle w:val="TextBody"/>
        <w:spacing w:before="0" w:after="0"/>
        <w:ind w:left="0" w:right="30" w:hanging="0"/>
        <w:jc w:val="left"/>
        <w:rPr>
          <w:caps w:val="false"/>
          <w:smallCaps w:val="false"/>
          <w:color w:val="245BA7"/>
        </w:rPr>
      </w:pPr>
      <w:r>
        <w:rPr>
          <w:caps w:val="false"/>
          <w:smallCaps w:val="false"/>
          <w:color w:val="245BA7"/>
        </w:rPr>
        <w:t>•</w:t>
      </w:r>
    </w:p>
    <w:p>
      <w:pPr>
        <w:pStyle w:val="TextBody"/>
        <w:pBdr/>
        <w:spacing w:before="0" w:after="0"/>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In 2022, we also shared positive clinical trial results for aflibercept 8 mg, which demonstrated that extended dosing regimens in neovascular age-related macular degeneration and diabetic macular edema achieved non-inferiority in vision gains and a consistent safety profile compared to EYLEA’s eight-week dosing regimen. Given prescribers’ decade-plus experience with EYLEA, we believe that, over time, there is an opportunity for aflibercept 8 mg to significantly reduce the treatment burden for patients and to become a new standard of care for these conditions. Our Biologics License Application was accepted by the FDA for priority review, and we anticipate a decision by late June of this year.</w:t>
      </w:r>
    </w:p>
    <w:tbl>
      <w:tblPr>
        <w:tblW w:w="10205" w:type="dxa"/>
        <w:jc w:val="left"/>
        <w:tblInd w:w="0" w:type="dxa"/>
        <w:tblCellMar>
          <w:top w:w="45" w:type="dxa"/>
          <w:left w:w="0" w:type="dxa"/>
          <w:bottom w:w="0" w:type="dxa"/>
          <w:right w:w="0" w:type="dxa"/>
        </w:tblCellMar>
      </w:tblPr>
      <w:tblGrid>
        <w:gridCol w:w="226"/>
        <w:gridCol w:w="9979"/>
      </w:tblGrid>
      <w:tr>
        <w:trPr/>
        <w:tc>
          <w:tcPr>
            <w:tcW w:w="226" w:type="dxa"/>
            <w:tcBorders>
              <w:top w:val="single" w:sz="12" w:space="0" w:color="000000"/>
            </w:tcBorders>
            <w:shd w:fill="auto" w:val="clear"/>
            <w:vAlign w:val="center"/>
          </w:tcPr>
          <w:p>
            <w:pPr>
              <w:pStyle w:val="TableContents"/>
              <w:pBdr/>
              <w:spacing w:before="60" w:after="0"/>
              <w:ind w:left="0" w:right="0" w:hanging="0"/>
              <w:rPr>
                <w:rFonts w:ascii="Arial" w:hAnsi="Arial"/>
                <w:color w:val="245BA7"/>
                <w:sz w:val="20"/>
              </w:rPr>
            </w:pPr>
            <w:r>
              <w:rPr>
                <w:rFonts w:ascii="Arial" w:hAnsi="Arial"/>
                <w:color w:val="245BA7"/>
                <w:sz w:val="20"/>
              </w:rPr>
              <w:t>1</w:t>
            </w:r>
          </w:p>
        </w:tc>
        <w:tc>
          <w:tcPr>
            <w:tcW w:w="9979" w:type="dxa"/>
            <w:tcBorders>
              <w:top w:val="single" w:sz="12" w:space="0" w:color="000000"/>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The casirivimab and imdevimab antibody cocktail is known as REGEN-COV in the United States and Ronapreve in other countries. Regeneron records net product sales of REGEN-COV in the United States and Roche records net product sales of Ronapreve outside the United States. REGEN-COV was authorized under an emergency use authorization from the FDA for COVID-19 from November 2020 until January 2022 when the emergency use authorization was revised to exclude its use in geographic regions where infection or exposure is likely due to a variant that is not susceptible to the treatment. Revenues excluding REGEN-COV and Ronapreve is a measure not calculated in accordance with U.S. Generally Accepted Accounting Principles (“GAAP”). See Appendix A for a definition of this measure and a reconciliation of this measure to the most directly comparable GAAP financial measure.</w:t>
            </w:r>
          </w:p>
        </w:tc>
      </w:tr>
    </w:tbl>
    <w:tbl>
      <w:tblPr>
        <w:tblW w:w="7907" w:type="dxa"/>
        <w:jc w:val="left"/>
        <w:tblInd w:w="0" w:type="dxa"/>
        <w:tblCellMar>
          <w:top w:w="28" w:type="dxa"/>
          <w:left w:w="28" w:type="dxa"/>
          <w:bottom w:w="28" w:type="dxa"/>
          <w:right w:w="28" w:type="dxa"/>
        </w:tblCellMar>
      </w:tblPr>
      <w:tblGrid>
        <w:gridCol w:w="226"/>
        <w:gridCol w:w="7681"/>
      </w:tblGrid>
      <w:tr>
        <w:trPr/>
        <w:tc>
          <w:tcPr>
            <w:tcW w:w="226" w:type="dxa"/>
            <w:tcBorders/>
            <w:shd w:fill="auto" w:val="clear"/>
            <w:vAlign w:val="center"/>
          </w:tcPr>
          <w:p>
            <w:pPr>
              <w:pStyle w:val="TableContents"/>
              <w:pBdr/>
              <w:spacing w:before="60" w:after="0"/>
              <w:ind w:left="0" w:right="0" w:hanging="0"/>
              <w:rPr>
                <w:rFonts w:ascii="Arial" w:hAnsi="Arial"/>
                <w:color w:val="245BA7"/>
                <w:sz w:val="20"/>
              </w:rPr>
            </w:pPr>
            <w:r>
              <w:rPr>
                <w:rFonts w:ascii="Arial" w:hAnsi="Arial"/>
                <w:color w:val="245BA7"/>
                <w:sz w:val="20"/>
              </w:rPr>
              <w:t>2</w:t>
            </w:r>
          </w:p>
        </w:tc>
        <w:tc>
          <w:tcPr>
            <w:tcW w:w="7681"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Our collaborator Bayer records net product sales for EYLEA outside the United States.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810"/>
        <w:gridCol w:w="60"/>
        <w:gridCol w:w="1335"/>
      </w:tblGrid>
      <w:tr>
        <w:trPr/>
        <w:tc>
          <w:tcPr>
            <w:tcW w:w="881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60" w:type="dxa"/>
            <w:tcBorders/>
            <w:shd w:fill="auto" w:val="clear"/>
            <w:vAlign w:val="center"/>
          </w:tcPr>
          <w:p>
            <w:pPr>
              <w:pStyle w:val="TableContents"/>
              <w:spacing w:before="0" w:after="283"/>
              <w:jc w:val="right"/>
              <w:rPr/>
            </w:pPr>
            <w:r>
              <w:rPr/>
              <w:t> </w:t>
            </w:r>
          </w:p>
        </w:tc>
        <w:tc>
          <w:tcPr>
            <w:tcW w:w="1335" w:type="dxa"/>
            <w:tcBorders/>
            <w:shd w:fill="auto" w:val="clear"/>
            <w:vAlign w:val="center"/>
          </w:tcPr>
          <w:p>
            <w:pPr>
              <w:pStyle w:val="TableContents"/>
              <w:spacing w:before="0" w:after="283"/>
              <w:jc w:val="right"/>
              <w:rPr/>
            </w:pPr>
            <w:r>
              <w:rPr/>
              <w:drawing>
                <wp:inline distT="0" distB="0" distL="0" distR="0">
                  <wp:extent cx="838200"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38200" cy="142875"/>
                          </a:xfrm>
                          <a:prstGeom prst="rect">
                            <a:avLst/>
                          </a:prstGeom>
                        </pic:spPr>
                      </pic:pic>
                    </a:graphicData>
                  </a:graphic>
                </wp:inline>
              </w:drawing>
            </w:r>
          </w:p>
        </w:tc>
      </w:tr>
    </w:tbl>
    <w:p>
      <w:pPr>
        <w:pStyle w:val="HorizontalLine"/>
        <w:rPr/>
      </w:pPr>
      <w:r>
        <w:rPr/>
      </w:r>
    </w:p>
    <w:p>
      <w:pPr>
        <w:pStyle w:val="TextBody"/>
        <w:pBdr/>
        <w:spacing w:before="0" w:after="120"/>
        <w:ind w:left="0" w:right="0" w:hanging="0"/>
        <w:rPr>
          <w:rFonts w:ascii="Arial" w:hAnsi="Arial"/>
          <w:color w:val="000000"/>
          <w:sz w:val="21"/>
        </w:rPr>
      </w:pPr>
      <w:r>
        <w:rPr>
          <w:rFonts w:ascii="Arial" w:hAnsi="Arial"/>
          <w:b/>
          <w:color w:val="000000"/>
          <w:sz w:val="21"/>
        </w:rPr>
        <w:t>Maintain and grow Dupixent</w:t>
      </w:r>
      <w:r>
        <w:rPr>
          <w:rFonts w:ascii="Arial" w:hAnsi="Arial"/>
          <w:color w:val="000000"/>
          <w:sz w:val="21"/>
        </w:rPr>
        <w:t xml:space="preserve">: </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2022 was another banner year for Dupixent, which is now approved in five related type 2 inflammatory diseases. Global net product sales were approximately $8.7 billion in 2022, a year-over-year increase of 40%.3 Despite new competition in 2022, Dupixent strengthened its market-leading position in atopic dermatitis, asthma, and nasal polyps, and was also approved in new indications (eosinophilic esophagitis and prurigo nodularis), additional geographies, and patient populations as young as six months of age. </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These approvals meaningfully expanded the Dupixent commercial opportunity, with potential to reach even more patients across established and new indications. Regeneron and Sanofi recently announced exciting results from a pivotal trial demonstrating the potential of Dupixent to become the first biologic to treat chronic obstructive pulmonary disease in patients with type 2 inflammation by showing significant reduction in exacerbations compared to placebo and improvement in lung function and quality of life. We look forward to discussing these results with regulatory authorities. </w:t>
      </w:r>
    </w:p>
    <w:p>
      <w:pPr>
        <w:pStyle w:val="TextBody"/>
        <w:pBdr/>
        <w:spacing w:before="0" w:after="120"/>
        <w:ind w:left="0" w:right="0" w:hanging="0"/>
        <w:rPr>
          <w:rFonts w:ascii="Arial" w:hAnsi="Arial"/>
          <w:color w:val="000000"/>
          <w:sz w:val="21"/>
        </w:rPr>
      </w:pPr>
      <w:r>
        <w:rPr>
          <w:rFonts w:ascii="Arial" w:hAnsi="Arial"/>
          <w:b/>
          <w:color w:val="000000"/>
          <w:sz w:val="21"/>
        </w:rPr>
        <w:t>Advance our hematology/oncology portfolio:</w:t>
      </w:r>
      <w:r>
        <w:rPr>
          <w:rFonts w:ascii="Arial" w:hAnsi="Arial"/>
          <w:color w:val="000000"/>
          <w:sz w:val="21"/>
        </w:rPr>
        <w:t xml:space="preserve"> </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We made significant progress advancing our oncology portfolio and pipeline in 2022. Full-year global net product sales for Libtayo, our homegrown PD-1 inhibitor, grew 26% year-over-year to $578 million,4 and the medicine is now FDA approved in five indications. In addition, Regeneron acquired Sanofi’s share of global rights to Libtayo, which we viewed as a necessary step toward realizing the clinical and commercial potential of our diverse oncology portfolio. We can now fully explore multiple combinations with Libtayo as our foundation – including with our LAG3 antibody, fianlimab, costimulatory CD28 bispecifics, and CD3 bispecifics, among others. In 2022, we also completed our first-ever acquisition of another biotechnology company, Checkmate Pharmaceuticals, Inc., adding a new modality to our portfolio of potential combination-ready approaches for difficult-to-treat cancers and deepening our commitment to oncology.</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In 2023, we plan to report results from multiple studies and complete key regulatory submissions that will further establish our leadership in oncology.</w:t>
      </w:r>
    </w:p>
    <w:p>
      <w:pPr>
        <w:pStyle w:val="TextBody"/>
        <w:pBdr/>
        <w:spacing w:before="0" w:after="210"/>
        <w:ind w:left="0" w:right="0" w:hanging="0"/>
        <w:rPr>
          <w:rFonts w:ascii="Arial" w:hAnsi="Arial"/>
          <w:color w:val="000000"/>
          <w:sz w:val="21"/>
        </w:rPr>
      </w:pPr>
      <w:r>
        <w:rPr>
          <w:rFonts w:ascii="Arial" w:hAnsi="Arial"/>
          <w:color w:val="000000"/>
          <w:sz w:val="21"/>
        </w:rPr>
        <w:t xml:space="preserve">Beyond delivering on these three strategic imperatives in 2022, we were also focused on building the next chapter of scientific leadership at Regeneron. </w:t>
      </w:r>
    </w:p>
    <w:p>
      <w:pPr>
        <w:pStyle w:val="TextBody"/>
        <w:pBdr/>
        <w:spacing w:before="0" w:after="210"/>
        <w:ind w:left="0" w:right="0" w:hanging="0"/>
        <w:rPr>
          <w:rFonts w:ascii="Arial" w:hAnsi="Arial"/>
          <w:color w:val="000000"/>
          <w:sz w:val="21"/>
        </w:rPr>
      </w:pPr>
      <w:r>
        <w:rPr>
          <w:rFonts w:ascii="Arial" w:hAnsi="Arial"/>
          <w:color w:val="000000"/>
          <w:sz w:val="21"/>
        </w:rPr>
        <w:t>We made important progress in our human genetics research and genetics medicine technology efforts in 2022. The Regeneron Genetics Center</w:t>
      </w:r>
      <w:r>
        <w:rPr>
          <w:rFonts w:ascii="Arial" w:hAnsi="Arial"/>
          <w:color w:val="000000"/>
          <w:sz w:val="12"/>
        </w:rPr>
        <w:t>®</w:t>
      </w:r>
      <w:r>
        <w:rPr>
          <w:rFonts w:ascii="Arial" w:hAnsi="Arial"/>
          <w:color w:val="000000"/>
          <w:sz w:val="21"/>
        </w:rPr>
        <w:t xml:space="preserve"> (“RGC”) marked its tenth year and has built one of the largest and most diverse genomic biobanks in the world, yielding many actionable insights – another example of strategic reinvestment that has produced tangible benefits for our preclinical and clinical pipelines. In 2022, we announced that RGC scientists uncovered rare genetic loss-of-function mutations in the CIDEB gene that are associated with substantial protection from liver disease, including nonalcoholic steatohepatitis (“NASH”) and cirrhosis. Discoveries such as this open the door to potential new medicines for notoriously hard-to-treat diseases, whether via antibody therapeutics or other modalities. </w:t>
      </w:r>
    </w:p>
    <w:p>
      <w:pPr>
        <w:pStyle w:val="TextBody"/>
        <w:pBdr/>
        <w:spacing w:before="0" w:after="210"/>
        <w:ind w:left="0" w:right="0" w:hanging="0"/>
        <w:rPr>
          <w:rFonts w:ascii="Arial" w:hAnsi="Arial"/>
          <w:color w:val="000000"/>
          <w:sz w:val="21"/>
        </w:rPr>
      </w:pPr>
      <w:r>
        <w:rPr>
          <w:rFonts w:ascii="Arial" w:hAnsi="Arial"/>
          <w:color w:val="000000"/>
          <w:sz w:val="21"/>
        </w:rPr>
        <w:t xml:space="preserve">Our Regeneron Genetics Medicine group is exploring such approaches through strategic collaborations. For example, in collaboration with Intellia Therapeutics, Inc., we are working to advance potentially groundbreaking applications of CRISPR technology. In 2022, interim results from an ongoing Phase 1 study of NTLA-2001 showed our CRISPR/Cas9 therapy has the potential to become the first single-dose, </w:t>
      </w:r>
      <w:r>
        <w:rPr>
          <w:rFonts w:ascii="Arial" w:hAnsi="Arial"/>
          <w:i/>
          <w:color w:val="000000"/>
          <w:sz w:val="21"/>
        </w:rPr>
        <w:t>in vivo</w:t>
      </w:r>
      <w:r>
        <w:rPr>
          <w:rFonts w:ascii="Arial" w:hAnsi="Arial"/>
          <w:color w:val="000000"/>
          <w:sz w:val="21"/>
        </w:rPr>
        <w:t xml:space="preserve"> treatment to halt and even reverse the underlying cause of transthyretin (ATTR) amyloidosis. We are continuing to advance this program in 2023, as well as other genetics medicine projects, including those that explore gene silencing in hard-to-treat diseases such as NASH and Alzheimer’s disease.</w:t>
      </w:r>
    </w:p>
    <w:p>
      <w:pPr>
        <w:pStyle w:val="TextBody"/>
        <w:pBdr/>
        <w:spacing w:before="0" w:after="210"/>
        <w:ind w:left="0" w:right="0" w:hanging="0"/>
        <w:rPr>
          <w:rFonts w:ascii="Arial" w:hAnsi="Arial"/>
          <w:color w:val="000000"/>
          <w:sz w:val="21"/>
        </w:rPr>
      </w:pPr>
      <w:r>
        <w:rPr>
          <w:rFonts w:ascii="Arial" w:hAnsi="Arial"/>
          <w:color w:val="000000"/>
          <w:sz w:val="21"/>
        </w:rPr>
        <w:t xml:space="preserve">Finally, while we have entered a new phase of the COVID-19 pandemic, the virus is still present and disproportionately affecting people who are immunocompromised. Since need remains, we continue to identify and study novel antibodies that may provide treatment for, and protection against, new strains. We are progressing a unique candidate that appears to neutralize all known variants of the COVID-19 virus by binding to a highly conserved epitope of the spike protein, and we hope to begin clinical trials this year. </w:t>
      </w:r>
    </w:p>
    <w:p>
      <w:pPr>
        <w:pStyle w:val="TextBody"/>
        <w:pBdr/>
        <w:spacing w:before="0" w:after="210"/>
        <w:ind w:left="0" w:right="0" w:hanging="0"/>
        <w:rPr>
          <w:rFonts w:ascii="Arial" w:hAnsi="Arial"/>
          <w:color w:val="000000"/>
          <w:sz w:val="21"/>
        </w:rPr>
      </w:pPr>
      <w:r>
        <w:rPr>
          <w:rFonts w:ascii="Arial" w:hAnsi="Arial"/>
          <w:color w:val="000000"/>
          <w:sz w:val="21"/>
        </w:rPr>
        <w:t xml:space="preserve">In order to advance all this exciting work across the full drug discovery and development spectrum, we need a strong and committed team. We now have more than 12,000 dedicated employees across seven countries and are honored to be ranked once again among the top employers by </w:t>
      </w:r>
      <w:r>
        <w:rPr>
          <w:rFonts w:ascii="Arial" w:hAnsi="Arial"/>
          <w:i/>
          <w:color w:val="000000"/>
          <w:sz w:val="21"/>
        </w:rPr>
        <w:t>Science</w:t>
      </w:r>
      <w:r>
        <w:rPr>
          <w:rFonts w:ascii="Arial" w:hAnsi="Arial"/>
          <w:color w:val="000000"/>
          <w:sz w:val="21"/>
        </w:rPr>
        <w:t xml:space="preserve"> magazine. We are particularly proud of our industry-leading Industrial Operations and Product Supply team, who emphasize continual improvement and teamwork to ensure our medicines are safe and available for patients around the globe. To keep up with this talented and growing workforce, </w:t>
      </w:r>
    </w:p>
    <w:tbl>
      <w:tblPr>
        <w:tblW w:w="6317" w:type="dxa"/>
        <w:jc w:val="left"/>
        <w:tblInd w:w="0" w:type="dxa"/>
        <w:tblCellMar>
          <w:top w:w="45" w:type="dxa"/>
          <w:left w:w="0" w:type="dxa"/>
          <w:bottom w:w="0" w:type="dxa"/>
          <w:right w:w="0" w:type="dxa"/>
        </w:tblCellMar>
      </w:tblPr>
      <w:tblGrid>
        <w:gridCol w:w="226"/>
        <w:gridCol w:w="6091"/>
      </w:tblGrid>
      <w:tr>
        <w:trPr/>
        <w:tc>
          <w:tcPr>
            <w:tcW w:w="226" w:type="dxa"/>
            <w:tcBorders>
              <w:top w:val="single" w:sz="12" w:space="0" w:color="000000"/>
            </w:tcBorders>
            <w:shd w:fill="auto" w:val="clear"/>
            <w:vAlign w:val="center"/>
          </w:tcPr>
          <w:p>
            <w:pPr>
              <w:pStyle w:val="TableContents"/>
              <w:pBdr/>
              <w:spacing w:before="60" w:after="0"/>
              <w:ind w:left="0" w:right="0" w:hanging="0"/>
              <w:rPr>
                <w:rFonts w:ascii="Arial" w:hAnsi="Arial"/>
                <w:color w:val="245BA7"/>
                <w:sz w:val="20"/>
              </w:rPr>
            </w:pPr>
            <w:r>
              <w:rPr>
                <w:rFonts w:ascii="Arial" w:hAnsi="Arial"/>
                <w:color w:val="245BA7"/>
                <w:sz w:val="20"/>
              </w:rPr>
              <w:t>3</w:t>
            </w:r>
          </w:p>
        </w:tc>
        <w:tc>
          <w:tcPr>
            <w:tcW w:w="6091" w:type="dxa"/>
            <w:tcBorders>
              <w:top w:val="single" w:sz="12" w:space="0" w:color="000000"/>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Our collaborator Sanofi records global net product sales of Dupixent.</w:t>
            </w:r>
          </w:p>
        </w:tc>
      </w:tr>
    </w:tbl>
    <w:tbl>
      <w:tblPr>
        <w:tblW w:w="9812" w:type="dxa"/>
        <w:jc w:val="left"/>
        <w:tblInd w:w="0" w:type="dxa"/>
        <w:tblCellMar>
          <w:top w:w="28" w:type="dxa"/>
          <w:left w:w="28" w:type="dxa"/>
          <w:bottom w:w="28" w:type="dxa"/>
          <w:right w:w="28" w:type="dxa"/>
        </w:tblCellMar>
      </w:tblPr>
      <w:tblGrid>
        <w:gridCol w:w="226"/>
        <w:gridCol w:w="9586"/>
      </w:tblGrid>
      <w:tr>
        <w:trPr/>
        <w:tc>
          <w:tcPr>
            <w:tcW w:w="226" w:type="dxa"/>
            <w:tcBorders/>
            <w:shd w:fill="auto" w:val="clear"/>
            <w:vAlign w:val="center"/>
          </w:tcPr>
          <w:p>
            <w:pPr>
              <w:pStyle w:val="TableContents"/>
              <w:pBdr/>
              <w:spacing w:before="60" w:after="0"/>
              <w:ind w:left="0" w:right="0" w:hanging="0"/>
              <w:rPr>
                <w:rFonts w:ascii="Arial" w:hAnsi="Arial"/>
                <w:color w:val="245BA7"/>
                <w:sz w:val="20"/>
              </w:rPr>
            </w:pPr>
            <w:r>
              <w:rPr>
                <w:rFonts w:ascii="Arial" w:hAnsi="Arial"/>
                <w:color w:val="245BA7"/>
                <w:sz w:val="20"/>
              </w:rPr>
              <w:t>4</w:t>
            </w:r>
          </w:p>
        </w:tc>
        <w:tc>
          <w:tcPr>
            <w:tcW w:w="958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Prior to July 1, 2022, our collaborator Sanofi recorded net product sales of Libtayo outside the United States.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810"/>
        <w:gridCol w:w="60"/>
        <w:gridCol w:w="1335"/>
      </w:tblGrid>
      <w:tr>
        <w:trPr/>
        <w:tc>
          <w:tcPr>
            <w:tcW w:w="881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60" w:type="dxa"/>
            <w:tcBorders/>
            <w:shd w:fill="auto" w:val="clear"/>
            <w:vAlign w:val="center"/>
          </w:tcPr>
          <w:p>
            <w:pPr>
              <w:pStyle w:val="TableContents"/>
              <w:spacing w:before="0" w:after="283"/>
              <w:jc w:val="right"/>
              <w:rPr/>
            </w:pPr>
            <w:r>
              <w:rPr/>
              <w:t> </w:t>
            </w:r>
          </w:p>
        </w:tc>
        <w:tc>
          <w:tcPr>
            <w:tcW w:w="1335" w:type="dxa"/>
            <w:tcBorders/>
            <w:shd w:fill="auto" w:val="clear"/>
            <w:vAlign w:val="center"/>
          </w:tcPr>
          <w:p>
            <w:pPr>
              <w:pStyle w:val="TableContents"/>
              <w:spacing w:before="0" w:after="283"/>
              <w:jc w:val="right"/>
              <w:rPr/>
            </w:pPr>
            <w:r>
              <w:rPr/>
              <w:drawing>
                <wp:inline distT="0" distB="0" distL="0" distR="0">
                  <wp:extent cx="838200"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38200" cy="142875"/>
                          </a:xfrm>
                          <a:prstGeom prst="rect">
                            <a:avLst/>
                          </a:prstGeom>
                        </pic:spPr>
                      </pic:pic>
                    </a:graphicData>
                  </a:graphic>
                </wp:inline>
              </w:drawing>
            </w:r>
          </w:p>
        </w:tc>
      </w:tr>
    </w:tbl>
    <w:p>
      <w:pPr>
        <w:pStyle w:val="HorizontalLine"/>
        <w:rPr/>
      </w:pPr>
      <w:r>
        <w:rPr/>
      </w:r>
    </w:p>
    <w:p>
      <w:pPr>
        <w:pStyle w:val="TextBody"/>
        <w:pBdr/>
        <w:spacing w:before="0" w:after="210"/>
        <w:ind w:left="0" w:right="0" w:hanging="0"/>
        <w:rPr>
          <w:rFonts w:ascii="Arial" w:hAnsi="Arial"/>
          <w:color w:val="000000"/>
          <w:sz w:val="21"/>
        </w:rPr>
      </w:pPr>
      <w:r>
        <w:rPr>
          <w:rFonts w:ascii="Arial" w:hAnsi="Arial"/>
          <w:color w:val="000000"/>
          <w:sz w:val="21"/>
        </w:rPr>
        <w:t>we are taking steps to ensure we retain our nimble and innovative culture and to invest in our facilities, with a $1.8 billion project underway at our headquarters in Tarrytown, N.Y. and a new 350,000 square foot manufacturing facility in Rensselaer, N.Y.</w:t>
      </w:r>
    </w:p>
    <w:p>
      <w:pPr>
        <w:pStyle w:val="TextBody"/>
        <w:pBdr/>
        <w:spacing w:before="0" w:after="210"/>
        <w:ind w:left="0" w:right="0" w:hanging="0"/>
        <w:rPr>
          <w:rFonts w:ascii="Arial" w:hAnsi="Arial"/>
          <w:color w:val="000000"/>
          <w:sz w:val="21"/>
        </w:rPr>
      </w:pPr>
      <w:r>
        <w:rPr>
          <w:rFonts w:ascii="Arial" w:hAnsi="Arial"/>
          <w:color w:val="000000"/>
          <w:sz w:val="21"/>
        </w:rPr>
        <w:t xml:space="preserve">Our employees do not just focus on getting things done, but care about </w:t>
      </w:r>
      <w:r>
        <w:rPr>
          <w:rFonts w:ascii="Arial" w:hAnsi="Arial"/>
          <w:i/>
          <w:color w:val="000000"/>
          <w:sz w:val="21"/>
        </w:rPr>
        <w:t>how</w:t>
      </w:r>
      <w:r>
        <w:rPr>
          <w:rFonts w:ascii="Arial" w:hAnsi="Arial"/>
          <w:color w:val="000000"/>
          <w:sz w:val="21"/>
        </w:rPr>
        <w:t xml:space="preserve"> we do this – with precision, ingenuity, and the highest ethical standards. These priorities are consistent with our company motto of “Doing Well by Doing Good” and our company values and behaviors known as The Regeneron Way. We invite you to read more about our efforts to improve the lives of people with serious diseases, sustain our culture of integrity and excellence, and build sustainable communities in our 2022 Responsibility Report and our inaugural Diversity, Equity, and Inclusion (“DEI”) Annual Impact Report. Notably, we believe our DEI strategy to build a “Better Workplace, Better Science, Better World” provides a framework to cultivate talent, fuel discovery, and advance our business.</w:t>
      </w:r>
    </w:p>
    <w:p>
      <w:pPr>
        <w:pStyle w:val="TextBody"/>
        <w:pBdr/>
        <w:spacing w:before="0" w:after="210"/>
        <w:ind w:left="0" w:right="0" w:hanging="0"/>
        <w:rPr>
          <w:rFonts w:ascii="Arial" w:hAnsi="Arial"/>
          <w:color w:val="000000"/>
          <w:sz w:val="21"/>
        </w:rPr>
      </w:pPr>
      <w:r>
        <w:rPr>
          <w:rFonts w:ascii="Arial" w:hAnsi="Arial"/>
          <w:color w:val="000000"/>
          <w:sz w:val="21"/>
        </w:rPr>
        <w:t xml:space="preserve">On a personal note from Roy, this will be my last letter to shareholders. I have had the privilege of serving as Chair for nearly three decades and watched with pride as Regeneron has transformed from a small biotechnology company with big ideas into a successful research-based biopharmaceutical company that improves the lives of millions of patients. I am confident that the Company under the leadership of Len, George, and Christine Poon, who will assume the role of lead independent director, will continue to bring forward value to society and shareholders. </w:t>
      </w:r>
    </w:p>
    <w:p>
      <w:pPr>
        <w:pStyle w:val="TextBody"/>
        <w:pBdr/>
        <w:spacing w:before="0" w:after="210"/>
        <w:ind w:left="0" w:right="0" w:hanging="0"/>
        <w:rPr>
          <w:rFonts w:ascii="Arial" w:hAnsi="Arial"/>
          <w:color w:val="000000"/>
          <w:sz w:val="21"/>
        </w:rPr>
      </w:pPr>
      <w:r>
        <w:rPr>
          <w:rFonts w:ascii="Arial" w:hAnsi="Arial"/>
          <w:color w:val="000000"/>
          <w:sz w:val="21"/>
        </w:rPr>
        <w:t>Collectively, we remain assured in our near- and long-term growth prospects, with an increasingly diverse commercial portfolio reaching new patients and geographies, clinical trial initiations expected for numerous new therapeutic candidates, and one of the most innovative R&amp;D engines in the industry. In our 35</w:t>
      </w:r>
      <w:r>
        <w:rPr>
          <w:rFonts w:ascii="Arial" w:hAnsi="Arial"/>
          <w:color w:val="000000"/>
          <w:sz w:val="12"/>
        </w:rPr>
        <w:t>th</w:t>
      </w:r>
      <w:r>
        <w:rPr>
          <w:rFonts w:ascii="Arial" w:hAnsi="Arial"/>
          <w:color w:val="000000"/>
          <w:sz w:val="21"/>
        </w:rPr>
        <w:t xml:space="preserve"> year, we are proud to say that Regeneron is extremely well positioned to continue executing on our mission and delivering breakthroughs for patients and healthcare professionals around the world. </w:t>
      </w:r>
    </w:p>
    <w:p>
      <w:pPr>
        <w:pStyle w:val="TextBody"/>
        <w:pBdr/>
        <w:spacing w:before="0" w:after="60"/>
        <w:ind w:left="0" w:right="0" w:hanging="0"/>
        <w:rPr>
          <w:rFonts w:ascii="Arial" w:hAnsi="Arial"/>
          <w:color w:val="000000"/>
          <w:sz w:val="21"/>
        </w:rPr>
      </w:pPr>
      <w:r>
        <w:rPr>
          <w:rFonts w:ascii="Arial" w:hAnsi="Arial"/>
          <w:color w:val="000000"/>
          <w:sz w:val="21"/>
        </w:rPr>
        <w:t>Sincerely,</w:t>
      </w:r>
    </w:p>
    <w:tbl>
      <w:tblPr>
        <w:tblW w:w="9688" w:type="dxa"/>
        <w:jc w:val="left"/>
        <w:tblInd w:w="0" w:type="dxa"/>
        <w:tblCellMar>
          <w:top w:w="28" w:type="dxa"/>
          <w:left w:w="28" w:type="dxa"/>
          <w:bottom w:w="28" w:type="dxa"/>
          <w:right w:w="28" w:type="dxa"/>
        </w:tblCellMar>
      </w:tblPr>
      <w:tblGrid>
        <w:gridCol w:w="2426"/>
        <w:gridCol w:w="3646"/>
        <w:gridCol w:w="3616"/>
      </w:tblGrid>
      <w:tr>
        <w:trPr/>
        <w:tc>
          <w:tcPr>
            <w:tcW w:w="2426" w:type="dxa"/>
            <w:tcBorders/>
            <w:shd w:fill="auto" w:val="clear"/>
            <w:vAlign w:val="center"/>
          </w:tcPr>
          <w:p>
            <w:pPr>
              <w:pStyle w:val="TableContents"/>
              <w:spacing w:before="0" w:after="283"/>
              <w:jc w:val="left"/>
              <w:rPr/>
            </w:pPr>
            <w:r>
              <w:rPr/>
              <w:drawing>
                <wp:inline distT="0" distB="38100" distL="0" distR="0">
                  <wp:extent cx="1438275" cy="4000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438275" cy="400050"/>
                          </a:xfrm>
                          <a:prstGeom prst="rect">
                            <a:avLst/>
                          </a:prstGeom>
                        </pic:spPr>
                      </pic:pic>
                    </a:graphicData>
                  </a:graphic>
                </wp:inline>
              </w:drawing>
            </w:r>
            <w:r>
              <w:rPr/>
              <w:t xml:space="preserve"> </w:t>
            </w:r>
          </w:p>
        </w:tc>
        <w:tc>
          <w:tcPr>
            <w:tcW w:w="3646" w:type="dxa"/>
            <w:tcBorders/>
            <w:shd w:fill="auto" w:val="clear"/>
            <w:vAlign w:val="center"/>
          </w:tcPr>
          <w:p>
            <w:pPr>
              <w:pStyle w:val="TableContents"/>
              <w:spacing w:before="0" w:after="283"/>
              <w:jc w:val="left"/>
              <w:rPr/>
            </w:pPr>
            <w:r>
              <w:rPr/>
              <w:drawing>
                <wp:inline distT="0" distB="38100" distL="0" distR="0">
                  <wp:extent cx="1438275" cy="4667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438275" cy="466725"/>
                          </a:xfrm>
                          <a:prstGeom prst="rect">
                            <a:avLst/>
                          </a:prstGeom>
                        </pic:spPr>
                      </pic:pic>
                    </a:graphicData>
                  </a:graphic>
                </wp:inline>
              </w:drawing>
            </w:r>
            <w:r>
              <w:rPr/>
              <w:t xml:space="preserve"> </w:t>
            </w:r>
          </w:p>
        </w:tc>
        <w:tc>
          <w:tcPr>
            <w:tcW w:w="3616" w:type="dxa"/>
            <w:tcBorders/>
            <w:shd w:fill="auto" w:val="clear"/>
            <w:vAlign w:val="center"/>
          </w:tcPr>
          <w:p>
            <w:pPr>
              <w:pStyle w:val="TableContents"/>
              <w:spacing w:before="0" w:after="283"/>
              <w:jc w:val="left"/>
              <w:rPr/>
            </w:pPr>
            <w:r>
              <w:rPr/>
              <w:drawing>
                <wp:inline distT="0" distB="38100" distL="0" distR="0">
                  <wp:extent cx="1438275" cy="4000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438275" cy="400050"/>
                          </a:xfrm>
                          <a:prstGeom prst="rect">
                            <a:avLst/>
                          </a:prstGeom>
                        </pic:spPr>
                      </pic:pic>
                    </a:graphicData>
                  </a:graphic>
                </wp:inline>
              </w:drawing>
            </w:r>
            <w:r>
              <w:rPr/>
              <w:t xml:space="preserve"> </w:t>
            </w:r>
          </w:p>
        </w:tc>
      </w:tr>
      <w:tr>
        <w:trPr/>
        <w:tc>
          <w:tcPr>
            <w:tcW w:w="2426" w:type="dxa"/>
            <w:tcBorders/>
            <w:shd w:fill="auto" w:val="clear"/>
            <w:vAlign w:val="center"/>
          </w:tcPr>
          <w:p>
            <w:pPr>
              <w:pStyle w:val="TableContents"/>
              <w:pBdr/>
              <w:spacing w:before="0" w:after="60"/>
              <w:ind w:left="0" w:right="0" w:hanging="0"/>
              <w:rPr>
                <w:rFonts w:ascii="Arial" w:hAnsi="Arial"/>
                <w:b/>
                <w:color w:val="245BA7"/>
                <w:sz w:val="21"/>
              </w:rPr>
            </w:pPr>
            <w:r>
              <w:rPr>
                <w:rFonts w:ascii="Arial" w:hAnsi="Arial"/>
                <w:b/>
                <w:color w:val="245BA7"/>
                <w:sz w:val="21"/>
              </w:rPr>
              <w:t>P. Roy Vagelos,</w:t>
            </w:r>
          </w:p>
          <w:p>
            <w:pPr>
              <w:pStyle w:val="TableContents"/>
              <w:pBdr/>
              <w:spacing w:before="0" w:after="60"/>
              <w:ind w:left="0" w:right="0" w:hanging="0"/>
              <w:rPr>
                <w:rFonts w:ascii="Arial" w:hAnsi="Arial"/>
                <w:b/>
                <w:color w:val="245BA7"/>
                <w:sz w:val="21"/>
              </w:rPr>
            </w:pPr>
            <w:r>
              <w:rPr>
                <w:rFonts w:ascii="Arial" w:hAnsi="Arial"/>
                <w:b/>
                <w:color w:val="245BA7"/>
                <w:sz w:val="21"/>
              </w:rPr>
              <w:t>M.D.,</w:t>
            </w:r>
          </w:p>
        </w:tc>
        <w:tc>
          <w:tcPr>
            <w:tcW w:w="3646" w:type="dxa"/>
            <w:tcBorders/>
            <w:shd w:fill="auto" w:val="clear"/>
            <w:vAlign w:val="center"/>
          </w:tcPr>
          <w:p>
            <w:pPr>
              <w:pStyle w:val="TableContents"/>
              <w:pBdr/>
              <w:spacing w:before="0" w:after="60"/>
              <w:ind w:left="0" w:right="0" w:hanging="0"/>
              <w:rPr>
                <w:rFonts w:ascii="Arial" w:hAnsi="Arial"/>
                <w:b/>
                <w:color w:val="245BA7"/>
                <w:sz w:val="21"/>
              </w:rPr>
            </w:pPr>
            <w:r>
              <w:rPr>
                <w:rFonts w:ascii="Arial" w:hAnsi="Arial"/>
                <w:b/>
                <w:color w:val="245BA7"/>
                <w:sz w:val="21"/>
              </w:rPr>
              <w:t xml:space="preserve">Leonard S. Schleifer, </w:t>
            </w:r>
          </w:p>
          <w:p>
            <w:pPr>
              <w:pStyle w:val="TableContents"/>
              <w:pBdr/>
              <w:spacing w:before="0" w:after="60"/>
              <w:ind w:left="0" w:right="0" w:hanging="0"/>
              <w:rPr>
                <w:rFonts w:ascii="Arial" w:hAnsi="Arial"/>
                <w:b/>
                <w:color w:val="245BA7"/>
                <w:sz w:val="21"/>
              </w:rPr>
            </w:pPr>
            <w:r>
              <w:rPr>
                <w:rFonts w:ascii="Arial" w:hAnsi="Arial"/>
                <w:b/>
                <w:color w:val="245BA7"/>
                <w:sz w:val="21"/>
              </w:rPr>
              <w:t xml:space="preserve">M.D., Ph.D., </w:t>
            </w:r>
          </w:p>
        </w:tc>
        <w:tc>
          <w:tcPr>
            <w:tcW w:w="3616" w:type="dxa"/>
            <w:tcBorders/>
            <w:shd w:fill="auto" w:val="clear"/>
            <w:vAlign w:val="center"/>
          </w:tcPr>
          <w:p>
            <w:pPr>
              <w:pStyle w:val="TableContents"/>
              <w:pBdr/>
              <w:spacing w:before="0" w:after="60"/>
              <w:ind w:left="0" w:right="0" w:hanging="0"/>
              <w:rPr>
                <w:rFonts w:ascii="Arial" w:hAnsi="Arial"/>
                <w:b/>
                <w:color w:val="245BA7"/>
                <w:sz w:val="21"/>
              </w:rPr>
            </w:pPr>
            <w:r>
              <w:rPr>
                <w:rFonts w:ascii="Arial" w:hAnsi="Arial"/>
                <w:b/>
                <w:color w:val="245BA7"/>
                <w:sz w:val="21"/>
              </w:rPr>
              <w:t xml:space="preserve">George D. Yancopoulos, </w:t>
            </w:r>
          </w:p>
          <w:p>
            <w:pPr>
              <w:pStyle w:val="TableContents"/>
              <w:pBdr/>
              <w:spacing w:before="0" w:after="60"/>
              <w:ind w:left="0" w:right="0" w:hanging="0"/>
              <w:rPr>
                <w:rFonts w:ascii="Arial" w:hAnsi="Arial"/>
                <w:b/>
                <w:color w:val="245BA7"/>
                <w:sz w:val="21"/>
              </w:rPr>
            </w:pPr>
            <w:r>
              <w:rPr>
                <w:rFonts w:ascii="Arial" w:hAnsi="Arial"/>
                <w:b/>
                <w:color w:val="245BA7"/>
                <w:sz w:val="21"/>
              </w:rPr>
              <w:t>M.D., Ph.D.,</w:t>
            </w:r>
          </w:p>
        </w:tc>
      </w:tr>
      <w:tr>
        <w:trPr/>
        <w:tc>
          <w:tcPr>
            <w:tcW w:w="2426" w:type="dxa"/>
            <w:tcBorders/>
            <w:shd w:fill="auto" w:val="clear"/>
            <w:vAlign w:val="center"/>
          </w:tcPr>
          <w:p>
            <w:pPr>
              <w:pStyle w:val="TableContents"/>
              <w:pBdr/>
              <w:spacing w:before="0" w:after="60"/>
              <w:ind w:left="0" w:right="0" w:hanging="0"/>
              <w:rPr>
                <w:rFonts w:ascii="Arial" w:hAnsi="Arial"/>
                <w:color w:val="000000"/>
                <w:sz w:val="21"/>
              </w:rPr>
            </w:pPr>
            <w:r>
              <w:rPr>
                <w:rFonts w:ascii="Arial" w:hAnsi="Arial"/>
                <w:color w:val="000000"/>
                <w:sz w:val="21"/>
              </w:rPr>
              <w:t>Chair of the Board</w:t>
            </w:r>
          </w:p>
        </w:tc>
        <w:tc>
          <w:tcPr>
            <w:tcW w:w="3646" w:type="dxa"/>
            <w:tcBorders/>
            <w:shd w:fill="auto" w:val="clear"/>
            <w:vAlign w:val="center"/>
          </w:tcPr>
          <w:p>
            <w:pPr>
              <w:pStyle w:val="TableContents"/>
              <w:pBdr/>
              <w:spacing w:before="0" w:after="60"/>
              <w:ind w:left="0" w:right="0" w:hanging="0"/>
              <w:rPr>
                <w:rFonts w:ascii="Arial" w:hAnsi="Arial"/>
                <w:color w:val="000000"/>
                <w:sz w:val="21"/>
              </w:rPr>
            </w:pPr>
            <w:r>
              <w:rPr>
                <w:rFonts w:ascii="Arial" w:hAnsi="Arial"/>
                <w:color w:val="000000"/>
                <w:sz w:val="21"/>
              </w:rPr>
              <w:t>President and Chief Executive Officer</w:t>
            </w:r>
          </w:p>
        </w:tc>
        <w:tc>
          <w:tcPr>
            <w:tcW w:w="3616" w:type="dxa"/>
            <w:tcBorders/>
            <w:shd w:fill="auto" w:val="clear"/>
            <w:vAlign w:val="center"/>
          </w:tcPr>
          <w:p>
            <w:pPr>
              <w:pStyle w:val="TableContents"/>
              <w:pBdr/>
              <w:spacing w:before="0" w:after="60"/>
              <w:ind w:left="0" w:right="0" w:hanging="0"/>
              <w:rPr>
                <w:rFonts w:ascii="Arial" w:hAnsi="Arial"/>
                <w:color w:val="000000"/>
                <w:sz w:val="21"/>
              </w:rPr>
            </w:pPr>
            <w:r>
              <w:rPr>
                <w:rFonts w:ascii="Arial" w:hAnsi="Arial"/>
                <w:color w:val="000000"/>
                <w:sz w:val="21"/>
              </w:rPr>
              <w:t>President and Chief Scientific Officer</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810"/>
        <w:gridCol w:w="60"/>
        <w:gridCol w:w="1335"/>
      </w:tblGrid>
      <w:tr>
        <w:trPr/>
        <w:tc>
          <w:tcPr>
            <w:tcW w:w="881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60" w:type="dxa"/>
            <w:tcBorders/>
            <w:shd w:fill="auto" w:val="clear"/>
            <w:vAlign w:val="center"/>
          </w:tcPr>
          <w:p>
            <w:pPr>
              <w:pStyle w:val="TableContents"/>
              <w:spacing w:before="0" w:after="283"/>
              <w:jc w:val="right"/>
              <w:rPr/>
            </w:pPr>
            <w:r>
              <w:rPr/>
              <w:t> </w:t>
            </w:r>
          </w:p>
        </w:tc>
        <w:tc>
          <w:tcPr>
            <w:tcW w:w="1335" w:type="dxa"/>
            <w:tcBorders/>
            <w:shd w:fill="auto" w:val="clear"/>
            <w:vAlign w:val="center"/>
          </w:tcPr>
          <w:p>
            <w:pPr>
              <w:pStyle w:val="TableContents"/>
              <w:spacing w:before="0" w:after="283"/>
              <w:jc w:val="right"/>
              <w:rPr/>
            </w:pPr>
            <w:r>
              <w:rPr/>
              <w:drawing>
                <wp:inline distT="0" distB="0" distL="0" distR="0">
                  <wp:extent cx="838200"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38200" cy="142875"/>
                          </a:xfrm>
                          <a:prstGeom prst="rect">
                            <a:avLst/>
                          </a:prstGeom>
                        </pic:spPr>
                      </pic:pic>
                    </a:graphicData>
                  </a:graphic>
                </wp:inline>
              </w:drawing>
            </w:r>
          </w:p>
        </w:tc>
      </w:tr>
    </w:tbl>
    <w:p>
      <w:pPr>
        <w:pStyle w:val="HorizontalLine"/>
        <w:rPr/>
      </w:pPr>
      <w:r>
        <w:rPr/>
      </w:r>
    </w:p>
    <w:p>
      <w:pPr>
        <w:pStyle w:val="TextBody"/>
        <w:pBdr/>
        <w:spacing w:before="0" w:after="210"/>
        <w:jc w:val="center"/>
        <w:rPr>
          <w:caps w:val="false"/>
          <w:smallCaps w:val="false"/>
          <w:color w:val="000000"/>
        </w:rPr>
      </w:pPr>
      <w:r>
        <w:rPr>
          <w:caps w:val="false"/>
          <w:smallCaps w:val="false"/>
          <w:color w:val="000000"/>
        </w:rPr>
        <w:drawing>
          <wp:inline distT="0" distB="0" distL="0" distR="0">
            <wp:extent cx="7620000" cy="98583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620000" cy="9858375"/>
                    </a:xfrm>
                    <a:prstGeom prst="rect">
                      <a:avLst/>
                    </a:prstGeom>
                  </pic:spPr>
                </pic:pic>
              </a:graphicData>
            </a:graphic>
          </wp:inline>
        </w:drawing>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810"/>
        <w:gridCol w:w="60"/>
        <w:gridCol w:w="1335"/>
      </w:tblGrid>
      <w:tr>
        <w:trPr/>
        <w:tc>
          <w:tcPr>
            <w:tcW w:w="881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60" w:type="dxa"/>
            <w:tcBorders/>
            <w:shd w:fill="auto" w:val="clear"/>
            <w:vAlign w:val="center"/>
          </w:tcPr>
          <w:p>
            <w:pPr>
              <w:pStyle w:val="TableContents"/>
              <w:spacing w:before="0" w:after="283"/>
              <w:jc w:val="right"/>
              <w:rPr/>
            </w:pPr>
            <w:r>
              <w:rPr/>
              <w:t> </w:t>
            </w:r>
          </w:p>
        </w:tc>
        <w:tc>
          <w:tcPr>
            <w:tcW w:w="1335" w:type="dxa"/>
            <w:tcBorders/>
            <w:shd w:fill="auto" w:val="clear"/>
            <w:vAlign w:val="center"/>
          </w:tcPr>
          <w:p>
            <w:pPr>
              <w:pStyle w:val="TableContents"/>
              <w:spacing w:before="0" w:after="283"/>
              <w:jc w:val="right"/>
              <w:rPr/>
            </w:pPr>
            <w:r>
              <w:rPr/>
              <w:drawing>
                <wp:inline distT="0" distB="0" distL="0" distR="0">
                  <wp:extent cx="838200"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38200" cy="142875"/>
                          </a:xfrm>
                          <a:prstGeom prst="rect">
                            <a:avLst/>
                          </a:prstGeom>
                        </pic:spPr>
                      </pic:pic>
                    </a:graphicData>
                  </a:graphic>
                </wp:inline>
              </w:drawing>
            </w:r>
          </w:p>
        </w:tc>
      </w:tr>
    </w:tbl>
    <w:p>
      <w:pPr>
        <w:pStyle w:val="HorizontalLine"/>
        <w:rPr/>
      </w:pPr>
      <w:r>
        <w:rPr/>
      </w:r>
    </w:p>
    <w:p>
      <w:pPr>
        <w:pStyle w:val="TextBody"/>
        <w:jc w:val="left"/>
        <w:rPr/>
      </w:pPr>
      <w:r>
        <w:rPr/>
        <w:drawing>
          <wp:inline distT="0" distB="114300" distL="0" distR="0">
            <wp:extent cx="2038350" cy="23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038350" cy="238125"/>
                    </a:xfrm>
                    <a:prstGeom prst="rect">
                      <a:avLst/>
                    </a:prstGeom>
                  </pic:spPr>
                </pic:pic>
              </a:graphicData>
            </a:graphic>
          </wp:inline>
        </w:drawing>
      </w:r>
      <w:r>
        <w:rPr/>
        <w:t xml:space="preserve"> </w:t>
      </w:r>
    </w:p>
    <w:p>
      <w:pPr>
        <w:pStyle w:val="TextBody"/>
        <w:pBdr/>
        <w:spacing w:before="0" w:after="405"/>
        <w:ind w:left="0" w:right="0" w:hanging="0"/>
        <w:rPr>
          <w:rFonts w:ascii="Arial" w:hAnsi="Arial"/>
          <w:color w:val="000000"/>
          <w:sz w:val="20"/>
        </w:rPr>
      </w:pPr>
      <w:bookmarkStart w:id="4" w:name="new_id-1"/>
      <w:bookmarkEnd w:id="4"/>
      <w:r>
        <w:rPr>
          <w:rFonts w:ascii="Arial" w:hAnsi="Arial"/>
          <w:b/>
          <w:color w:val="000000"/>
          <w:sz w:val="20"/>
        </w:rPr>
        <w:t>REGENERON PHARMACEUTICALS, INC.</w:t>
      </w:r>
      <w:r>
        <w:rPr>
          <w:rFonts w:ascii="Arial" w:hAnsi="Arial"/>
          <w:color w:val="000000"/>
          <w:sz w:val="20"/>
        </w:rPr>
        <w:br/>
        <w:t xml:space="preserve">777 Old Saw Mill River Road </w:t>
        <w:br/>
        <w:t xml:space="preserve">Tarrytown, New York 10591-6707 </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5" w:name="new_id-2"/>
      <w:bookmarkEnd w:id="5"/>
      <w:r>
        <w:rPr>
          <w:rFonts w:ascii="Arial" w:hAnsi="Arial"/>
          <w:b/>
          <w:i w:val="false"/>
          <w:caps w:val="false"/>
          <w:smallCaps w:val="false"/>
          <w:color w:val="D31B5D"/>
          <w:sz w:val="30"/>
          <w:bdr w:val="single" w:sz="12" w:space="2" w:color="245BA7"/>
        </w:rPr>
        <w:t xml:space="preserve">NOTICE OF ANNUAL MEETING OF SHAREHOLDERS </w:t>
      </w:r>
    </w:p>
    <w:p>
      <w:pPr>
        <w:pStyle w:val="TextBody"/>
        <w:pBdr/>
        <w:spacing w:before="0" w:after="210"/>
        <w:ind w:left="0" w:right="0" w:hanging="0"/>
        <w:rPr>
          <w:rFonts w:ascii="Arial" w:hAnsi="Arial"/>
          <w:color w:val="000000"/>
          <w:sz w:val="21"/>
        </w:rPr>
      </w:pPr>
      <w:r>
        <w:rPr>
          <w:rFonts w:ascii="Arial" w:hAnsi="Arial"/>
          <w:color w:val="000000"/>
          <w:sz w:val="21"/>
        </w:rPr>
        <w:t xml:space="preserve">The 2023 Annual Meeting of Shareholders of Regeneron Pharmaceuticals, Inc. (the “Company”) will be held on Friday, June 9, 2023, commencing at 10:30 a.m., Eastern Time, virtually via the Internet at </w:t>
      </w:r>
      <w:r>
        <w:rPr>
          <w:rFonts w:ascii="Arial" w:hAnsi="Arial"/>
          <w:b/>
          <w:color w:val="000000"/>
          <w:sz w:val="21"/>
        </w:rPr>
        <w:t>www.virtualshareholdermeeting.com/REGN2023</w:t>
      </w:r>
      <w:r>
        <w:rPr>
          <w:rFonts w:ascii="Arial" w:hAnsi="Arial"/>
          <w:color w:val="000000"/>
          <w:sz w:val="21"/>
        </w:rPr>
        <w:t>, for the following purposes:</w:t>
      </w:r>
    </w:p>
    <w:p>
      <w:pPr>
        <w:pStyle w:val="TextBody"/>
        <w:spacing w:before="0" w:after="0"/>
        <w:ind w:left="0" w:right="30" w:hanging="0"/>
        <w:rPr>
          <w:rFonts w:ascii="Arial" w:hAnsi="Arial"/>
          <w:b/>
          <w:color w:val="245BA7"/>
          <w:sz w:val="21"/>
        </w:rPr>
      </w:pPr>
      <w:r>
        <w:rPr>
          <w:rFonts w:ascii="Arial" w:hAnsi="Arial"/>
          <w:b/>
          <w:color w:val="245BA7"/>
          <w:sz w:val="21"/>
        </w:rPr>
        <w:t>1</w:t>
      </w:r>
    </w:p>
    <w:p>
      <w:pPr>
        <w:pStyle w:val="TextBody"/>
        <w:pBdr/>
        <w:spacing w:before="0" w:after="0"/>
        <w:ind w:left="0" w:right="30" w:hanging="0"/>
        <w:rPr>
          <w:rFonts w:ascii="Arial" w:hAnsi="Arial"/>
          <w:color w:val="000000"/>
          <w:sz w:val="21"/>
        </w:rPr>
      </w:pPr>
      <w:r>
        <w:rPr>
          <w:rFonts w:ascii="Arial" w:hAnsi="Arial"/>
          <w:color w:val="000000"/>
          <w:sz w:val="21"/>
        </w:rPr>
        <w:t>to elect four Class II directors for a three-year term;</w:t>
      </w:r>
    </w:p>
    <w:p>
      <w:pPr>
        <w:pStyle w:val="TextBody"/>
        <w:spacing w:before="0" w:after="0"/>
        <w:ind w:left="0" w:right="30" w:hanging="0"/>
        <w:rPr>
          <w:rFonts w:ascii="Arial" w:hAnsi="Arial"/>
          <w:b/>
          <w:color w:val="245BA7"/>
          <w:sz w:val="21"/>
        </w:rPr>
      </w:pPr>
      <w:r>
        <w:rPr>
          <w:rFonts w:ascii="Arial" w:hAnsi="Arial"/>
          <w:b/>
          <w:color w:val="245BA7"/>
          <w:sz w:val="21"/>
        </w:rPr>
        <w:t>2</w:t>
      </w:r>
    </w:p>
    <w:p>
      <w:pPr>
        <w:pStyle w:val="TextBody"/>
        <w:pBdr/>
        <w:spacing w:before="0" w:after="0"/>
        <w:ind w:left="0" w:right="30" w:hanging="0"/>
        <w:rPr>
          <w:rFonts w:ascii="Arial" w:hAnsi="Arial"/>
          <w:color w:val="000000"/>
          <w:sz w:val="21"/>
        </w:rPr>
      </w:pPr>
      <w:r>
        <w:rPr>
          <w:rFonts w:ascii="Arial" w:hAnsi="Arial"/>
          <w:color w:val="000000"/>
          <w:sz w:val="21"/>
        </w:rPr>
        <w:t>to ratify the appointment of PricewaterhouseCoopers LLP as the Company’s independent registered public accounting firm for the fiscal year ending December 31, 2023;</w:t>
      </w:r>
    </w:p>
    <w:p>
      <w:pPr>
        <w:pStyle w:val="TextBody"/>
        <w:spacing w:before="0" w:after="0"/>
        <w:ind w:left="0" w:right="30" w:hanging="0"/>
        <w:rPr>
          <w:rFonts w:ascii="Arial" w:hAnsi="Arial"/>
          <w:b/>
          <w:color w:val="245BA7"/>
          <w:sz w:val="21"/>
        </w:rPr>
      </w:pPr>
      <w:r>
        <w:rPr>
          <w:rFonts w:ascii="Arial" w:hAnsi="Arial"/>
          <w:b/>
          <w:color w:val="245BA7"/>
          <w:sz w:val="21"/>
        </w:rPr>
        <w:t>3</w:t>
      </w:r>
    </w:p>
    <w:p>
      <w:pPr>
        <w:pStyle w:val="TextBody"/>
        <w:pBdr/>
        <w:spacing w:before="0" w:after="0"/>
        <w:ind w:left="0" w:right="30" w:hanging="0"/>
        <w:rPr>
          <w:rFonts w:ascii="Arial" w:hAnsi="Arial"/>
          <w:color w:val="000000"/>
          <w:sz w:val="21"/>
        </w:rPr>
      </w:pPr>
      <w:r>
        <w:rPr>
          <w:rFonts w:ascii="Arial" w:hAnsi="Arial"/>
          <w:color w:val="000000"/>
          <w:sz w:val="21"/>
        </w:rPr>
        <w:t>to cast an advisory vote to approve the compensation of the Company’s Named Executive Officers as disclosed in these proxy materials (say-on-pay);</w:t>
      </w:r>
    </w:p>
    <w:p>
      <w:pPr>
        <w:pStyle w:val="TextBody"/>
        <w:spacing w:before="0" w:after="0"/>
        <w:ind w:left="0" w:right="30" w:hanging="0"/>
        <w:rPr>
          <w:rFonts w:ascii="Arial" w:hAnsi="Arial"/>
          <w:b/>
          <w:color w:val="245BA7"/>
          <w:sz w:val="21"/>
        </w:rPr>
      </w:pPr>
      <w:r>
        <w:rPr>
          <w:rFonts w:ascii="Arial" w:hAnsi="Arial"/>
          <w:b/>
          <w:color w:val="245BA7"/>
          <w:sz w:val="21"/>
        </w:rPr>
        <w:t>4</w:t>
      </w:r>
    </w:p>
    <w:p>
      <w:pPr>
        <w:pStyle w:val="TextBody"/>
        <w:pBdr/>
        <w:spacing w:before="0" w:after="0"/>
        <w:ind w:left="0" w:right="30" w:hanging="0"/>
        <w:rPr>
          <w:rFonts w:ascii="Arial" w:hAnsi="Arial"/>
          <w:color w:val="000000"/>
          <w:sz w:val="21"/>
        </w:rPr>
      </w:pPr>
      <w:r>
        <w:rPr>
          <w:rFonts w:ascii="Arial" w:hAnsi="Arial"/>
          <w:color w:val="000000"/>
          <w:sz w:val="21"/>
        </w:rPr>
        <w:t>to cast an advisory vote on whether future say-on-pay votes should be held every one, two, or three years (say-on-frequency);</w:t>
      </w:r>
    </w:p>
    <w:p>
      <w:pPr>
        <w:pStyle w:val="TextBody"/>
        <w:spacing w:before="0" w:after="0"/>
        <w:ind w:left="0" w:right="30" w:hanging="0"/>
        <w:rPr>
          <w:rFonts w:ascii="Arial" w:hAnsi="Arial"/>
          <w:b/>
          <w:color w:val="245BA7"/>
          <w:sz w:val="21"/>
        </w:rPr>
      </w:pPr>
      <w:r>
        <w:rPr>
          <w:rFonts w:ascii="Arial" w:hAnsi="Arial"/>
          <w:b/>
          <w:color w:val="245BA7"/>
          <w:sz w:val="21"/>
        </w:rPr>
        <w:t>5</w:t>
      </w:r>
    </w:p>
    <w:p>
      <w:pPr>
        <w:pStyle w:val="TextBody"/>
        <w:pBdr/>
        <w:spacing w:before="0" w:after="0"/>
        <w:ind w:left="0" w:right="30" w:hanging="0"/>
        <w:rPr>
          <w:rFonts w:ascii="Arial" w:hAnsi="Arial"/>
          <w:color w:val="000000"/>
          <w:sz w:val="21"/>
        </w:rPr>
      </w:pPr>
      <w:r>
        <w:rPr>
          <w:rFonts w:ascii="Arial" w:hAnsi="Arial"/>
          <w:color w:val="000000"/>
          <w:sz w:val="21"/>
        </w:rPr>
        <w:t>if properly presented, to vote on a non-binding shareholder proposal; and</w:t>
      </w:r>
    </w:p>
    <w:p>
      <w:pPr>
        <w:pStyle w:val="TextBody"/>
        <w:spacing w:before="0" w:after="0"/>
        <w:ind w:left="0" w:right="30" w:hanging="0"/>
        <w:rPr>
          <w:rFonts w:ascii="Arial" w:hAnsi="Arial"/>
          <w:b/>
          <w:color w:val="245BA7"/>
          <w:sz w:val="21"/>
        </w:rPr>
      </w:pPr>
      <w:r>
        <w:rPr>
          <w:rFonts w:ascii="Arial" w:hAnsi="Arial"/>
          <w:b/>
          <w:color w:val="245BA7"/>
          <w:sz w:val="21"/>
        </w:rPr>
        <w:t>6</w:t>
      </w:r>
    </w:p>
    <w:p>
      <w:pPr>
        <w:pStyle w:val="TextBody"/>
        <w:pBdr/>
        <w:spacing w:before="0" w:after="0"/>
        <w:ind w:left="0" w:right="30" w:hanging="0"/>
        <w:rPr>
          <w:rFonts w:ascii="Arial" w:hAnsi="Arial"/>
          <w:color w:val="000000"/>
          <w:sz w:val="21"/>
        </w:rPr>
      </w:pPr>
      <w:r>
        <w:rPr>
          <w:rFonts w:ascii="Arial" w:hAnsi="Arial"/>
          <w:color w:val="000000"/>
          <w:sz w:val="21"/>
        </w:rPr>
        <w:t>to act upon such other matters as may properly come before the meeting and any adjournment(s) or postponement(s) thereof.</w:t>
      </w:r>
    </w:p>
    <w:p>
      <w:pPr>
        <w:pStyle w:val="TextBody"/>
        <w:pBdr/>
        <w:spacing w:before="0" w:after="210"/>
        <w:ind w:left="0" w:right="0" w:hanging="0"/>
        <w:rPr>
          <w:rFonts w:ascii="Arial" w:hAnsi="Arial"/>
          <w:color w:val="000000"/>
          <w:sz w:val="21"/>
        </w:rPr>
      </w:pPr>
      <w:r>
        <w:rPr>
          <w:rFonts w:ascii="Arial" w:hAnsi="Arial"/>
          <w:color w:val="000000"/>
          <w:sz w:val="21"/>
        </w:rPr>
        <w:t>The board of directors has fixed the close of business on April 11, 2023 as the record date for determining shareholders entitled to notice of, and to vote at, the Annual Meeting and at any adjournment(s) or postponement(s) thereof.</w:t>
      </w:r>
    </w:p>
    <w:p>
      <w:pPr>
        <w:pStyle w:val="TextBody"/>
        <w:pBdr/>
        <w:spacing w:before="0" w:after="210"/>
        <w:ind w:left="0" w:right="0" w:hanging="0"/>
        <w:rPr>
          <w:rFonts w:ascii="Arial" w:hAnsi="Arial"/>
          <w:color w:val="000000"/>
          <w:sz w:val="21"/>
        </w:rPr>
      </w:pPr>
      <w:r>
        <w:rPr>
          <w:rFonts w:ascii="Arial" w:hAnsi="Arial"/>
          <w:color w:val="000000"/>
          <w:sz w:val="21"/>
        </w:rPr>
        <w:t>Pursuant to the rules of the Securities and Exchange Commission (the “SEC”), we have elected to use the “Notice and Access” method of providing our proxy materials over the Internet. Accordingly, we will mail, beginning on or about April 21, 2023, a Notice of Internet Availability of Proxy Materials to our shareholders of record and beneficial owners as of the record date (other than (i) those who previously elected to receive proxy materials by e-mail, (ii) those who have previously asked to receive paper copies of the proxy materials, and (iii) shareholders who participate and hold shares of common stock in the Regeneron Pharmaceuticals, Inc. 401(k) Savings Plan or the Regeneron Ireland Share Participation Plan).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pStyle w:val="TextBody"/>
        <w:pBdr/>
        <w:spacing w:before="0" w:after="210"/>
        <w:ind w:left="0" w:right="0" w:hanging="0"/>
        <w:rPr>
          <w:rFonts w:ascii="Arial" w:hAnsi="Arial"/>
          <w:color w:val="000000"/>
          <w:sz w:val="21"/>
        </w:rPr>
      </w:pPr>
      <w:r>
        <w:rPr>
          <w:rFonts w:ascii="Arial" w:hAnsi="Arial"/>
          <w:color w:val="000000"/>
          <w:sz w:val="21"/>
        </w:rPr>
        <w:t>The Notice of Internet Availability of Proxy Materials also contains a toll-free telephone number, an e-mail address, and a website where shareholders can request a paper or electronic copy of the proxy statement, our 2022 annual report, and/or a form of proxy relating to the Annual Meeting. These materials are available free of charge. The Notice also contains information on how to access and vote the form of proxy.</w:t>
      </w:r>
    </w:p>
    <w:p>
      <w:pPr>
        <w:pStyle w:val="TextBody"/>
        <w:pBdr/>
        <w:spacing w:before="0" w:after="210"/>
        <w:ind w:left="0" w:right="0" w:hanging="0"/>
        <w:rPr>
          <w:rFonts w:ascii="Arial" w:hAnsi="Arial"/>
          <w:color w:val="000000"/>
          <w:sz w:val="21"/>
        </w:rPr>
      </w:pPr>
      <w:r>
        <w:rPr>
          <w:rFonts w:ascii="Arial" w:hAnsi="Arial"/>
          <w:color w:val="000000"/>
          <w:sz w:val="21"/>
        </w:rPr>
        <w:t>We have opted to hold the Annual Meeting as a virtual-only meeting, which means that you will not be able to attend the Annual Meeting in person. All shareholders will be able to attend the Annual Meeting and participate electronically, which will allow them to vote their shares on the date of the Annual Meeting and ask questions during the meeting. Please visit our website at </w:t>
      </w:r>
      <w:r>
        <w:rPr>
          <w:rFonts w:ascii="Arial" w:hAnsi="Arial"/>
          <w:b/>
          <w:color w:val="000000"/>
          <w:sz w:val="21"/>
        </w:rPr>
        <w:t>http://newsroom.regeneron.com</w:t>
      </w:r>
      <w:r>
        <w:rPr>
          <w:rFonts w:ascii="Arial" w:hAnsi="Arial"/>
          <w:color w:val="000000"/>
          <w:sz w:val="21"/>
        </w:rPr>
        <w:t> for the most up-to-date information about the Annual Meeting. We have designed the format of the Annual Meeting to ensure that shareholders are afforded similar rights and opportunities to participate as they would at an in-person meeting.</w:t>
      </w:r>
    </w:p>
    <w:p>
      <w:pPr>
        <w:pStyle w:val="TextBody"/>
        <w:pBdr/>
        <w:spacing w:before="0" w:after="210"/>
        <w:ind w:left="0" w:right="0" w:hanging="0"/>
        <w:rPr>
          <w:rFonts w:ascii="Arial" w:hAnsi="Arial"/>
          <w:color w:val="000000"/>
          <w:sz w:val="21"/>
        </w:rPr>
      </w:pPr>
      <w:r>
        <w:rPr>
          <w:rFonts w:ascii="Arial" w:hAnsi="Arial"/>
          <w:color w:val="000000"/>
          <w:sz w:val="21"/>
        </w:rPr>
        <w:t>As Authorized by the Board of Directors,</w:t>
      </w:r>
    </w:p>
    <w:p>
      <w:pPr>
        <w:pStyle w:val="TextBody"/>
        <w:jc w:val="left"/>
        <w:rPr/>
      </w:pPr>
      <w:r>
        <w:rPr/>
        <w:drawing>
          <wp:inline distT="0" distB="0" distL="0" distR="0">
            <wp:extent cx="1600200" cy="533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600200" cy="533400"/>
                    </a:xfrm>
                    <a:prstGeom prst="rect">
                      <a:avLst/>
                    </a:prstGeom>
                  </pic:spPr>
                </pic:pic>
              </a:graphicData>
            </a:graphic>
          </wp:inline>
        </w:drawing>
      </w:r>
      <w:r>
        <w:rPr/>
        <w:t xml:space="preserve"> </w:t>
      </w:r>
    </w:p>
    <w:p>
      <w:pPr>
        <w:pStyle w:val="TextBody"/>
        <w:pBdr/>
        <w:spacing w:before="0" w:after="60"/>
        <w:ind w:left="0" w:right="0" w:hanging="0"/>
        <w:rPr>
          <w:rFonts w:ascii="Arial" w:hAnsi="Arial"/>
          <w:color w:val="000000"/>
          <w:sz w:val="21"/>
        </w:rPr>
      </w:pPr>
      <w:r>
        <w:rPr>
          <w:rFonts w:ascii="Arial" w:hAnsi="Arial"/>
          <w:color w:val="000000"/>
          <w:sz w:val="21"/>
        </w:rPr>
        <w:t xml:space="preserve">Joseph J. LaRosa </w:t>
        <w:br/>
      </w:r>
      <w:r>
        <w:rPr>
          <w:rFonts w:ascii="Arial" w:hAnsi="Arial"/>
          <w:i/>
          <w:color w:val="000000"/>
          <w:sz w:val="21"/>
        </w:rPr>
        <w:t>Executive Vice President, General Counsel and Secretary</w:t>
      </w:r>
      <w:r>
        <w:rPr>
          <w:rFonts w:ascii="Arial" w:hAnsi="Arial"/>
          <w:color w:val="000000"/>
          <w:sz w:val="21"/>
        </w:rPr>
        <w:t xml:space="preserve"> </w:t>
        <w:br/>
        <w:t>April 21, 2023</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810"/>
        <w:gridCol w:w="60"/>
        <w:gridCol w:w="1335"/>
      </w:tblGrid>
      <w:tr>
        <w:trPr/>
        <w:tc>
          <w:tcPr>
            <w:tcW w:w="881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60" w:type="dxa"/>
            <w:tcBorders/>
            <w:shd w:fill="auto" w:val="clear"/>
            <w:vAlign w:val="center"/>
          </w:tcPr>
          <w:p>
            <w:pPr>
              <w:pStyle w:val="TableContents"/>
              <w:spacing w:before="0" w:after="283"/>
              <w:jc w:val="right"/>
              <w:rPr/>
            </w:pPr>
            <w:r>
              <w:rPr/>
              <w:t> </w:t>
            </w:r>
          </w:p>
        </w:tc>
        <w:tc>
          <w:tcPr>
            <w:tcW w:w="1335" w:type="dxa"/>
            <w:tcBorders/>
            <w:shd w:fill="auto" w:val="clear"/>
            <w:vAlign w:val="center"/>
          </w:tcPr>
          <w:p>
            <w:pPr>
              <w:pStyle w:val="TableContents"/>
              <w:spacing w:before="0" w:after="283"/>
              <w:jc w:val="right"/>
              <w:rPr/>
            </w:pPr>
            <w:r>
              <w:rPr/>
              <w:drawing>
                <wp:inline distT="0" distB="0" distL="0" distR="0">
                  <wp:extent cx="838200"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38200" cy="142875"/>
                          </a:xfrm>
                          <a:prstGeom prst="rect">
                            <a:avLst/>
                          </a:prstGeom>
                        </pic:spPr>
                      </pic:pic>
                    </a:graphicData>
                  </a:graphic>
                </wp:inline>
              </w:drawing>
            </w:r>
          </w:p>
        </w:tc>
      </w:tr>
    </w:tbl>
    <w:p>
      <w:pPr>
        <w:pStyle w:val="HorizontalLine"/>
        <w:rPr/>
      </w:pPr>
      <w:r>
        <w:rPr/>
      </w:r>
    </w:p>
    <w:p>
      <w:pPr>
        <w:pStyle w:val="TextBody"/>
        <w:pBdr/>
        <w:spacing w:before="0" w:after="210"/>
        <w:jc w:val="center"/>
        <w:rPr>
          <w:caps w:val="false"/>
          <w:smallCaps w:val="false"/>
          <w:color w:val="000000"/>
        </w:rPr>
      </w:pPr>
      <w:r>
        <w:rPr>
          <w:caps w:val="false"/>
          <w:smallCaps w:val="false"/>
          <w:color w:val="000000"/>
        </w:rPr>
        <w:drawing>
          <wp:inline distT="0" distB="0" distL="0" distR="0">
            <wp:extent cx="7620000" cy="98583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620000" cy="9858375"/>
                    </a:xfrm>
                    <a:prstGeom prst="rect">
                      <a:avLst/>
                    </a:prstGeom>
                  </pic:spPr>
                </pic:pic>
              </a:graphicData>
            </a:graphic>
          </wp:inline>
        </w:drawing>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810"/>
        <w:gridCol w:w="60"/>
        <w:gridCol w:w="1335"/>
      </w:tblGrid>
      <w:tr>
        <w:trPr/>
        <w:tc>
          <w:tcPr>
            <w:tcW w:w="881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60" w:type="dxa"/>
            <w:tcBorders/>
            <w:shd w:fill="auto" w:val="clear"/>
            <w:vAlign w:val="center"/>
          </w:tcPr>
          <w:p>
            <w:pPr>
              <w:pStyle w:val="TableContents"/>
              <w:spacing w:before="0" w:after="283"/>
              <w:jc w:val="right"/>
              <w:rPr/>
            </w:pPr>
            <w:r>
              <w:rPr/>
              <w:t> </w:t>
            </w:r>
          </w:p>
        </w:tc>
        <w:tc>
          <w:tcPr>
            <w:tcW w:w="1335" w:type="dxa"/>
            <w:tcBorders/>
            <w:shd w:fill="auto" w:val="clear"/>
            <w:vAlign w:val="center"/>
          </w:tcPr>
          <w:p>
            <w:pPr>
              <w:pStyle w:val="TableContents"/>
              <w:spacing w:before="0" w:after="283"/>
              <w:jc w:val="right"/>
              <w:rPr/>
            </w:pPr>
            <w:r>
              <w:rPr/>
              <w:drawing>
                <wp:inline distT="0" distB="0" distL="0" distR="0">
                  <wp:extent cx="838200"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38200" cy="142875"/>
                          </a:xfrm>
                          <a:prstGeom prst="rect">
                            <a:avLst/>
                          </a:prstGeom>
                        </pic:spPr>
                      </pic:pic>
                    </a:graphicData>
                  </a:graphic>
                </wp:inline>
              </w:drawing>
            </w:r>
          </w:p>
        </w:tc>
      </w:tr>
    </w:tbl>
    <w:p>
      <w:pPr>
        <w:pStyle w:val="HorizontalLine"/>
        <w:rPr/>
      </w:pPr>
      <w:r>
        <w:rPr/>
      </w:r>
    </w:p>
    <w:p>
      <w:pPr>
        <w:pStyle w:val="TextBody"/>
        <w:pBdr/>
        <w:spacing w:before="0" w:after="570"/>
        <w:ind w:left="0" w:right="0" w:hanging="0"/>
        <w:rPr>
          <w:rFonts w:ascii="Arial" w:hAnsi="Arial"/>
          <w:color w:val="245BA7"/>
          <w:sz w:val="47"/>
        </w:rPr>
      </w:pPr>
      <w:bookmarkStart w:id="6" w:name="new_id-3"/>
      <w:bookmarkEnd w:id="6"/>
      <w:r>
        <w:rPr>
          <w:rFonts w:ascii="Arial" w:hAnsi="Arial"/>
          <w:b/>
          <w:color w:val="245BA7"/>
          <w:sz w:val="47"/>
        </w:rPr>
        <w:t>TABLE OF CONTENTS</w:t>
      </w:r>
      <w:r>
        <w:rPr>
          <w:rFonts w:ascii="Arial" w:hAnsi="Arial"/>
          <w:color w:val="245BA7"/>
          <w:sz w:val="47"/>
        </w:rPr>
        <w:t xml:space="preserve"> </w:t>
      </w:r>
    </w:p>
    <w:p>
      <w:pPr>
        <w:pStyle w:val="TextBody"/>
        <w:rPr>
          <w:rFonts w:ascii="Arial;Helvetica;Sans-Serif" w:hAnsi="Arial;Helvetica;Sans-Serif"/>
          <w:b w:val="false"/>
          <w:i w:val="false"/>
          <w:caps w:val="false"/>
          <w:smallCaps w:val="false"/>
          <w:sz w:val="18"/>
        </w:rPr>
      </w:pPr>
      <w:bookmarkStart w:id="7" w:name="_TOC"/>
      <w:bookmarkEnd w:id="7"/>
      <w:r>
        <w:rPr>
          <w:rFonts w:ascii="Arial;Helvetica;Sans-Serif" w:hAnsi="Arial;Helvetica;Sans-Serif"/>
          <w:b w:val="false"/>
          <w:i w:val="false"/>
          <w:caps w:val="false"/>
          <w:smallCaps w:val="false"/>
          <w:sz w:val="18"/>
        </w:rPr>
        <w:br/>
        <w: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10230" cy="9814560"/>
                <wp:effectExtent l="0" t="0" r="0" b="0"/>
                <wp:wrapSquare wrapText="largest"/>
                <wp:docPr id="31" name="Frame1"/>
                <a:graphic xmlns:a="http://schemas.openxmlformats.org/drawingml/2006/main">
                  <a:graphicData uri="http://schemas.microsoft.com/office/word/2010/wordprocessingShape">
                    <wps:wsp>
                      <wps:cNvSpPr txBox="1"/>
                      <wps:spPr>
                        <a:xfrm>
                          <a:off x="0" y="0"/>
                          <a:ext cx="3110230" cy="9814560"/>
                        </a:xfrm>
                        <a:prstGeom prst="rect"/>
                      </wps:spPr>
                      <wps:txbx>
                        <w:txbxContent>
                          <w:tbl>
                            <w:tblPr>
                              <w:tblW w:w="1735" w:type="dxa"/>
                              <w:jc w:val="left"/>
                              <w:tblInd w:w="0" w:type="dxa"/>
                              <w:tblCellMar>
                                <w:top w:w="0" w:type="dxa"/>
                                <w:left w:w="0" w:type="dxa"/>
                                <w:bottom w:w="0" w:type="dxa"/>
                                <w:right w:w="0" w:type="dxa"/>
                              </w:tblCellMar>
                            </w:tblPr>
                            <w:tblGrid>
                              <w:gridCol w:w="1520"/>
                              <w:gridCol w:w="215"/>
                            </w:tblGrid>
                            <w:tr>
                              <w:trPr/>
                              <w:tc>
                                <w:tcPr>
                                  <w:tcW w:w="1520" w:type="dxa"/>
                                  <w:tcBorders/>
                                  <w:shd w:fill="auto" w:val="clear"/>
                                  <w:vAlign w:val="center"/>
                                </w:tcPr>
                                <w:p>
                                  <w:pPr>
                                    <w:pStyle w:val="TableContents"/>
                                    <w:pBdr/>
                                    <w:spacing w:before="0" w:after="60"/>
                                    <w:ind w:left="0" w:right="105" w:hanging="0"/>
                                    <w:rPr/>
                                  </w:pPr>
                                  <w:hyperlink w:anchor="new_id-6">
                                    <w:r>
                                      <w:rPr>
                                        <w:rStyle w:val="InternetLink"/>
                                        <w:rFonts w:ascii="Arial" w:hAnsi="Arial"/>
                                        <w:b/>
                                        <w:strike w:val="false"/>
                                        <w:dstrike w:val="false"/>
                                        <w:color w:val="245BA7"/>
                                        <w:sz w:val="21"/>
                                        <w:u w:val="none"/>
                                        <w:effect w:val="none"/>
                                      </w:rPr>
                                      <w:t>Users’ Guide</w:t>
                                    </w:r>
                                  </w:hyperlink>
                                  <w:r>
                                    <w:rPr>
                                      <w:rFonts w:ascii="Arial" w:hAnsi="Arial"/>
                                      <w:b/>
                                      <w:color w:val="245BA7"/>
                                      <w:sz w:val="21"/>
                                    </w:rPr>
                                    <w:t xml:space="preserve"> </w:t>
                                  </w:r>
                                </w:p>
                              </w:tc>
                              <w:tc>
                                <w:tcPr>
                                  <w:tcW w:w="215" w:type="dxa"/>
                                  <w:tcBorders/>
                                  <w:shd w:fill="auto" w:val="clear"/>
                                  <w:vAlign w:val="center"/>
                                </w:tcPr>
                                <w:p>
                                  <w:pPr>
                                    <w:pStyle w:val="TableContents"/>
                                    <w:pBdr/>
                                    <w:spacing w:before="0" w:after="60"/>
                                    <w:ind w:left="0" w:right="0" w:hanging="0"/>
                                    <w:jc w:val="right"/>
                                    <w:rPr/>
                                  </w:pPr>
                                  <w:hyperlink w:anchor="new_id-6">
                                    <w:r>
                                      <w:rPr>
                                        <w:rStyle w:val="InternetLink"/>
                                        <w:rFonts w:ascii="Arial" w:hAnsi="Arial"/>
                                        <w:b/>
                                        <w:strike w:val="false"/>
                                        <w:dstrike w:val="false"/>
                                        <w:color w:val="245BA7"/>
                                        <w:sz w:val="21"/>
                                        <w:u w:val="none"/>
                                        <w:effect w:val="none"/>
                                      </w:rPr>
                                      <w:t>1</w:t>
                                    </w:r>
                                  </w:hyperlink>
                                  <w:r>
                                    <w:rPr>
                                      <w:rFonts w:ascii="Arial" w:hAnsi="Arial"/>
                                      <w:b/>
                                      <w:color w:val="245BA7"/>
                                      <w:sz w:val="21"/>
                                    </w:rPr>
                                    <w:t xml:space="preserve"> </w:t>
                                  </w:r>
                                </w:p>
                              </w:tc>
                            </w:tr>
                          </w:tbl>
                          <w:tbl>
                            <w:tblPr>
                              <w:tblW w:w="2185" w:type="dxa"/>
                              <w:jc w:val="left"/>
                              <w:tblInd w:w="0" w:type="dxa"/>
                              <w:tblCellMar>
                                <w:top w:w="0" w:type="dxa"/>
                                <w:left w:w="0" w:type="dxa"/>
                                <w:bottom w:w="0" w:type="dxa"/>
                                <w:right w:w="0" w:type="dxa"/>
                              </w:tblCellMar>
                            </w:tblPr>
                            <w:tblGrid>
                              <w:gridCol w:w="1970"/>
                              <w:gridCol w:w="215"/>
                            </w:tblGrid>
                            <w:tr>
                              <w:trPr/>
                              <w:tc>
                                <w:tcPr>
                                  <w:tcW w:w="1970" w:type="dxa"/>
                                  <w:tcBorders/>
                                  <w:shd w:fill="auto" w:val="clear"/>
                                  <w:vAlign w:val="center"/>
                                </w:tcPr>
                                <w:p>
                                  <w:pPr>
                                    <w:pStyle w:val="TableContents"/>
                                    <w:pBdr/>
                                    <w:spacing w:before="0" w:after="60"/>
                                    <w:ind w:left="0" w:right="105" w:hanging="0"/>
                                    <w:rPr/>
                                  </w:pPr>
                                  <w:hyperlink w:anchor="new_id-7">
                                    <w:r>
                                      <w:rPr>
                                        <w:rStyle w:val="InternetLink"/>
                                        <w:rFonts w:ascii="Arial" w:hAnsi="Arial"/>
                                        <w:b/>
                                        <w:strike w:val="false"/>
                                        <w:dstrike w:val="false"/>
                                        <w:color w:val="000000"/>
                                        <w:sz w:val="21"/>
                                        <w:u w:val="none"/>
                                        <w:effect w:val="none"/>
                                      </w:rPr>
                                      <w:t>Proxy Dashboard</w:t>
                                    </w:r>
                                  </w:hyperlink>
                                  <w:r>
                                    <w:rPr>
                                      <w:rFonts w:ascii="Arial" w:hAnsi="Arial"/>
                                      <w:b/>
                                      <w:color w:val="000000"/>
                                      <w:sz w:val="21"/>
                                    </w:rPr>
                                    <w:t xml:space="preserve"> </w:t>
                                  </w:r>
                                </w:p>
                              </w:tc>
                              <w:tc>
                                <w:tcPr>
                                  <w:tcW w:w="215" w:type="dxa"/>
                                  <w:tcBorders/>
                                  <w:shd w:fill="auto" w:val="clear"/>
                                  <w:vAlign w:val="center"/>
                                </w:tcPr>
                                <w:p>
                                  <w:pPr>
                                    <w:pStyle w:val="TableContents"/>
                                    <w:pBdr/>
                                    <w:spacing w:before="0" w:after="60"/>
                                    <w:ind w:left="0" w:right="0" w:hanging="0"/>
                                    <w:jc w:val="right"/>
                                    <w:rPr/>
                                  </w:pPr>
                                  <w:hyperlink w:anchor="new_id-7">
                                    <w:r>
                                      <w:rPr>
                                        <w:rStyle w:val="InternetLink"/>
                                        <w:rFonts w:ascii="Arial" w:hAnsi="Arial"/>
                                        <w:b/>
                                        <w:strike w:val="false"/>
                                        <w:dstrike w:val="false"/>
                                        <w:color w:val="000000"/>
                                        <w:sz w:val="21"/>
                                        <w:u w:val="none"/>
                                        <w:effect w:val="none"/>
                                      </w:rPr>
                                      <w:t>1</w:t>
                                    </w:r>
                                  </w:hyperlink>
                                  <w:r>
                                    <w:rPr>
                                      <w:rFonts w:ascii="Arial" w:hAnsi="Arial"/>
                                      <w:b/>
                                      <w:color w:val="000000"/>
                                      <w:sz w:val="21"/>
                                    </w:rPr>
                                    <w:t xml:space="preserve"> </w:t>
                                  </w:r>
                                </w:p>
                              </w:tc>
                            </w:tr>
                          </w:tbl>
                          <w:tbl>
                            <w:tblPr>
                              <w:tblW w:w="2125" w:type="dxa"/>
                              <w:jc w:val="left"/>
                              <w:tblInd w:w="0" w:type="dxa"/>
                              <w:tblCellMar>
                                <w:top w:w="0" w:type="dxa"/>
                                <w:left w:w="0" w:type="dxa"/>
                                <w:bottom w:w="0" w:type="dxa"/>
                                <w:right w:w="0" w:type="dxa"/>
                              </w:tblCellMar>
                            </w:tblPr>
                            <w:tblGrid>
                              <w:gridCol w:w="1910"/>
                              <w:gridCol w:w="215"/>
                            </w:tblGrid>
                            <w:tr>
                              <w:trPr/>
                              <w:tc>
                                <w:tcPr>
                                  <w:tcW w:w="1910" w:type="dxa"/>
                                  <w:tcBorders/>
                                  <w:shd w:fill="auto" w:val="clear"/>
                                  <w:vAlign w:val="center"/>
                                </w:tcPr>
                                <w:p>
                                  <w:pPr>
                                    <w:pStyle w:val="TableContents"/>
                                    <w:pBdr/>
                                    <w:spacing w:before="0" w:after="60"/>
                                    <w:ind w:left="0" w:right="105" w:hanging="0"/>
                                    <w:rPr/>
                                  </w:pPr>
                                  <w:hyperlink w:anchor="new_id-10">
                                    <w:r>
                                      <w:rPr>
                                        <w:rStyle w:val="InternetLink"/>
                                        <w:rFonts w:ascii="Arial" w:hAnsi="Arial"/>
                                        <w:b/>
                                        <w:strike w:val="false"/>
                                        <w:dstrike w:val="false"/>
                                        <w:color w:val="000000"/>
                                        <w:sz w:val="21"/>
                                        <w:u w:val="none"/>
                                        <w:effect w:val="none"/>
                                      </w:rPr>
                                      <w:t>Proxy Highlights</w:t>
                                    </w:r>
                                  </w:hyperlink>
                                  <w:r>
                                    <w:rPr>
                                      <w:rFonts w:ascii="Arial" w:hAnsi="Arial"/>
                                      <w:b/>
                                      <w:color w:val="000000"/>
                                      <w:sz w:val="21"/>
                                    </w:rPr>
                                    <w:t xml:space="preserve"> </w:t>
                                  </w:r>
                                </w:p>
                              </w:tc>
                              <w:tc>
                                <w:tcPr>
                                  <w:tcW w:w="215" w:type="dxa"/>
                                  <w:tcBorders/>
                                  <w:shd w:fill="auto" w:val="clear"/>
                                  <w:vAlign w:val="center"/>
                                </w:tcPr>
                                <w:p>
                                  <w:pPr>
                                    <w:pStyle w:val="TableContents"/>
                                    <w:pBdr/>
                                    <w:spacing w:before="0" w:after="60"/>
                                    <w:ind w:left="0" w:right="0" w:hanging="0"/>
                                    <w:jc w:val="right"/>
                                    <w:rPr/>
                                  </w:pPr>
                                  <w:hyperlink w:anchor="new_id-10">
                                    <w:r>
                                      <w:rPr>
                                        <w:rStyle w:val="InternetLink"/>
                                        <w:rFonts w:ascii="Arial" w:hAnsi="Arial"/>
                                        <w:b/>
                                        <w:strike w:val="false"/>
                                        <w:dstrike w:val="false"/>
                                        <w:color w:val="000000"/>
                                        <w:sz w:val="21"/>
                                        <w:u w:val="none"/>
                                        <w:effect w:val="none"/>
                                      </w:rPr>
                                      <w:t>2</w:t>
                                    </w:r>
                                  </w:hyperlink>
                                  <w:r>
                                    <w:rPr>
                                      <w:rFonts w:ascii="Arial" w:hAnsi="Arial"/>
                                      <w:b/>
                                      <w:color w:val="000000"/>
                                      <w:sz w:val="21"/>
                                    </w:rPr>
                                    <w:t xml:space="preserve"> </w:t>
                                  </w:r>
                                </w:p>
                              </w:tc>
                            </w:tr>
                          </w:tbl>
                          <w:tbl>
                            <w:tblPr>
                              <w:tblW w:w="8545" w:type="dxa"/>
                              <w:jc w:val="left"/>
                              <w:tblInd w:w="0" w:type="dxa"/>
                              <w:tblCellMar>
                                <w:top w:w="0" w:type="dxa"/>
                                <w:left w:w="0" w:type="dxa"/>
                                <w:bottom w:w="0" w:type="dxa"/>
                                <w:right w:w="0" w:type="dxa"/>
                              </w:tblCellMar>
                            </w:tblPr>
                            <w:tblGrid>
                              <w:gridCol w:w="8330"/>
                              <w:gridCol w:w="215"/>
                            </w:tblGrid>
                            <w:tr>
                              <w:trPr/>
                              <w:tc>
                                <w:tcPr>
                                  <w:tcW w:w="8330" w:type="dxa"/>
                                  <w:tcBorders/>
                                  <w:shd w:fill="auto" w:val="clear"/>
                                  <w:vAlign w:val="center"/>
                                </w:tcPr>
                                <w:p>
                                  <w:pPr>
                                    <w:pStyle w:val="TableContents"/>
                                    <w:pBdr/>
                                    <w:spacing w:before="0" w:after="60"/>
                                    <w:ind w:left="300" w:right="105" w:hanging="0"/>
                                    <w:rPr/>
                                  </w:pPr>
                                  <w:hyperlink w:anchor="new_id-11">
                                    <w:r>
                                      <w:rPr>
                                        <w:rStyle w:val="InternetLink"/>
                                        <w:rFonts w:ascii="Arial" w:hAnsi="Arial"/>
                                        <w:strike w:val="false"/>
                                        <w:dstrike w:val="false"/>
                                        <w:color w:val="000000"/>
                                        <w:sz w:val="21"/>
                                        <w:u w:val="none"/>
                                        <w:effect w:val="none"/>
                                      </w:rPr>
                                      <w:t>Compensation and Governance Practices Designed to Drive Long-Term Performance</w:t>
                                    </w:r>
                                  </w:hyperlink>
                                  <w:r>
                                    <w:rPr>
                                      <w:rFonts w:ascii="Arial" w:hAnsi="Arial"/>
                                      <w:color w:val="000000"/>
                                      <w:sz w:val="21"/>
                                    </w:rPr>
                                    <w:t xml:space="preserve"> </w:t>
                                  </w:r>
                                </w:p>
                              </w:tc>
                              <w:tc>
                                <w:tcPr>
                                  <w:tcW w:w="215" w:type="dxa"/>
                                  <w:tcBorders/>
                                  <w:shd w:fill="auto" w:val="clear"/>
                                  <w:vAlign w:val="center"/>
                                </w:tcPr>
                                <w:p>
                                  <w:pPr>
                                    <w:pStyle w:val="TableContents"/>
                                    <w:pBdr/>
                                    <w:spacing w:before="0" w:after="60"/>
                                    <w:ind w:left="0" w:right="0" w:hanging="0"/>
                                    <w:jc w:val="right"/>
                                    <w:rPr/>
                                  </w:pPr>
                                  <w:hyperlink w:anchor="new_id-11">
                                    <w:r>
                                      <w:rPr>
                                        <w:rStyle w:val="InternetLink"/>
                                        <w:rFonts w:ascii="Arial" w:hAnsi="Arial"/>
                                        <w:strike w:val="false"/>
                                        <w:dstrike w:val="false"/>
                                        <w:color w:val="000000"/>
                                        <w:sz w:val="21"/>
                                        <w:u w:val="none"/>
                                        <w:effect w:val="none"/>
                                      </w:rPr>
                                      <w:t>2</w:t>
                                    </w:r>
                                  </w:hyperlink>
                                  <w:r>
                                    <w:rPr>
                                      <w:rFonts w:ascii="Arial" w:hAnsi="Arial"/>
                                      <w:color w:val="000000"/>
                                      <w:sz w:val="21"/>
                                    </w:rPr>
                                    <w:t xml:space="preserve"> </w:t>
                                  </w:r>
                                </w:p>
                              </w:tc>
                            </w:tr>
                          </w:tbl>
                          <w:tbl>
                            <w:tblPr>
                              <w:tblW w:w="5725" w:type="dxa"/>
                              <w:jc w:val="left"/>
                              <w:tblInd w:w="0" w:type="dxa"/>
                              <w:tblCellMar>
                                <w:top w:w="0" w:type="dxa"/>
                                <w:left w:w="0" w:type="dxa"/>
                                <w:bottom w:w="0" w:type="dxa"/>
                                <w:right w:w="0" w:type="dxa"/>
                              </w:tblCellMar>
                            </w:tblPr>
                            <w:tblGrid>
                              <w:gridCol w:w="5510"/>
                              <w:gridCol w:w="215"/>
                            </w:tblGrid>
                            <w:tr>
                              <w:trPr/>
                              <w:tc>
                                <w:tcPr>
                                  <w:tcW w:w="5510" w:type="dxa"/>
                                  <w:tcBorders/>
                                  <w:shd w:fill="auto" w:val="clear"/>
                                  <w:vAlign w:val="center"/>
                                </w:tcPr>
                                <w:p>
                                  <w:pPr>
                                    <w:pStyle w:val="TableContents"/>
                                    <w:pBdr/>
                                    <w:spacing w:before="0" w:after="60"/>
                                    <w:ind w:left="300" w:right="105" w:hanging="0"/>
                                    <w:rPr/>
                                  </w:pPr>
                                  <w:hyperlink w:anchor="new_id-12">
                                    <w:r>
                                      <w:rPr>
                                        <w:rStyle w:val="InternetLink"/>
                                        <w:rFonts w:ascii="Arial" w:hAnsi="Arial"/>
                                        <w:strike w:val="false"/>
                                        <w:dstrike w:val="false"/>
                                        <w:color w:val="000000"/>
                                        <w:sz w:val="21"/>
                                        <w:u w:val="none"/>
                                        <w:effect w:val="none"/>
                                      </w:rPr>
                                      <w:t>Longstanding Commitment to Shareholder Engagement</w:t>
                                    </w:r>
                                  </w:hyperlink>
                                  <w:r>
                                    <w:rPr>
                                      <w:rFonts w:ascii="Arial" w:hAnsi="Arial"/>
                                      <w:color w:val="000000"/>
                                      <w:sz w:val="21"/>
                                    </w:rPr>
                                    <w:t xml:space="preserve"> </w:t>
                                  </w:r>
                                </w:p>
                              </w:tc>
                              <w:tc>
                                <w:tcPr>
                                  <w:tcW w:w="215" w:type="dxa"/>
                                  <w:tcBorders/>
                                  <w:shd w:fill="auto" w:val="clear"/>
                                  <w:vAlign w:val="center"/>
                                </w:tcPr>
                                <w:p>
                                  <w:pPr>
                                    <w:pStyle w:val="TableContents"/>
                                    <w:pBdr/>
                                    <w:spacing w:before="0" w:after="60"/>
                                    <w:ind w:left="0" w:right="0" w:hanging="0"/>
                                    <w:jc w:val="right"/>
                                    <w:rPr/>
                                  </w:pPr>
                                  <w:hyperlink w:anchor="new_id-12">
                                    <w:r>
                                      <w:rPr>
                                        <w:rStyle w:val="InternetLink"/>
                                        <w:rFonts w:ascii="Arial" w:hAnsi="Arial"/>
                                        <w:strike w:val="false"/>
                                        <w:dstrike w:val="false"/>
                                        <w:color w:val="000000"/>
                                        <w:sz w:val="21"/>
                                        <w:u w:val="none"/>
                                        <w:effect w:val="none"/>
                                      </w:rPr>
                                      <w:t>3</w:t>
                                    </w:r>
                                  </w:hyperlink>
                                  <w:r>
                                    <w:rPr>
                                      <w:rFonts w:ascii="Arial" w:hAnsi="Arial"/>
                                      <w:color w:val="000000"/>
                                      <w:sz w:val="21"/>
                                    </w:rPr>
                                    <w:t xml:space="preserve"> </w:t>
                                  </w:r>
                                </w:p>
                              </w:tc>
                            </w:tr>
                          </w:tbl>
                          <w:tbl>
                            <w:tblPr>
                              <w:tblW w:w="2290" w:type="dxa"/>
                              <w:jc w:val="left"/>
                              <w:tblInd w:w="0" w:type="dxa"/>
                              <w:tblCellMar>
                                <w:top w:w="0" w:type="dxa"/>
                                <w:left w:w="0" w:type="dxa"/>
                                <w:bottom w:w="0" w:type="dxa"/>
                                <w:right w:w="0" w:type="dxa"/>
                              </w:tblCellMar>
                            </w:tblPr>
                            <w:tblGrid>
                              <w:gridCol w:w="2075"/>
                              <w:gridCol w:w="215"/>
                            </w:tblGrid>
                            <w:tr>
                              <w:trPr/>
                              <w:tc>
                                <w:tcPr>
                                  <w:tcW w:w="2075" w:type="dxa"/>
                                  <w:tcBorders/>
                                  <w:shd w:fill="auto" w:val="clear"/>
                                  <w:vAlign w:val="center"/>
                                </w:tcPr>
                                <w:p>
                                  <w:pPr>
                                    <w:pStyle w:val="TableContents"/>
                                    <w:pBdr/>
                                    <w:spacing w:before="0" w:after="60"/>
                                    <w:ind w:left="0" w:right="105" w:hanging="0"/>
                                    <w:rPr/>
                                  </w:pPr>
                                  <w:hyperlink w:anchor="new_id-13">
                                    <w:r>
                                      <w:rPr>
                                        <w:rStyle w:val="InternetLink"/>
                                        <w:rFonts w:ascii="Arial" w:hAnsi="Arial"/>
                                        <w:b/>
                                        <w:strike w:val="false"/>
                                        <w:dstrike w:val="false"/>
                                        <w:color w:val="245BA7"/>
                                        <w:sz w:val="21"/>
                                        <w:u w:val="none"/>
                                        <w:effect w:val="none"/>
                                      </w:rPr>
                                      <w:t>Board of Directors</w:t>
                                    </w:r>
                                  </w:hyperlink>
                                  <w:r>
                                    <w:rPr>
                                      <w:rFonts w:ascii="Arial" w:hAnsi="Arial"/>
                                      <w:b/>
                                      <w:color w:val="245BA7"/>
                                      <w:sz w:val="21"/>
                                    </w:rPr>
                                    <w:t xml:space="preserve"> </w:t>
                                  </w:r>
                                </w:p>
                              </w:tc>
                              <w:tc>
                                <w:tcPr>
                                  <w:tcW w:w="215" w:type="dxa"/>
                                  <w:tcBorders/>
                                  <w:shd w:fill="auto" w:val="clear"/>
                                  <w:vAlign w:val="center"/>
                                </w:tcPr>
                                <w:p>
                                  <w:pPr>
                                    <w:pStyle w:val="TableContents"/>
                                    <w:pBdr/>
                                    <w:spacing w:before="0" w:after="60"/>
                                    <w:ind w:left="0" w:right="0" w:hanging="0"/>
                                    <w:jc w:val="right"/>
                                    <w:rPr/>
                                  </w:pPr>
                                  <w:hyperlink w:anchor="new_id-13">
                                    <w:r>
                                      <w:rPr>
                                        <w:rStyle w:val="InternetLink"/>
                                        <w:rFonts w:ascii="Arial" w:hAnsi="Arial"/>
                                        <w:b/>
                                        <w:strike w:val="false"/>
                                        <w:dstrike w:val="false"/>
                                        <w:color w:val="245BA7"/>
                                        <w:sz w:val="21"/>
                                        <w:u w:val="none"/>
                                        <w:effect w:val="none"/>
                                      </w:rPr>
                                      <w:t>5</w:t>
                                    </w:r>
                                  </w:hyperlink>
                                  <w:r>
                                    <w:rPr>
                                      <w:rFonts w:ascii="Arial" w:hAnsi="Arial"/>
                                      <w:b/>
                                      <w:color w:val="245BA7"/>
                                      <w:sz w:val="21"/>
                                    </w:rPr>
                                    <w:t xml:space="preserve"> </w:t>
                                  </w:r>
                                </w:p>
                              </w:tc>
                            </w:tr>
                          </w:tbl>
                          <w:tbl>
                            <w:tblPr>
                              <w:tblW w:w="1975" w:type="dxa"/>
                              <w:jc w:val="left"/>
                              <w:tblInd w:w="0" w:type="dxa"/>
                              <w:tblCellMar>
                                <w:top w:w="0" w:type="dxa"/>
                                <w:left w:w="0" w:type="dxa"/>
                                <w:bottom w:w="0" w:type="dxa"/>
                                <w:right w:w="0" w:type="dxa"/>
                              </w:tblCellMar>
                            </w:tblPr>
                            <w:tblGrid>
                              <w:gridCol w:w="1760"/>
                              <w:gridCol w:w="215"/>
                            </w:tblGrid>
                            <w:tr>
                              <w:trPr/>
                              <w:tc>
                                <w:tcPr>
                                  <w:tcW w:w="1760" w:type="dxa"/>
                                  <w:tcBorders/>
                                  <w:shd w:fill="auto" w:val="clear"/>
                                  <w:vAlign w:val="center"/>
                                </w:tcPr>
                                <w:p>
                                  <w:pPr>
                                    <w:pStyle w:val="TableContents"/>
                                    <w:pBdr/>
                                    <w:spacing w:before="0" w:after="60"/>
                                    <w:ind w:left="0" w:right="105" w:hanging="0"/>
                                    <w:rPr/>
                                  </w:pPr>
                                  <w:hyperlink w:anchor="new_id-14">
                                    <w:r>
                                      <w:rPr>
                                        <w:rStyle w:val="InternetLink"/>
                                        <w:rFonts w:ascii="Arial" w:hAnsi="Arial"/>
                                        <w:b/>
                                        <w:strike w:val="false"/>
                                        <w:dstrike w:val="false"/>
                                        <w:color w:val="000000"/>
                                        <w:sz w:val="21"/>
                                        <w:u w:val="none"/>
                                        <w:effect w:val="none"/>
                                      </w:rPr>
                                      <w:t>Meet the Board</w:t>
                                    </w:r>
                                  </w:hyperlink>
                                  <w:r>
                                    <w:rPr>
                                      <w:rFonts w:ascii="Arial" w:hAnsi="Arial"/>
                                      <w:b/>
                                      <w:color w:val="000000"/>
                                      <w:sz w:val="21"/>
                                    </w:rPr>
                                    <w:t xml:space="preserve"> </w:t>
                                  </w:r>
                                </w:p>
                              </w:tc>
                              <w:tc>
                                <w:tcPr>
                                  <w:tcW w:w="215" w:type="dxa"/>
                                  <w:tcBorders/>
                                  <w:shd w:fill="auto" w:val="clear"/>
                                  <w:vAlign w:val="center"/>
                                </w:tcPr>
                                <w:p>
                                  <w:pPr>
                                    <w:pStyle w:val="TableContents"/>
                                    <w:pBdr/>
                                    <w:spacing w:before="0" w:after="60"/>
                                    <w:ind w:left="0" w:right="0" w:hanging="0"/>
                                    <w:jc w:val="right"/>
                                    <w:rPr/>
                                  </w:pPr>
                                  <w:hyperlink w:anchor="new_id-14">
                                    <w:r>
                                      <w:rPr>
                                        <w:rStyle w:val="InternetLink"/>
                                        <w:rFonts w:ascii="Arial" w:hAnsi="Arial"/>
                                        <w:b/>
                                        <w:strike w:val="false"/>
                                        <w:dstrike w:val="false"/>
                                        <w:color w:val="000000"/>
                                        <w:sz w:val="21"/>
                                        <w:u w:val="none"/>
                                        <w:effect w:val="none"/>
                                      </w:rPr>
                                      <w:t>5</w:t>
                                    </w:r>
                                  </w:hyperlink>
                                  <w:r>
                                    <w:rPr>
                                      <w:rFonts w:ascii="Arial" w:hAnsi="Arial"/>
                                      <w:b/>
                                      <w:color w:val="000000"/>
                                      <w:sz w:val="21"/>
                                    </w:rPr>
                                    <w:t xml:space="preserve"> </w:t>
                                  </w:r>
                                </w:p>
                              </w:tc>
                            </w:tr>
                          </w:tbl>
                          <w:tbl>
                            <w:tblPr>
                              <w:tblW w:w="2425" w:type="dxa"/>
                              <w:jc w:val="left"/>
                              <w:tblInd w:w="0" w:type="dxa"/>
                              <w:tblCellMar>
                                <w:top w:w="0" w:type="dxa"/>
                                <w:left w:w="0" w:type="dxa"/>
                                <w:bottom w:w="0" w:type="dxa"/>
                                <w:right w:w="0" w:type="dxa"/>
                              </w:tblCellMar>
                            </w:tblPr>
                            <w:tblGrid>
                              <w:gridCol w:w="2090"/>
                              <w:gridCol w:w="335"/>
                            </w:tblGrid>
                            <w:tr>
                              <w:trPr/>
                              <w:tc>
                                <w:tcPr>
                                  <w:tcW w:w="2090" w:type="dxa"/>
                                  <w:tcBorders/>
                                  <w:shd w:fill="auto" w:val="clear"/>
                                  <w:vAlign w:val="center"/>
                                </w:tcPr>
                                <w:p>
                                  <w:pPr>
                                    <w:pStyle w:val="TableContents"/>
                                    <w:pBdr/>
                                    <w:spacing w:before="0" w:after="60"/>
                                    <w:ind w:left="0" w:right="105" w:hanging="0"/>
                                    <w:rPr/>
                                  </w:pPr>
                                  <w:hyperlink w:anchor="new_id-32">
                                    <w:r>
                                      <w:rPr>
                                        <w:rStyle w:val="InternetLink"/>
                                        <w:rFonts w:ascii="Arial" w:hAnsi="Arial"/>
                                        <w:b/>
                                        <w:strike w:val="false"/>
                                        <w:dstrike w:val="false"/>
                                        <w:color w:val="000000"/>
                                        <w:sz w:val="21"/>
                                        <w:u w:val="none"/>
                                        <w:effect w:val="none"/>
                                      </w:rPr>
                                      <w:t>Board Committees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32">
                                    <w:r>
                                      <w:rPr>
                                        <w:rStyle w:val="InternetLink"/>
                                        <w:rFonts w:ascii="Arial" w:hAnsi="Arial"/>
                                        <w:b/>
                                        <w:strike w:val="false"/>
                                        <w:dstrike w:val="false"/>
                                        <w:color w:val="000000"/>
                                        <w:sz w:val="21"/>
                                        <w:u w:val="none"/>
                                        <w:effect w:val="none"/>
                                      </w:rPr>
                                      <w:t>19</w:t>
                                    </w:r>
                                  </w:hyperlink>
                                  <w:r>
                                    <w:rPr>
                                      <w:rFonts w:ascii="Arial" w:hAnsi="Arial"/>
                                      <w:b/>
                                      <w:color w:val="000000"/>
                                      <w:sz w:val="21"/>
                                    </w:rPr>
                                    <w:t xml:space="preserve"> </w:t>
                                  </w:r>
                                </w:p>
                              </w:tc>
                            </w:tr>
                          </w:tbl>
                          <w:tbl>
                            <w:tblPr>
                              <w:tblW w:w="2455" w:type="dxa"/>
                              <w:jc w:val="left"/>
                              <w:tblInd w:w="0" w:type="dxa"/>
                              <w:tblCellMar>
                                <w:top w:w="0" w:type="dxa"/>
                                <w:left w:w="0" w:type="dxa"/>
                                <w:bottom w:w="0" w:type="dxa"/>
                                <w:right w:w="0" w:type="dxa"/>
                              </w:tblCellMar>
                            </w:tblPr>
                            <w:tblGrid>
                              <w:gridCol w:w="2120"/>
                              <w:gridCol w:w="335"/>
                            </w:tblGrid>
                            <w:tr>
                              <w:trPr/>
                              <w:tc>
                                <w:tcPr>
                                  <w:tcW w:w="2120" w:type="dxa"/>
                                  <w:tcBorders/>
                                  <w:shd w:fill="auto" w:val="clear"/>
                                  <w:vAlign w:val="center"/>
                                </w:tcPr>
                                <w:p>
                                  <w:pPr>
                                    <w:pStyle w:val="TableContents"/>
                                    <w:pBdr/>
                                    <w:spacing w:before="0" w:after="60"/>
                                    <w:ind w:left="0" w:right="105" w:hanging="0"/>
                                    <w:rPr/>
                                  </w:pPr>
                                  <w:hyperlink w:anchor="new_id-33">
                                    <w:r>
                                      <w:rPr>
                                        <w:rStyle w:val="InternetLink"/>
                                        <w:rFonts w:ascii="Arial" w:hAnsi="Arial"/>
                                        <w:b/>
                                        <w:strike w:val="false"/>
                                        <w:dstrike w:val="false"/>
                                        <w:color w:val="000000"/>
                                        <w:sz w:val="21"/>
                                        <w:u w:val="none"/>
                                        <w:effect w:val="none"/>
                                      </w:rPr>
                                      <w:t>Board Governance</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33">
                                    <w:r>
                                      <w:rPr>
                                        <w:rStyle w:val="InternetLink"/>
                                        <w:rFonts w:ascii="Arial" w:hAnsi="Arial"/>
                                        <w:b/>
                                        <w:strike w:val="false"/>
                                        <w:dstrike w:val="false"/>
                                        <w:color w:val="000000"/>
                                        <w:sz w:val="21"/>
                                        <w:u w:val="none"/>
                                        <w:effect w:val="none"/>
                                      </w:rPr>
                                      <w:t>22</w:t>
                                    </w:r>
                                  </w:hyperlink>
                                  <w:r>
                                    <w:rPr>
                                      <w:rFonts w:ascii="Arial" w:hAnsi="Arial"/>
                                      <w:b/>
                                      <w:color w:val="000000"/>
                                      <w:sz w:val="21"/>
                                    </w:rPr>
                                    <w:t xml:space="preserve"> </w:t>
                                  </w:r>
                                </w:p>
                              </w:tc>
                            </w:tr>
                          </w:tbl>
                          <w:tbl>
                            <w:tblPr>
                              <w:tblW w:w="2035" w:type="dxa"/>
                              <w:jc w:val="left"/>
                              <w:tblInd w:w="0" w:type="dxa"/>
                              <w:tblCellMar>
                                <w:top w:w="0" w:type="dxa"/>
                                <w:left w:w="0" w:type="dxa"/>
                                <w:bottom w:w="0" w:type="dxa"/>
                                <w:right w:w="0" w:type="dxa"/>
                              </w:tblCellMar>
                            </w:tblPr>
                            <w:tblGrid>
                              <w:gridCol w:w="1700"/>
                              <w:gridCol w:w="335"/>
                            </w:tblGrid>
                            <w:tr>
                              <w:trPr/>
                              <w:tc>
                                <w:tcPr>
                                  <w:tcW w:w="1700" w:type="dxa"/>
                                  <w:tcBorders/>
                                  <w:shd w:fill="auto" w:val="clear"/>
                                  <w:vAlign w:val="center"/>
                                </w:tcPr>
                                <w:p>
                                  <w:pPr>
                                    <w:pStyle w:val="TableContents"/>
                                    <w:pBdr/>
                                    <w:spacing w:before="0" w:after="60"/>
                                    <w:ind w:left="300" w:right="105" w:hanging="0"/>
                                    <w:rPr/>
                                  </w:pPr>
                                  <w:hyperlink w:anchor="new_id-34">
                                    <w:r>
                                      <w:rPr>
                                        <w:rStyle w:val="InternetLink"/>
                                        <w:rFonts w:ascii="Arial" w:hAnsi="Arial"/>
                                        <w:strike w:val="false"/>
                                        <w:dstrike w:val="false"/>
                                        <w:color w:val="000000"/>
                                        <w:sz w:val="21"/>
                                        <w:u w:val="none"/>
                                        <w:effect w:val="none"/>
                                      </w:rPr>
                                      <w:t>Board Structure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34">
                                    <w:r>
                                      <w:rPr>
                                        <w:rStyle w:val="InternetLink"/>
                                        <w:rFonts w:ascii="Arial" w:hAnsi="Arial"/>
                                        <w:strike w:val="false"/>
                                        <w:dstrike w:val="false"/>
                                        <w:color w:val="000000"/>
                                        <w:sz w:val="21"/>
                                        <w:u w:val="none"/>
                                        <w:effect w:val="none"/>
                                      </w:rPr>
                                      <w:t>22</w:t>
                                    </w:r>
                                  </w:hyperlink>
                                  <w:r>
                                    <w:rPr>
                                      <w:rFonts w:ascii="Arial" w:hAnsi="Arial"/>
                                      <w:color w:val="000000"/>
                                      <w:sz w:val="21"/>
                                    </w:rPr>
                                    <w:t xml:space="preserve"> </w:t>
                                  </w:r>
                                </w:p>
                              </w:tc>
                            </w:tr>
                          </w:tbl>
                          <w:tbl>
                            <w:tblPr>
                              <w:tblW w:w="4750" w:type="dxa"/>
                              <w:jc w:val="left"/>
                              <w:tblInd w:w="0" w:type="dxa"/>
                              <w:tblCellMar>
                                <w:top w:w="0" w:type="dxa"/>
                                <w:left w:w="0" w:type="dxa"/>
                                <w:bottom w:w="0" w:type="dxa"/>
                                <w:right w:w="0" w:type="dxa"/>
                              </w:tblCellMar>
                            </w:tblPr>
                            <w:tblGrid>
                              <w:gridCol w:w="4415"/>
                              <w:gridCol w:w="335"/>
                            </w:tblGrid>
                            <w:tr>
                              <w:trPr/>
                              <w:tc>
                                <w:tcPr>
                                  <w:tcW w:w="4415" w:type="dxa"/>
                                  <w:tcBorders/>
                                  <w:shd w:fill="auto" w:val="clear"/>
                                  <w:vAlign w:val="center"/>
                                </w:tcPr>
                                <w:p>
                                  <w:pPr>
                                    <w:pStyle w:val="TableContents"/>
                                    <w:pBdr/>
                                    <w:spacing w:before="0" w:after="60"/>
                                    <w:ind w:left="300" w:right="105" w:hanging="0"/>
                                    <w:rPr/>
                                  </w:pPr>
                                  <w:hyperlink w:anchor="new_id-37">
                                    <w:r>
                                      <w:rPr>
                                        <w:rStyle w:val="InternetLink"/>
                                        <w:rFonts w:ascii="Arial" w:hAnsi="Arial"/>
                                        <w:strike w:val="false"/>
                                        <w:dstrike w:val="false"/>
                                        <w:color w:val="000000"/>
                                        <w:sz w:val="21"/>
                                        <w:u w:val="none"/>
                                        <w:effect w:val="none"/>
                                      </w:rPr>
                                      <w:t>Board Meetings and Attendance of Directors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37">
                                    <w:r>
                                      <w:rPr>
                                        <w:rStyle w:val="InternetLink"/>
                                        <w:rFonts w:ascii="Arial" w:hAnsi="Arial"/>
                                        <w:strike w:val="false"/>
                                        <w:dstrike w:val="false"/>
                                        <w:color w:val="000000"/>
                                        <w:sz w:val="21"/>
                                        <w:u w:val="none"/>
                                        <w:effect w:val="none"/>
                                      </w:rPr>
                                      <w:t>22</w:t>
                                    </w:r>
                                  </w:hyperlink>
                                  <w:r>
                                    <w:rPr>
                                      <w:rFonts w:ascii="Arial" w:hAnsi="Arial"/>
                                      <w:color w:val="000000"/>
                                      <w:sz w:val="21"/>
                                    </w:rPr>
                                    <w:t xml:space="preserve"> </w:t>
                                  </w:r>
                                </w:p>
                              </w:tc>
                            </w:tr>
                          </w:tbl>
                          <w:tbl>
                            <w:tblPr>
                              <w:tblW w:w="3670" w:type="dxa"/>
                              <w:jc w:val="left"/>
                              <w:tblInd w:w="0" w:type="dxa"/>
                              <w:tblCellMar>
                                <w:top w:w="0" w:type="dxa"/>
                                <w:left w:w="0" w:type="dxa"/>
                                <w:bottom w:w="0" w:type="dxa"/>
                                <w:right w:w="0" w:type="dxa"/>
                              </w:tblCellMar>
                            </w:tblPr>
                            <w:tblGrid>
                              <w:gridCol w:w="3335"/>
                              <w:gridCol w:w="335"/>
                            </w:tblGrid>
                            <w:tr>
                              <w:trPr/>
                              <w:tc>
                                <w:tcPr>
                                  <w:tcW w:w="3335" w:type="dxa"/>
                                  <w:tcBorders/>
                                  <w:shd w:fill="auto" w:val="clear"/>
                                  <w:vAlign w:val="center"/>
                                </w:tcPr>
                                <w:p>
                                  <w:pPr>
                                    <w:pStyle w:val="TableContents"/>
                                    <w:pBdr/>
                                    <w:spacing w:before="0" w:after="60"/>
                                    <w:ind w:left="300" w:right="105" w:hanging="0"/>
                                    <w:rPr/>
                                  </w:pPr>
                                  <w:hyperlink w:anchor="new_id-40">
                                    <w:r>
                                      <w:rPr>
                                        <w:rStyle w:val="InternetLink"/>
                                        <w:rFonts w:ascii="Arial" w:hAnsi="Arial"/>
                                        <w:strike w:val="false"/>
                                        <w:dstrike w:val="false"/>
                                        <w:color w:val="000000"/>
                                        <w:sz w:val="21"/>
                                        <w:u w:val="none"/>
                                        <w:effect w:val="none"/>
                                      </w:rPr>
                                      <w:t>Director Refreshment Philosophy</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40">
                                    <w:r>
                                      <w:rPr>
                                        <w:rStyle w:val="InternetLink"/>
                                        <w:rFonts w:ascii="Arial" w:hAnsi="Arial"/>
                                        <w:strike w:val="false"/>
                                        <w:dstrike w:val="false"/>
                                        <w:color w:val="000000"/>
                                        <w:sz w:val="21"/>
                                        <w:u w:val="none"/>
                                        <w:effect w:val="none"/>
                                      </w:rPr>
                                      <w:t>23</w:t>
                                    </w:r>
                                  </w:hyperlink>
                                  <w:r>
                                    <w:rPr>
                                      <w:rFonts w:ascii="Arial" w:hAnsi="Arial"/>
                                      <w:color w:val="000000"/>
                                      <w:sz w:val="21"/>
                                    </w:rPr>
                                    <w:t xml:space="preserve"> </w:t>
                                  </w:r>
                                </w:p>
                              </w:tc>
                            </w:tr>
                          </w:tbl>
                          <w:tbl>
                            <w:tblPr>
                              <w:tblW w:w="6445" w:type="dxa"/>
                              <w:jc w:val="left"/>
                              <w:tblInd w:w="0" w:type="dxa"/>
                              <w:tblCellMar>
                                <w:top w:w="0" w:type="dxa"/>
                                <w:left w:w="0" w:type="dxa"/>
                                <w:bottom w:w="0" w:type="dxa"/>
                                <w:right w:w="0" w:type="dxa"/>
                              </w:tblCellMar>
                            </w:tblPr>
                            <w:tblGrid>
                              <w:gridCol w:w="6110"/>
                              <w:gridCol w:w="335"/>
                            </w:tblGrid>
                            <w:tr>
                              <w:trPr/>
                              <w:tc>
                                <w:tcPr>
                                  <w:tcW w:w="6110" w:type="dxa"/>
                                  <w:tcBorders/>
                                  <w:shd w:fill="auto" w:val="clear"/>
                                  <w:vAlign w:val="center"/>
                                </w:tcPr>
                                <w:p>
                                  <w:pPr>
                                    <w:pStyle w:val="TableContents"/>
                                    <w:pBdr/>
                                    <w:spacing w:before="0" w:after="60"/>
                                    <w:ind w:left="300" w:right="105" w:hanging="0"/>
                                    <w:rPr/>
                                  </w:pPr>
                                  <w:hyperlink w:anchor="new_id-41">
                                    <w:r>
                                      <w:rPr>
                                        <w:rStyle w:val="InternetLink"/>
                                        <w:rFonts w:ascii="Arial" w:hAnsi="Arial"/>
                                        <w:strike w:val="false"/>
                                        <w:dstrike w:val="false"/>
                                        <w:color w:val="000000"/>
                                        <w:sz w:val="21"/>
                                        <w:u w:val="none"/>
                                        <w:effect w:val="none"/>
                                      </w:rPr>
                                      <w:t>Procedures Relating to Nominees; Board Succession Planning</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41">
                                    <w:r>
                                      <w:rPr>
                                        <w:rStyle w:val="InternetLink"/>
                                        <w:rFonts w:ascii="Arial" w:hAnsi="Arial"/>
                                        <w:strike w:val="false"/>
                                        <w:dstrike w:val="false"/>
                                        <w:color w:val="000000"/>
                                        <w:sz w:val="21"/>
                                        <w:u w:val="none"/>
                                        <w:effect w:val="none"/>
                                      </w:rPr>
                                      <w:t>23</w:t>
                                    </w:r>
                                  </w:hyperlink>
                                  <w:r>
                                    <w:rPr>
                                      <w:rFonts w:ascii="Arial" w:hAnsi="Arial"/>
                                      <w:color w:val="000000"/>
                                      <w:sz w:val="21"/>
                                    </w:rPr>
                                    <w:t xml:space="preserve"> </w:t>
                                  </w:r>
                                </w:p>
                              </w:tc>
                            </w:tr>
                          </w:tbl>
                          <w:tbl>
                            <w:tblPr>
                              <w:tblW w:w="4375" w:type="dxa"/>
                              <w:jc w:val="left"/>
                              <w:tblInd w:w="0" w:type="dxa"/>
                              <w:tblCellMar>
                                <w:top w:w="0" w:type="dxa"/>
                                <w:left w:w="0" w:type="dxa"/>
                                <w:bottom w:w="0" w:type="dxa"/>
                                <w:right w:w="0" w:type="dxa"/>
                              </w:tblCellMar>
                            </w:tblPr>
                            <w:tblGrid>
                              <w:gridCol w:w="4040"/>
                              <w:gridCol w:w="335"/>
                            </w:tblGrid>
                            <w:tr>
                              <w:trPr/>
                              <w:tc>
                                <w:tcPr>
                                  <w:tcW w:w="4040" w:type="dxa"/>
                                  <w:tcBorders/>
                                  <w:shd w:fill="auto" w:val="clear"/>
                                  <w:vAlign w:val="center"/>
                                </w:tcPr>
                                <w:p>
                                  <w:pPr>
                                    <w:pStyle w:val="TableContents"/>
                                    <w:pBdr/>
                                    <w:spacing w:before="0" w:after="60"/>
                                    <w:ind w:left="300" w:right="105" w:hanging="0"/>
                                    <w:rPr/>
                                  </w:pPr>
                                  <w:hyperlink w:anchor="new_id-42">
                                    <w:r>
                                      <w:rPr>
                                        <w:rStyle w:val="InternetLink"/>
                                        <w:rFonts w:ascii="Arial" w:hAnsi="Arial"/>
                                        <w:strike w:val="false"/>
                                        <w:dstrike w:val="false"/>
                                        <w:color w:val="000000"/>
                                        <w:sz w:val="21"/>
                                        <w:u w:val="none"/>
                                        <w:effect w:val="none"/>
                                      </w:rPr>
                                      <w:t>Board and Committee Self-Assessments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42">
                                    <w:r>
                                      <w:rPr>
                                        <w:rStyle w:val="InternetLink"/>
                                        <w:rFonts w:ascii="Arial" w:hAnsi="Arial"/>
                                        <w:strike w:val="false"/>
                                        <w:dstrike w:val="false"/>
                                        <w:color w:val="000000"/>
                                        <w:sz w:val="21"/>
                                        <w:u w:val="none"/>
                                        <w:effect w:val="none"/>
                                      </w:rPr>
                                      <w:t>24</w:t>
                                    </w:r>
                                  </w:hyperlink>
                                  <w:r>
                                    <w:rPr>
                                      <w:rFonts w:ascii="Arial" w:hAnsi="Arial"/>
                                      <w:color w:val="000000"/>
                                      <w:sz w:val="21"/>
                                    </w:rPr>
                                    <w:t xml:space="preserve"> </w:t>
                                  </w:r>
                                </w:p>
                              </w:tc>
                            </w:tr>
                          </w:tbl>
                          <w:tbl>
                            <w:tblPr>
                              <w:tblW w:w="5725" w:type="dxa"/>
                              <w:jc w:val="left"/>
                              <w:tblInd w:w="0" w:type="dxa"/>
                              <w:tblCellMar>
                                <w:top w:w="0" w:type="dxa"/>
                                <w:left w:w="0" w:type="dxa"/>
                                <w:bottom w:w="0" w:type="dxa"/>
                                <w:right w:w="0" w:type="dxa"/>
                              </w:tblCellMar>
                            </w:tblPr>
                            <w:tblGrid>
                              <w:gridCol w:w="5390"/>
                              <w:gridCol w:w="335"/>
                            </w:tblGrid>
                            <w:tr>
                              <w:trPr/>
                              <w:tc>
                                <w:tcPr>
                                  <w:tcW w:w="5390" w:type="dxa"/>
                                  <w:tcBorders/>
                                  <w:shd w:fill="auto" w:val="clear"/>
                                  <w:vAlign w:val="center"/>
                                </w:tcPr>
                                <w:p>
                                  <w:pPr>
                                    <w:pStyle w:val="TableContents"/>
                                    <w:pBdr/>
                                    <w:spacing w:before="0" w:after="60"/>
                                    <w:ind w:left="300" w:right="105" w:hanging="0"/>
                                    <w:rPr/>
                                  </w:pPr>
                                  <w:hyperlink w:anchor="new_id-44">
                                    <w:r>
                                      <w:rPr>
                                        <w:rStyle w:val="InternetLink"/>
                                        <w:rFonts w:ascii="Arial" w:hAnsi="Arial"/>
                                        <w:strike w:val="false"/>
                                        <w:dstrike w:val="false"/>
                                        <w:color w:val="000000"/>
                                        <w:sz w:val="21"/>
                                        <w:u w:val="none"/>
                                        <w:effect w:val="none"/>
                                      </w:rPr>
                                      <w:t>Shareholder Right to Call Special Shareholder Meeting</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44">
                                    <w:r>
                                      <w:rPr>
                                        <w:rStyle w:val="InternetLink"/>
                                        <w:rFonts w:ascii="Arial" w:hAnsi="Arial"/>
                                        <w:strike w:val="false"/>
                                        <w:dstrike w:val="false"/>
                                        <w:color w:val="000000"/>
                                        <w:sz w:val="21"/>
                                        <w:u w:val="none"/>
                                        <w:effect w:val="none"/>
                                      </w:rPr>
                                      <w:t>25</w:t>
                                    </w:r>
                                  </w:hyperlink>
                                  <w:r>
                                    <w:rPr>
                                      <w:rFonts w:ascii="Arial" w:hAnsi="Arial"/>
                                      <w:color w:val="000000"/>
                                      <w:sz w:val="21"/>
                                    </w:rPr>
                                    <w:t xml:space="preserve"> </w:t>
                                  </w:r>
                                </w:p>
                              </w:tc>
                            </w:tr>
                          </w:tbl>
                          <w:tbl>
                            <w:tblPr>
                              <w:tblW w:w="2710" w:type="dxa"/>
                              <w:jc w:val="left"/>
                              <w:tblInd w:w="0" w:type="dxa"/>
                              <w:tblCellMar>
                                <w:top w:w="0" w:type="dxa"/>
                                <w:left w:w="0" w:type="dxa"/>
                                <w:bottom w:w="0" w:type="dxa"/>
                                <w:right w:w="0" w:type="dxa"/>
                              </w:tblCellMar>
                            </w:tblPr>
                            <w:tblGrid>
                              <w:gridCol w:w="2375"/>
                              <w:gridCol w:w="335"/>
                            </w:tblGrid>
                            <w:tr>
                              <w:trPr/>
                              <w:tc>
                                <w:tcPr>
                                  <w:tcW w:w="2375" w:type="dxa"/>
                                  <w:tcBorders/>
                                  <w:shd w:fill="auto" w:val="clear"/>
                                  <w:vAlign w:val="center"/>
                                </w:tcPr>
                                <w:p>
                                  <w:pPr>
                                    <w:pStyle w:val="TableContents"/>
                                    <w:pBdr/>
                                    <w:spacing w:before="0" w:after="60"/>
                                    <w:ind w:left="300" w:right="105" w:hanging="0"/>
                                    <w:rPr/>
                                  </w:pPr>
                                  <w:hyperlink w:anchor="new_id-45">
                                    <w:r>
                                      <w:rPr>
                                        <w:rStyle w:val="InternetLink"/>
                                        <w:rFonts w:ascii="Arial" w:hAnsi="Arial"/>
                                        <w:strike w:val="false"/>
                                        <w:dstrike w:val="false"/>
                                        <w:color w:val="000000"/>
                                        <w:sz w:val="21"/>
                                        <w:u w:val="none"/>
                                        <w:effect w:val="none"/>
                                      </w:rPr>
                                      <w:t>Director Independence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45">
                                    <w:r>
                                      <w:rPr>
                                        <w:rStyle w:val="InternetLink"/>
                                        <w:rFonts w:ascii="Arial" w:hAnsi="Arial"/>
                                        <w:strike w:val="false"/>
                                        <w:dstrike w:val="false"/>
                                        <w:color w:val="000000"/>
                                        <w:sz w:val="21"/>
                                        <w:u w:val="none"/>
                                        <w:effect w:val="none"/>
                                      </w:rPr>
                                      <w:t>25</w:t>
                                    </w:r>
                                  </w:hyperlink>
                                  <w:r>
                                    <w:rPr>
                                      <w:rFonts w:ascii="Arial" w:hAnsi="Arial"/>
                                      <w:color w:val="000000"/>
                                      <w:sz w:val="21"/>
                                    </w:rPr>
                                    <w:t xml:space="preserve"> </w:t>
                                  </w:r>
                                </w:p>
                              </w:tc>
                            </w:tr>
                          </w:tbl>
                          <w:tbl>
                            <w:tblPr>
                              <w:tblW w:w="3362" w:type="dxa"/>
                              <w:jc w:val="left"/>
                              <w:tblInd w:w="0" w:type="dxa"/>
                              <w:tblCellMar>
                                <w:top w:w="28" w:type="dxa"/>
                                <w:left w:w="28" w:type="dxa"/>
                                <w:bottom w:w="28" w:type="dxa"/>
                                <w:right w:w="28" w:type="dxa"/>
                              </w:tblCellMar>
                            </w:tblPr>
                            <w:tblGrid>
                              <w:gridCol w:w="2911"/>
                              <w:gridCol w:w="451"/>
                            </w:tblGrid>
                            <w:tr>
                              <w:trPr/>
                              <w:tc>
                                <w:tcPr>
                                  <w:tcW w:w="2911" w:type="dxa"/>
                                  <w:tcBorders/>
                                  <w:shd w:fill="auto" w:val="clear"/>
                                  <w:vAlign w:val="center"/>
                                </w:tcPr>
                                <w:p>
                                  <w:pPr>
                                    <w:pStyle w:val="TableContents"/>
                                    <w:pBdr/>
                                    <w:spacing w:before="0" w:after="60"/>
                                    <w:ind w:left="300" w:right="105" w:hanging="0"/>
                                    <w:rPr/>
                                  </w:pPr>
                                  <w:hyperlink w:anchor="new_id-46">
                                    <w:r>
                                      <w:rPr>
                                        <w:rStyle w:val="InternetLink"/>
                                        <w:rFonts w:ascii="Arial" w:hAnsi="Arial"/>
                                        <w:strike w:val="false"/>
                                        <w:dstrike w:val="false"/>
                                        <w:color w:val="000000"/>
                                        <w:sz w:val="21"/>
                                        <w:u w:val="none"/>
                                        <w:effect w:val="none"/>
                                      </w:rPr>
                                      <w:t>Board Leadership Structure</w:t>
                                    </w:r>
                                  </w:hyperlink>
                                  <w:r>
                                    <w:rPr>
                                      <w:rFonts w:ascii="Arial" w:hAnsi="Arial"/>
                                      <w:color w:val="000000"/>
                                      <w:sz w:val="21"/>
                                    </w:rPr>
                                    <w:t xml:space="preserve"> </w:t>
                                  </w:r>
                                </w:p>
                              </w:tc>
                              <w:tc>
                                <w:tcPr>
                                  <w:tcW w:w="451" w:type="dxa"/>
                                  <w:tcBorders/>
                                  <w:shd w:fill="auto" w:val="clear"/>
                                  <w:vAlign w:val="center"/>
                                </w:tcPr>
                                <w:p>
                                  <w:pPr>
                                    <w:pStyle w:val="TableContents"/>
                                    <w:pBdr/>
                                    <w:spacing w:before="0" w:after="60"/>
                                    <w:ind w:left="0" w:right="0" w:hanging="0"/>
                                    <w:jc w:val="right"/>
                                    <w:rPr/>
                                  </w:pPr>
                                  <w:hyperlink w:anchor="new_id-46">
                                    <w:r>
                                      <w:rPr>
                                        <w:rStyle w:val="InternetLink"/>
                                        <w:rFonts w:ascii="Arial" w:hAnsi="Arial"/>
                                        <w:strike w:val="false"/>
                                        <w:dstrike w:val="false"/>
                                        <w:color w:val="000000"/>
                                        <w:sz w:val="21"/>
                                        <w:u w:val="none"/>
                                        <w:effect w:val="none"/>
                                      </w:rPr>
                                      <w:t>25</w:t>
                                    </w:r>
                                  </w:hyperlink>
                                  <w:r>
                                    <w:rPr>
                                      <w:rFonts w:ascii="Arial" w:hAnsi="Arial"/>
                                      <w:color w:val="000000"/>
                                      <w:sz w:val="21"/>
                                    </w:rPr>
                                    <w:t xml:space="preserve"> </w:t>
                                  </w:r>
                                </w:p>
                              </w:tc>
                            </w:tr>
                          </w:tbl>
                          <w:tbl>
                            <w:tblPr>
                              <w:tblW w:w="5305" w:type="dxa"/>
                              <w:jc w:val="left"/>
                              <w:tblInd w:w="0" w:type="dxa"/>
                              <w:tblCellMar>
                                <w:top w:w="0" w:type="dxa"/>
                                <w:left w:w="0" w:type="dxa"/>
                                <w:bottom w:w="0" w:type="dxa"/>
                                <w:right w:w="0" w:type="dxa"/>
                              </w:tblCellMar>
                            </w:tblPr>
                            <w:tblGrid>
                              <w:gridCol w:w="4970"/>
                              <w:gridCol w:w="335"/>
                            </w:tblGrid>
                            <w:tr>
                              <w:trPr/>
                              <w:tc>
                                <w:tcPr>
                                  <w:tcW w:w="4970" w:type="dxa"/>
                                  <w:tcBorders/>
                                  <w:shd w:fill="auto" w:val="clear"/>
                                  <w:vAlign w:val="center"/>
                                </w:tcPr>
                                <w:p>
                                  <w:pPr>
                                    <w:pStyle w:val="TableContents"/>
                                    <w:pBdr/>
                                    <w:spacing w:before="0" w:after="60"/>
                                    <w:ind w:left="300" w:right="105" w:hanging="0"/>
                                    <w:rPr/>
                                  </w:pPr>
                                  <w:hyperlink w:anchor="new_id-49">
                                    <w:r>
                                      <w:rPr>
                                        <w:rStyle w:val="InternetLink"/>
                                        <w:rFonts w:ascii="Arial" w:hAnsi="Arial"/>
                                        <w:strike w:val="false"/>
                                        <w:dstrike w:val="false"/>
                                        <w:color w:val="000000"/>
                                        <w:sz w:val="21"/>
                                        <w:u w:val="none"/>
                                        <w:effect w:val="none"/>
                                      </w:rPr>
                                      <w:t>Board Oversight of Risk and Key Pricing Decisions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49">
                                    <w:r>
                                      <w:rPr>
                                        <w:rStyle w:val="InternetLink"/>
                                        <w:rFonts w:ascii="Arial" w:hAnsi="Arial"/>
                                        <w:strike w:val="false"/>
                                        <w:dstrike w:val="false"/>
                                        <w:color w:val="000000"/>
                                        <w:sz w:val="21"/>
                                        <w:u w:val="none"/>
                                        <w:effect w:val="none"/>
                                      </w:rPr>
                                      <w:t>26</w:t>
                                    </w:r>
                                  </w:hyperlink>
                                  <w:r>
                                    <w:rPr>
                                      <w:rFonts w:ascii="Arial" w:hAnsi="Arial"/>
                                      <w:color w:val="000000"/>
                                      <w:sz w:val="21"/>
                                    </w:rPr>
                                    <w:t xml:space="preserve"> </w:t>
                                  </w:r>
                                </w:p>
                              </w:tc>
                            </w:tr>
                          </w:tbl>
                          <w:tbl>
                            <w:tblPr>
                              <w:tblW w:w="8935" w:type="dxa"/>
                              <w:jc w:val="left"/>
                              <w:tblInd w:w="0" w:type="dxa"/>
                              <w:tblCellMar>
                                <w:top w:w="0" w:type="dxa"/>
                                <w:left w:w="0" w:type="dxa"/>
                                <w:bottom w:w="0" w:type="dxa"/>
                                <w:right w:w="0" w:type="dxa"/>
                              </w:tblCellMar>
                            </w:tblPr>
                            <w:tblGrid>
                              <w:gridCol w:w="8600"/>
                              <w:gridCol w:w="335"/>
                            </w:tblGrid>
                            <w:tr>
                              <w:trPr/>
                              <w:tc>
                                <w:tcPr>
                                  <w:tcW w:w="8600" w:type="dxa"/>
                                  <w:tcBorders/>
                                  <w:shd w:fill="auto" w:val="clear"/>
                                  <w:vAlign w:val="center"/>
                                </w:tcPr>
                                <w:p>
                                  <w:pPr>
                                    <w:pStyle w:val="TableContents"/>
                                    <w:pBdr/>
                                    <w:spacing w:before="0" w:after="60"/>
                                    <w:ind w:left="300" w:right="105" w:hanging="0"/>
                                    <w:rPr/>
                                  </w:pPr>
                                  <w:hyperlink w:anchor="new_id-50">
                                    <w:r>
                                      <w:rPr>
                                        <w:rStyle w:val="InternetLink"/>
                                        <w:rFonts w:ascii="Arial" w:hAnsi="Arial"/>
                                        <w:strike w:val="false"/>
                                        <w:dstrike w:val="false"/>
                                        <w:color w:val="000000"/>
                                        <w:sz w:val="21"/>
                                        <w:u w:val="none"/>
                                        <w:effect w:val="none"/>
                                      </w:rPr>
                                      <w:t>Executive Compensation Processes and Procedures; Role of Compensation Consultants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50">
                                    <w:r>
                                      <w:rPr>
                                        <w:rStyle w:val="InternetLink"/>
                                        <w:rFonts w:ascii="Arial" w:hAnsi="Arial"/>
                                        <w:strike w:val="false"/>
                                        <w:dstrike w:val="false"/>
                                        <w:color w:val="000000"/>
                                        <w:sz w:val="21"/>
                                        <w:u w:val="none"/>
                                        <w:effect w:val="none"/>
                                      </w:rPr>
                                      <w:t>27</w:t>
                                    </w:r>
                                  </w:hyperlink>
                                  <w:r>
                                    <w:rPr>
                                      <w:rFonts w:ascii="Arial" w:hAnsi="Arial"/>
                                      <w:color w:val="000000"/>
                                      <w:sz w:val="21"/>
                                    </w:rPr>
                                    <w:t xml:space="preserve"> </w:t>
                                  </w:r>
                                </w:p>
                              </w:tc>
                            </w:tr>
                          </w:tbl>
                          <w:tbl>
                            <w:tblPr>
                              <w:tblW w:w="6745" w:type="dxa"/>
                              <w:jc w:val="left"/>
                              <w:tblInd w:w="0" w:type="dxa"/>
                              <w:tblCellMar>
                                <w:top w:w="0" w:type="dxa"/>
                                <w:left w:w="0" w:type="dxa"/>
                                <w:bottom w:w="0" w:type="dxa"/>
                                <w:right w:w="0" w:type="dxa"/>
                              </w:tblCellMar>
                            </w:tblPr>
                            <w:tblGrid>
                              <w:gridCol w:w="6410"/>
                              <w:gridCol w:w="335"/>
                            </w:tblGrid>
                            <w:tr>
                              <w:trPr/>
                              <w:tc>
                                <w:tcPr>
                                  <w:tcW w:w="6410" w:type="dxa"/>
                                  <w:tcBorders/>
                                  <w:shd w:fill="auto" w:val="clear"/>
                                  <w:vAlign w:val="center"/>
                                </w:tcPr>
                                <w:p>
                                  <w:pPr>
                                    <w:pStyle w:val="TableContents"/>
                                    <w:pBdr/>
                                    <w:spacing w:before="0" w:after="60"/>
                                    <w:ind w:left="300" w:right="105" w:hanging="0"/>
                                    <w:rPr/>
                                  </w:pPr>
                                  <w:hyperlink w:anchor="new_id-51">
                                    <w:r>
                                      <w:rPr>
                                        <w:rStyle w:val="InternetLink"/>
                                        <w:rFonts w:ascii="Arial" w:hAnsi="Arial"/>
                                        <w:strike w:val="false"/>
                                        <w:dstrike w:val="false"/>
                                        <w:color w:val="000000"/>
                                        <w:sz w:val="21"/>
                                        <w:u w:val="none"/>
                                        <w:effect w:val="none"/>
                                      </w:rPr>
                                      <w:t>Shareholder Engagement Philosophy and Board Responsiveness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51">
                                    <w:r>
                                      <w:rPr>
                                        <w:rStyle w:val="InternetLink"/>
                                        <w:rFonts w:ascii="Arial" w:hAnsi="Arial"/>
                                        <w:strike w:val="false"/>
                                        <w:dstrike w:val="false"/>
                                        <w:color w:val="000000"/>
                                        <w:sz w:val="21"/>
                                        <w:u w:val="none"/>
                                        <w:effect w:val="none"/>
                                      </w:rPr>
                                      <w:t>27</w:t>
                                    </w:r>
                                  </w:hyperlink>
                                  <w:r>
                                    <w:rPr>
                                      <w:rFonts w:ascii="Arial" w:hAnsi="Arial"/>
                                      <w:color w:val="000000"/>
                                      <w:sz w:val="21"/>
                                    </w:rPr>
                                    <w:t xml:space="preserve"> </w:t>
                                  </w:r>
                                </w:p>
                              </w:tc>
                            </w:tr>
                          </w:tbl>
                          <w:tbl>
                            <w:tblPr>
                              <w:tblW w:w="3295" w:type="dxa"/>
                              <w:jc w:val="left"/>
                              <w:tblInd w:w="0" w:type="dxa"/>
                              <w:tblCellMar>
                                <w:top w:w="0" w:type="dxa"/>
                                <w:left w:w="0" w:type="dxa"/>
                                <w:bottom w:w="0" w:type="dxa"/>
                                <w:right w:w="0" w:type="dxa"/>
                              </w:tblCellMar>
                            </w:tblPr>
                            <w:tblGrid>
                              <w:gridCol w:w="2960"/>
                              <w:gridCol w:w="335"/>
                            </w:tblGrid>
                            <w:tr>
                              <w:trPr/>
                              <w:tc>
                                <w:tcPr>
                                  <w:tcW w:w="2960" w:type="dxa"/>
                                  <w:tcBorders/>
                                  <w:shd w:fill="auto" w:val="clear"/>
                                  <w:vAlign w:val="center"/>
                                </w:tcPr>
                                <w:p>
                                  <w:pPr>
                                    <w:pStyle w:val="TableContents"/>
                                    <w:pBdr/>
                                    <w:spacing w:before="0" w:after="60"/>
                                    <w:ind w:left="0" w:right="105" w:hanging="0"/>
                                    <w:rPr/>
                                  </w:pPr>
                                  <w:hyperlink w:anchor="new_id-53">
                                    <w:r>
                                      <w:rPr>
                                        <w:rStyle w:val="InternetLink"/>
                                        <w:rFonts w:ascii="Arial" w:hAnsi="Arial"/>
                                        <w:b/>
                                        <w:strike w:val="false"/>
                                        <w:dstrike w:val="false"/>
                                        <w:color w:val="000000"/>
                                        <w:sz w:val="21"/>
                                        <w:u w:val="none"/>
                                        <w:effect w:val="none"/>
                                      </w:rPr>
                                      <w:t>Compensation of Directors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53">
                                    <w:r>
                                      <w:rPr>
                                        <w:rStyle w:val="InternetLink"/>
                                        <w:rFonts w:ascii="Arial" w:hAnsi="Arial"/>
                                        <w:b/>
                                        <w:strike w:val="false"/>
                                        <w:dstrike w:val="false"/>
                                        <w:color w:val="000000"/>
                                        <w:sz w:val="21"/>
                                        <w:u w:val="none"/>
                                        <w:effect w:val="none"/>
                                      </w:rPr>
                                      <w:t>29</w:t>
                                    </w:r>
                                  </w:hyperlink>
                                  <w:r>
                                    <w:rPr>
                                      <w:rFonts w:ascii="Arial" w:hAnsi="Arial"/>
                                      <w:b/>
                                      <w:color w:val="000000"/>
                                      <w:sz w:val="21"/>
                                    </w:rPr>
                                    <w:t xml:space="preserve"> </w:t>
                                  </w:r>
                                </w:p>
                              </w:tc>
                            </w:tr>
                          </w:tbl>
                          <w:tbl>
                            <w:tblPr>
                              <w:tblW w:w="4337" w:type="dxa"/>
                              <w:jc w:val="left"/>
                              <w:tblInd w:w="0" w:type="dxa"/>
                              <w:tblCellMar>
                                <w:top w:w="0" w:type="dxa"/>
                                <w:left w:w="0" w:type="dxa"/>
                                <w:bottom w:w="0" w:type="dxa"/>
                                <w:right w:w="0" w:type="dxa"/>
                              </w:tblCellMar>
                            </w:tblPr>
                            <w:tblGrid>
                              <w:gridCol w:w="3811"/>
                              <w:gridCol w:w="526"/>
                            </w:tblGrid>
                            <w:tr>
                              <w:trPr/>
                              <w:tc>
                                <w:tcPr>
                                  <w:tcW w:w="38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r>
                            <w:tr>
                              <w:trPr/>
                              <w:tc>
                                <w:tcPr>
                                  <w:tcW w:w="3811" w:type="dxa"/>
                                  <w:tcBorders>
                                    <w:bottom w:val="single" w:sz="12" w:space="0" w:color="245BA7"/>
                                  </w:tcBorders>
                                  <w:shd w:fill="auto" w:val="clear"/>
                                  <w:tcMar>
                                    <w:bottom w:w="45" w:type="dxa"/>
                                  </w:tcMar>
                                  <w:vAlign w:val="center"/>
                                </w:tcPr>
                                <w:p>
                                  <w:pPr>
                                    <w:pStyle w:val="TableContents"/>
                                    <w:pBdr/>
                                    <w:spacing w:before="0" w:after="0"/>
                                    <w:ind w:left="0" w:right="210" w:hanging="0"/>
                                    <w:rPr/>
                                  </w:pPr>
                                  <w:hyperlink w:anchor="new_id-63">
                                    <w:r>
                                      <w:rPr>
                                        <w:rStyle w:val="InternetLink"/>
                                        <w:rFonts w:ascii="Arial" w:hAnsi="Arial"/>
                                        <w:b/>
                                        <w:strike w:val="false"/>
                                        <w:dstrike w:val="false"/>
                                        <w:color w:val="000000"/>
                                        <w:sz w:val="18"/>
                                        <w:u w:val="none"/>
                                        <w:effect w:val="none"/>
                                      </w:rPr>
                                      <w:t>PROPOSAL NO. 1</w:t>
                                    </w:r>
                                  </w:hyperlink>
                                  <w:hyperlink w:anchor="new_id-63">
                                    <w:r>
                                      <w:rPr>
                                        <w:rStyle w:val="InternetLink"/>
                                        <w:rFonts w:ascii="Arial" w:hAnsi="Arial"/>
                                        <w:b/>
                                        <w:strike w:val="false"/>
                                        <w:dstrike w:val="false"/>
                                        <w:color w:val="D31B5D"/>
                                        <w:sz w:val="27"/>
                                        <w:u w:val="none"/>
                                        <w:effect w:val="none"/>
                                      </w:rPr>
                                      <w:br/>
                                      <w:t>ELECTION OF DIRECTORS</w:t>
                                    </w:r>
                                  </w:hyperlink>
                                </w:p>
                              </w:tc>
                              <w:tc>
                                <w:tcPr>
                                  <w:tcW w:w="526" w:type="dxa"/>
                                  <w:tcBorders>
                                    <w:bottom w:val="single" w:sz="12" w:space="0" w:color="245BA7"/>
                                  </w:tcBorders>
                                  <w:shd w:fill="auto" w:val="clear"/>
                                  <w:tcMar>
                                    <w:bottom w:w="45" w:type="dxa"/>
                                  </w:tcMar>
                                  <w:vAlign w:val="center"/>
                                </w:tcPr>
                                <w:p>
                                  <w:pPr>
                                    <w:pStyle w:val="TableContents"/>
                                    <w:pBdr/>
                                    <w:spacing w:before="0" w:after="0"/>
                                    <w:ind w:left="0" w:right="0" w:hanging="0"/>
                                    <w:jc w:val="right"/>
                                    <w:rPr/>
                                  </w:pPr>
                                  <w:hyperlink w:anchor="new_id-63">
                                    <w:r>
                                      <w:rPr>
                                        <w:rStyle w:val="InternetLink"/>
                                        <w:rFonts w:ascii="Arial" w:hAnsi="Arial"/>
                                        <w:b/>
                                        <w:strike w:val="false"/>
                                        <w:dstrike w:val="false"/>
                                        <w:color w:val="D31B5D"/>
                                        <w:sz w:val="27"/>
                                        <w:u w:val="none"/>
                                        <w:effect w:val="none"/>
                                      </w:rPr>
                                      <w:t>33</w:t>
                                    </w:r>
                                  </w:hyperlink>
                                  <w:r>
                                    <w:rPr>
                                      <w:rFonts w:ascii="Arial" w:hAnsi="Arial"/>
                                      <w:b/>
                                      <w:color w:val="D31B5D"/>
                                      <w:sz w:val="27"/>
                                    </w:rPr>
                                    <w:t xml:space="preserve"> </w:t>
                                  </w:r>
                                </w:p>
                              </w:tc>
                            </w:tr>
                          </w:tbl>
                          <w:tbl>
                            <w:tblPr>
                              <w:tblW w:w="1960" w:type="dxa"/>
                              <w:jc w:val="left"/>
                              <w:tblInd w:w="0" w:type="dxa"/>
                              <w:tblCellMar>
                                <w:top w:w="0" w:type="dxa"/>
                                <w:left w:w="0" w:type="dxa"/>
                                <w:bottom w:w="0" w:type="dxa"/>
                                <w:right w:w="0" w:type="dxa"/>
                              </w:tblCellMar>
                            </w:tblPr>
                            <w:tblGrid>
                              <w:gridCol w:w="1625"/>
                              <w:gridCol w:w="335"/>
                            </w:tblGrid>
                            <w:tr>
                              <w:trPr/>
                              <w:tc>
                                <w:tcPr>
                                  <w:tcW w:w="1625" w:type="dxa"/>
                                  <w:tcBorders/>
                                  <w:shd w:fill="auto" w:val="clear"/>
                                  <w:vAlign w:val="center"/>
                                </w:tcPr>
                                <w:p>
                                  <w:pPr>
                                    <w:pStyle w:val="TableContents"/>
                                    <w:pBdr/>
                                    <w:spacing w:before="0" w:after="60"/>
                                    <w:ind w:left="0" w:right="105" w:hanging="0"/>
                                    <w:rPr/>
                                  </w:pPr>
                                  <w:hyperlink w:anchor="new_id-64">
                                    <w:r>
                                      <w:rPr>
                                        <w:rStyle w:val="InternetLink"/>
                                        <w:rFonts w:ascii="Arial" w:hAnsi="Arial"/>
                                        <w:b/>
                                        <w:strike w:val="false"/>
                                        <w:dstrike w:val="false"/>
                                        <w:color w:val="245BA7"/>
                                        <w:sz w:val="21"/>
                                        <w:u w:val="none"/>
                                        <w:effect w:val="none"/>
                                      </w:rPr>
                                      <w:t>The Company</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64">
                                    <w:r>
                                      <w:rPr>
                                        <w:rStyle w:val="InternetLink"/>
                                        <w:rFonts w:ascii="Arial" w:hAnsi="Arial"/>
                                        <w:b/>
                                        <w:strike w:val="false"/>
                                        <w:dstrike w:val="false"/>
                                        <w:color w:val="245BA7"/>
                                        <w:sz w:val="21"/>
                                        <w:u w:val="none"/>
                                        <w:effect w:val="none"/>
                                      </w:rPr>
                                      <w:t>34</w:t>
                                    </w:r>
                                  </w:hyperlink>
                                  <w:r>
                                    <w:rPr>
                                      <w:rFonts w:ascii="Arial" w:hAnsi="Arial"/>
                                      <w:b/>
                                      <w:color w:val="245BA7"/>
                                      <w:sz w:val="21"/>
                                    </w:rPr>
                                    <w:t xml:space="preserve"> </w:t>
                                  </w:r>
                                </w:p>
                              </w:tc>
                            </w:tr>
                          </w:tbl>
                          <w:tbl>
                            <w:tblPr>
                              <w:tblW w:w="4105" w:type="dxa"/>
                              <w:jc w:val="left"/>
                              <w:tblInd w:w="0" w:type="dxa"/>
                              <w:tblCellMar>
                                <w:top w:w="0" w:type="dxa"/>
                                <w:left w:w="0" w:type="dxa"/>
                                <w:bottom w:w="0" w:type="dxa"/>
                                <w:right w:w="0" w:type="dxa"/>
                              </w:tblCellMar>
                            </w:tblPr>
                            <w:tblGrid>
                              <w:gridCol w:w="3770"/>
                              <w:gridCol w:w="335"/>
                            </w:tblGrid>
                            <w:tr>
                              <w:trPr/>
                              <w:tc>
                                <w:tcPr>
                                  <w:tcW w:w="3770" w:type="dxa"/>
                                  <w:tcBorders/>
                                  <w:shd w:fill="auto" w:val="clear"/>
                                  <w:vAlign w:val="center"/>
                                </w:tcPr>
                                <w:p>
                                  <w:pPr>
                                    <w:pStyle w:val="TableContents"/>
                                    <w:pBdr/>
                                    <w:spacing w:before="0" w:after="60"/>
                                    <w:ind w:left="0" w:right="105" w:hanging="0"/>
                                    <w:rPr/>
                                  </w:pPr>
                                  <w:hyperlink w:anchor="new_id-65">
                                    <w:r>
                                      <w:rPr>
                                        <w:rStyle w:val="InternetLink"/>
                                        <w:rFonts w:ascii="Arial" w:hAnsi="Arial"/>
                                        <w:b/>
                                        <w:strike w:val="false"/>
                                        <w:dstrike w:val="false"/>
                                        <w:color w:val="000000"/>
                                        <w:sz w:val="21"/>
                                        <w:u w:val="none"/>
                                        <w:effect w:val="none"/>
                                      </w:rPr>
                                      <w:t>Executive Officers of the Company</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65">
                                    <w:r>
                                      <w:rPr>
                                        <w:rStyle w:val="InternetLink"/>
                                        <w:rFonts w:ascii="Arial" w:hAnsi="Arial"/>
                                        <w:b/>
                                        <w:strike w:val="false"/>
                                        <w:dstrike w:val="false"/>
                                        <w:color w:val="000000"/>
                                        <w:sz w:val="21"/>
                                        <w:u w:val="none"/>
                                        <w:effect w:val="none"/>
                                      </w:rPr>
                                      <w:t>34</w:t>
                                    </w:r>
                                  </w:hyperlink>
                                  <w:r>
                                    <w:rPr>
                                      <w:rFonts w:ascii="Arial" w:hAnsi="Arial"/>
                                      <w:b/>
                                      <w:color w:val="000000"/>
                                      <w:sz w:val="21"/>
                                    </w:rPr>
                                    <w:t xml:space="preserve"> </w:t>
                                  </w:r>
                                </w:p>
                              </w:tc>
                            </w:tr>
                          </w:tbl>
                          <w:tbl>
                            <w:tblPr>
                              <w:tblW w:w="2860" w:type="dxa"/>
                              <w:jc w:val="left"/>
                              <w:tblInd w:w="0" w:type="dxa"/>
                              <w:tblCellMar>
                                <w:top w:w="0" w:type="dxa"/>
                                <w:left w:w="0" w:type="dxa"/>
                                <w:bottom w:w="0" w:type="dxa"/>
                                <w:right w:w="0" w:type="dxa"/>
                              </w:tblCellMar>
                            </w:tblPr>
                            <w:tblGrid>
                              <w:gridCol w:w="2525"/>
                              <w:gridCol w:w="335"/>
                            </w:tblGrid>
                            <w:tr>
                              <w:trPr/>
                              <w:tc>
                                <w:tcPr>
                                  <w:tcW w:w="2525" w:type="dxa"/>
                                  <w:tcBorders/>
                                  <w:shd w:fill="auto" w:val="clear"/>
                                  <w:vAlign w:val="center"/>
                                </w:tcPr>
                                <w:p>
                                  <w:pPr>
                                    <w:pStyle w:val="TableContents"/>
                                    <w:pBdr/>
                                    <w:spacing w:before="0" w:after="60"/>
                                    <w:ind w:left="0" w:right="105" w:hanging="0"/>
                                    <w:rPr/>
                                  </w:pPr>
                                  <w:hyperlink w:anchor="new_id-66">
                                    <w:r>
                                      <w:rPr>
                                        <w:rStyle w:val="InternetLink"/>
                                        <w:rFonts w:ascii="Arial" w:hAnsi="Arial"/>
                                        <w:b/>
                                        <w:strike w:val="false"/>
                                        <w:dstrike w:val="false"/>
                                        <w:color w:val="000000"/>
                                        <w:sz w:val="21"/>
                                        <w:u w:val="none"/>
                                        <w:effect w:val="none"/>
                                      </w:rPr>
                                      <w:t>Corporate Governance</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66">
                                    <w:r>
                                      <w:rPr>
                                        <w:rStyle w:val="InternetLink"/>
                                        <w:rFonts w:ascii="Arial" w:hAnsi="Arial"/>
                                        <w:b/>
                                        <w:strike w:val="false"/>
                                        <w:dstrike w:val="false"/>
                                        <w:color w:val="000000"/>
                                        <w:sz w:val="21"/>
                                        <w:u w:val="none"/>
                                        <w:effect w:val="none"/>
                                      </w:rPr>
                                      <w:t>36</w:t>
                                    </w:r>
                                  </w:hyperlink>
                                  <w:r>
                                    <w:rPr>
                                      <w:rFonts w:ascii="Arial" w:hAnsi="Arial"/>
                                      <w:b/>
                                      <w:color w:val="000000"/>
                                      <w:sz w:val="21"/>
                                    </w:rPr>
                                    <w:t xml:space="preserve"> </w:t>
                                  </w:r>
                                </w:p>
                              </w:tc>
                            </w:tr>
                          </w:tbl>
                          <w:tbl>
                            <w:tblPr>
                              <w:tblW w:w="1420" w:type="dxa"/>
                              <w:jc w:val="left"/>
                              <w:tblInd w:w="0" w:type="dxa"/>
                              <w:tblCellMar>
                                <w:top w:w="0" w:type="dxa"/>
                                <w:left w:w="0" w:type="dxa"/>
                                <w:bottom w:w="0" w:type="dxa"/>
                                <w:right w:w="0" w:type="dxa"/>
                              </w:tblCellMar>
                            </w:tblPr>
                            <w:tblGrid>
                              <w:gridCol w:w="1085"/>
                              <w:gridCol w:w="335"/>
                            </w:tblGrid>
                            <w:tr>
                              <w:trPr/>
                              <w:tc>
                                <w:tcPr>
                                  <w:tcW w:w="1085" w:type="dxa"/>
                                  <w:tcBorders/>
                                  <w:shd w:fill="auto" w:val="clear"/>
                                  <w:vAlign w:val="center"/>
                                </w:tcPr>
                                <w:p>
                                  <w:pPr>
                                    <w:pStyle w:val="TableContents"/>
                                    <w:pBdr/>
                                    <w:spacing w:before="0" w:after="60"/>
                                    <w:ind w:left="300" w:right="105" w:hanging="0"/>
                                    <w:rPr/>
                                  </w:pPr>
                                  <w:hyperlink w:anchor="new_id-67">
                                    <w:r>
                                      <w:rPr>
                                        <w:rStyle w:val="InternetLink"/>
                                        <w:rFonts w:ascii="Arial" w:hAnsi="Arial"/>
                                        <w:strike w:val="false"/>
                                        <w:dstrike w:val="false"/>
                                        <w:color w:val="000000"/>
                                        <w:sz w:val="21"/>
                                        <w:u w:val="none"/>
                                        <w:effect w:val="none"/>
                                      </w:rPr>
                                      <w:t>Overview</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67">
                                    <w:r>
                                      <w:rPr>
                                        <w:rStyle w:val="InternetLink"/>
                                        <w:rFonts w:ascii="Arial" w:hAnsi="Arial"/>
                                        <w:strike w:val="false"/>
                                        <w:dstrike w:val="false"/>
                                        <w:color w:val="000000"/>
                                        <w:sz w:val="21"/>
                                        <w:u w:val="none"/>
                                        <w:effect w:val="none"/>
                                      </w:rPr>
                                      <w:t>36</w:t>
                                    </w:r>
                                  </w:hyperlink>
                                  <w:r>
                                    <w:rPr>
                                      <w:rFonts w:ascii="Arial" w:hAnsi="Arial"/>
                                      <w:color w:val="000000"/>
                                      <w:sz w:val="21"/>
                                    </w:rPr>
                                    <w:t xml:space="preserve"> </w:t>
                                  </w:r>
                                </w:p>
                              </w:tc>
                            </w:tr>
                          </w:tbl>
                          <w:tbl>
                            <w:tblPr>
                              <w:tblW w:w="2125" w:type="dxa"/>
                              <w:jc w:val="left"/>
                              <w:tblInd w:w="0" w:type="dxa"/>
                              <w:tblCellMar>
                                <w:top w:w="0" w:type="dxa"/>
                                <w:left w:w="0" w:type="dxa"/>
                                <w:bottom w:w="0" w:type="dxa"/>
                                <w:right w:w="0" w:type="dxa"/>
                              </w:tblCellMar>
                            </w:tblPr>
                            <w:tblGrid>
                              <w:gridCol w:w="1790"/>
                              <w:gridCol w:w="335"/>
                            </w:tblGrid>
                            <w:tr>
                              <w:trPr/>
                              <w:tc>
                                <w:tcPr>
                                  <w:tcW w:w="1790" w:type="dxa"/>
                                  <w:tcBorders/>
                                  <w:shd w:fill="auto" w:val="clear"/>
                                  <w:vAlign w:val="center"/>
                                </w:tcPr>
                                <w:p>
                                  <w:pPr>
                                    <w:pStyle w:val="TableContents"/>
                                    <w:pBdr/>
                                    <w:spacing w:before="0" w:after="60"/>
                                    <w:ind w:left="300" w:right="105" w:hanging="0"/>
                                    <w:rPr/>
                                  </w:pPr>
                                  <w:hyperlink w:anchor="new_id-68">
                                    <w:r>
                                      <w:rPr>
                                        <w:rStyle w:val="InternetLink"/>
                                        <w:rFonts w:ascii="Arial" w:hAnsi="Arial"/>
                                        <w:strike w:val="false"/>
                                        <w:dstrike w:val="false"/>
                                        <w:color w:val="000000"/>
                                        <w:sz w:val="21"/>
                                        <w:u w:val="none"/>
                                        <w:effect w:val="none"/>
                                      </w:rPr>
                                      <w:t>Capital Structure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68">
                                    <w:r>
                                      <w:rPr>
                                        <w:rStyle w:val="InternetLink"/>
                                        <w:rFonts w:ascii="Arial" w:hAnsi="Arial"/>
                                        <w:strike w:val="false"/>
                                        <w:dstrike w:val="false"/>
                                        <w:color w:val="000000"/>
                                        <w:sz w:val="21"/>
                                        <w:u w:val="none"/>
                                        <w:effect w:val="none"/>
                                      </w:rPr>
                                      <w:t>37</w:t>
                                    </w:r>
                                  </w:hyperlink>
                                  <w:r>
                                    <w:rPr>
                                      <w:rFonts w:ascii="Arial" w:hAnsi="Arial"/>
                                      <w:color w:val="000000"/>
                                      <w:sz w:val="21"/>
                                    </w:rPr>
                                    <w:t xml:space="preserve"> </w:t>
                                  </w:r>
                                </w:p>
                              </w:tc>
                            </w:tr>
                          </w:tbl>
                          <w:tbl>
                            <w:tblPr>
                              <w:tblW w:w="1915" w:type="dxa"/>
                              <w:jc w:val="left"/>
                              <w:tblInd w:w="0" w:type="dxa"/>
                              <w:tblCellMar>
                                <w:top w:w="0" w:type="dxa"/>
                                <w:left w:w="0" w:type="dxa"/>
                                <w:bottom w:w="0" w:type="dxa"/>
                                <w:right w:w="0" w:type="dxa"/>
                              </w:tblCellMar>
                            </w:tblPr>
                            <w:tblGrid>
                              <w:gridCol w:w="1580"/>
                              <w:gridCol w:w="335"/>
                            </w:tblGrid>
                            <w:tr>
                              <w:trPr/>
                              <w:tc>
                                <w:tcPr>
                                  <w:tcW w:w="1580" w:type="dxa"/>
                                  <w:tcBorders/>
                                  <w:shd w:fill="auto" w:val="clear"/>
                                  <w:vAlign w:val="center"/>
                                </w:tcPr>
                                <w:p>
                                  <w:pPr>
                                    <w:pStyle w:val="TableContents"/>
                                    <w:pBdr/>
                                    <w:spacing w:before="0" w:after="60"/>
                                    <w:ind w:left="300" w:right="105" w:hanging="0"/>
                                    <w:rPr/>
                                  </w:pPr>
                                  <w:hyperlink w:anchor="new_id-69">
                                    <w:r>
                                      <w:rPr>
                                        <w:rStyle w:val="InternetLink"/>
                                        <w:rFonts w:ascii="Arial" w:hAnsi="Arial"/>
                                        <w:strike w:val="false"/>
                                        <w:dstrike w:val="false"/>
                                        <w:color w:val="000000"/>
                                        <w:sz w:val="21"/>
                                        <w:u w:val="none"/>
                                        <w:effect w:val="none"/>
                                      </w:rPr>
                                      <w:t>Code of Ethics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69">
                                    <w:r>
                                      <w:rPr>
                                        <w:rStyle w:val="InternetLink"/>
                                        <w:rFonts w:ascii="Arial" w:hAnsi="Arial"/>
                                        <w:strike w:val="false"/>
                                        <w:dstrike w:val="false"/>
                                        <w:color w:val="000000"/>
                                        <w:sz w:val="21"/>
                                        <w:u w:val="none"/>
                                        <w:effect w:val="none"/>
                                      </w:rPr>
                                      <w:t>37</w:t>
                                    </w:r>
                                  </w:hyperlink>
                                  <w:r>
                                    <w:rPr>
                                      <w:rFonts w:ascii="Arial" w:hAnsi="Arial"/>
                                      <w:color w:val="000000"/>
                                      <w:sz w:val="21"/>
                                    </w:rPr>
                                    <w:t xml:space="preserve"> </w:t>
                                  </w:r>
                                </w:p>
                              </w:tc>
                            </w:tr>
                          </w:tbl>
                          <w:tbl>
                            <w:tblPr>
                              <w:tblW w:w="5725" w:type="dxa"/>
                              <w:jc w:val="left"/>
                              <w:tblInd w:w="0" w:type="dxa"/>
                              <w:tblCellMar>
                                <w:top w:w="0" w:type="dxa"/>
                                <w:left w:w="0" w:type="dxa"/>
                                <w:bottom w:w="0" w:type="dxa"/>
                                <w:right w:w="0" w:type="dxa"/>
                              </w:tblCellMar>
                            </w:tblPr>
                            <w:tblGrid>
                              <w:gridCol w:w="5390"/>
                              <w:gridCol w:w="335"/>
                            </w:tblGrid>
                            <w:tr>
                              <w:trPr/>
                              <w:tc>
                                <w:tcPr>
                                  <w:tcW w:w="5390" w:type="dxa"/>
                                  <w:tcBorders/>
                                  <w:shd w:fill="auto" w:val="clear"/>
                                  <w:vAlign w:val="center"/>
                                </w:tcPr>
                                <w:p>
                                  <w:pPr>
                                    <w:pStyle w:val="TableContents"/>
                                    <w:pBdr/>
                                    <w:spacing w:before="0" w:after="60"/>
                                    <w:ind w:left="300" w:right="105" w:hanging="0"/>
                                    <w:rPr/>
                                  </w:pPr>
                                  <w:hyperlink w:anchor="new_id-70">
                                    <w:r>
                                      <w:rPr>
                                        <w:rStyle w:val="InternetLink"/>
                                        <w:rFonts w:ascii="Arial" w:hAnsi="Arial"/>
                                        <w:strike w:val="false"/>
                                        <w:dstrike w:val="false"/>
                                        <w:color w:val="000000"/>
                                        <w:sz w:val="21"/>
                                        <w:u w:val="none"/>
                                        <w:effect w:val="none"/>
                                      </w:rPr>
                                      <w:t>Succession Planning and Talent Development Process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70">
                                    <w:r>
                                      <w:rPr>
                                        <w:rStyle w:val="InternetLink"/>
                                        <w:rFonts w:ascii="Arial" w:hAnsi="Arial"/>
                                        <w:strike w:val="false"/>
                                        <w:dstrike w:val="false"/>
                                        <w:color w:val="000000"/>
                                        <w:sz w:val="21"/>
                                        <w:u w:val="none"/>
                                        <w:effect w:val="none"/>
                                      </w:rPr>
                                      <w:t>38</w:t>
                                    </w:r>
                                  </w:hyperlink>
                                  <w:r>
                                    <w:rPr>
                                      <w:rFonts w:ascii="Arial" w:hAnsi="Arial"/>
                                      <w:color w:val="000000"/>
                                      <w:sz w:val="21"/>
                                    </w:rPr>
                                    <w:t xml:space="preserve"> </w:t>
                                  </w:r>
                                </w:p>
                              </w:tc>
                            </w:tr>
                          </w:tbl>
                          <w:tbl>
                            <w:tblPr>
                              <w:tblW w:w="2860" w:type="dxa"/>
                              <w:jc w:val="left"/>
                              <w:tblInd w:w="0" w:type="dxa"/>
                              <w:tblCellMar>
                                <w:top w:w="0" w:type="dxa"/>
                                <w:left w:w="0" w:type="dxa"/>
                                <w:bottom w:w="0" w:type="dxa"/>
                                <w:right w:w="0" w:type="dxa"/>
                              </w:tblCellMar>
                            </w:tblPr>
                            <w:tblGrid>
                              <w:gridCol w:w="2525"/>
                              <w:gridCol w:w="335"/>
                            </w:tblGrid>
                            <w:tr>
                              <w:trPr/>
                              <w:tc>
                                <w:tcPr>
                                  <w:tcW w:w="2525" w:type="dxa"/>
                                  <w:tcBorders/>
                                  <w:shd w:fill="auto" w:val="clear"/>
                                  <w:vAlign w:val="center"/>
                                </w:tcPr>
                                <w:p>
                                  <w:pPr>
                                    <w:pStyle w:val="TableContents"/>
                                    <w:pBdr/>
                                    <w:spacing w:before="0" w:after="60"/>
                                    <w:ind w:left="300" w:right="105" w:hanging="0"/>
                                    <w:rPr/>
                                  </w:pPr>
                                  <w:hyperlink w:anchor="new_id-71">
                                    <w:r>
                                      <w:rPr>
                                        <w:rStyle w:val="InternetLink"/>
                                        <w:rFonts w:ascii="Arial" w:hAnsi="Arial"/>
                                        <w:strike w:val="false"/>
                                        <w:dstrike w:val="false"/>
                                        <w:color w:val="000000"/>
                                        <w:sz w:val="21"/>
                                        <w:u w:val="none"/>
                                        <w:effect w:val="none"/>
                                      </w:rPr>
                                      <w:t>Corporate Responsibility</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71">
                                    <w:r>
                                      <w:rPr>
                                        <w:rStyle w:val="InternetLink"/>
                                        <w:rFonts w:ascii="Arial" w:hAnsi="Arial"/>
                                        <w:strike w:val="false"/>
                                        <w:dstrike w:val="false"/>
                                        <w:color w:val="000000"/>
                                        <w:sz w:val="21"/>
                                        <w:u w:val="none"/>
                                        <w:effect w:val="none"/>
                                      </w:rPr>
                                      <w:t>38</w:t>
                                    </w:r>
                                  </w:hyperlink>
                                  <w:r>
                                    <w:rPr>
                                      <w:rFonts w:ascii="Arial" w:hAnsi="Arial"/>
                                      <w:color w:val="000000"/>
                                      <w:sz w:val="21"/>
                                    </w:rPr>
                                    <w:t xml:space="preserve"> </w:t>
                                  </w:r>
                                </w:p>
                              </w:tc>
                            </w:tr>
                          </w:tbl>
                          <w:tbl>
                            <w:tblPr>
                              <w:tblW w:w="2995" w:type="dxa"/>
                              <w:jc w:val="left"/>
                              <w:tblInd w:w="0" w:type="dxa"/>
                              <w:tblCellMar>
                                <w:top w:w="0" w:type="dxa"/>
                                <w:left w:w="0" w:type="dxa"/>
                                <w:bottom w:w="0" w:type="dxa"/>
                                <w:right w:w="0" w:type="dxa"/>
                              </w:tblCellMar>
                            </w:tblPr>
                            <w:tblGrid>
                              <w:gridCol w:w="2660"/>
                              <w:gridCol w:w="335"/>
                            </w:tblGrid>
                            <w:tr>
                              <w:trPr/>
                              <w:tc>
                                <w:tcPr>
                                  <w:tcW w:w="2660" w:type="dxa"/>
                                  <w:tcBorders/>
                                  <w:shd w:fill="auto" w:val="clear"/>
                                  <w:vAlign w:val="center"/>
                                </w:tcPr>
                                <w:p>
                                  <w:pPr>
                                    <w:pStyle w:val="TableContents"/>
                                    <w:pBdr/>
                                    <w:spacing w:before="0" w:after="60"/>
                                    <w:ind w:left="300" w:right="105" w:hanging="0"/>
                                    <w:rPr/>
                                  </w:pPr>
                                  <w:hyperlink w:anchor="new_id-73">
                                    <w:r>
                                      <w:rPr>
                                        <w:rStyle w:val="InternetLink"/>
                                        <w:rFonts w:ascii="Arial" w:hAnsi="Arial"/>
                                        <w:strike w:val="false"/>
                                        <w:dstrike w:val="false"/>
                                        <w:color w:val="000000"/>
                                        <w:sz w:val="21"/>
                                        <w:u w:val="none"/>
                                        <w:effect w:val="none"/>
                                      </w:rPr>
                                      <w:t>Public Policy Engagement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73">
                                    <w:r>
                                      <w:rPr>
                                        <w:rStyle w:val="InternetLink"/>
                                        <w:rFonts w:ascii="Arial" w:hAnsi="Arial"/>
                                        <w:strike w:val="false"/>
                                        <w:dstrike w:val="false"/>
                                        <w:color w:val="000000"/>
                                        <w:sz w:val="21"/>
                                        <w:u w:val="none"/>
                                        <w:effect w:val="none"/>
                                      </w:rPr>
                                      <w:t>41</w:t>
                                    </w:r>
                                  </w:hyperlink>
                                  <w:r>
                                    <w:rPr>
                                      <w:rFonts w:ascii="Arial" w:hAnsi="Arial"/>
                                      <w:color w:val="000000"/>
                                      <w:sz w:val="21"/>
                                    </w:rPr>
                                    <w:t xml:space="preserve"> </w:t>
                                  </w:r>
                                </w:p>
                              </w:tc>
                            </w:tr>
                          </w:tbl>
                          <w:tbl>
                            <w:tblPr>
                              <w:tblW w:w="3205" w:type="dxa"/>
                              <w:jc w:val="left"/>
                              <w:tblInd w:w="0" w:type="dxa"/>
                              <w:tblCellMar>
                                <w:top w:w="0" w:type="dxa"/>
                                <w:left w:w="0" w:type="dxa"/>
                                <w:bottom w:w="0" w:type="dxa"/>
                                <w:right w:w="0" w:type="dxa"/>
                              </w:tblCellMar>
                            </w:tblPr>
                            <w:tblGrid>
                              <w:gridCol w:w="2870"/>
                              <w:gridCol w:w="335"/>
                            </w:tblGrid>
                            <w:tr>
                              <w:trPr/>
                              <w:tc>
                                <w:tcPr>
                                  <w:tcW w:w="2870" w:type="dxa"/>
                                  <w:tcBorders/>
                                  <w:shd w:fill="auto" w:val="clear"/>
                                  <w:vAlign w:val="center"/>
                                </w:tcPr>
                                <w:p>
                                  <w:pPr>
                                    <w:pStyle w:val="TableContents"/>
                                    <w:pBdr/>
                                    <w:spacing w:before="0" w:after="60"/>
                                    <w:ind w:left="300" w:right="105" w:hanging="0"/>
                                    <w:rPr/>
                                  </w:pPr>
                                  <w:hyperlink w:anchor="new_id-74">
                                    <w:r>
                                      <w:rPr>
                                        <w:rStyle w:val="InternetLink"/>
                                        <w:rFonts w:ascii="Arial" w:hAnsi="Arial"/>
                                        <w:strike w:val="false"/>
                                        <w:dstrike w:val="false"/>
                                        <w:color w:val="000000"/>
                                        <w:sz w:val="21"/>
                                        <w:u w:val="none"/>
                                        <w:effect w:val="none"/>
                                      </w:rPr>
                                      <w:t>Stock Ownership Guidelines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74">
                                    <w:r>
                                      <w:rPr>
                                        <w:rStyle w:val="InternetLink"/>
                                        <w:rFonts w:ascii="Arial" w:hAnsi="Arial"/>
                                        <w:strike w:val="false"/>
                                        <w:dstrike w:val="false"/>
                                        <w:color w:val="000000"/>
                                        <w:sz w:val="21"/>
                                        <w:u w:val="none"/>
                                        <w:effect w:val="none"/>
                                      </w:rPr>
                                      <w:t>41</w:t>
                                    </w:r>
                                  </w:hyperlink>
                                  <w:r>
                                    <w:rPr>
                                      <w:rFonts w:ascii="Arial" w:hAnsi="Arial"/>
                                      <w:color w:val="000000"/>
                                      <w:sz w:val="21"/>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72.8pt;mso-wrap-distance-left:0pt;mso-wrap-distance-right:0pt;mso-wrap-distance-top:0pt;mso-wrap-distance-bottom:0pt;margin-top:0pt;mso-position-vertical:top;mso-position-vertical-relative:text;margin-left:0pt;mso-position-horizontal:left;mso-position-horizontal-relative:text">
                <v:textbox>
                  <w:txbxContent>
                    <w:tbl>
                      <w:tblPr>
                        <w:tblW w:w="1735" w:type="dxa"/>
                        <w:jc w:val="left"/>
                        <w:tblInd w:w="0" w:type="dxa"/>
                        <w:tblCellMar>
                          <w:top w:w="0" w:type="dxa"/>
                          <w:left w:w="0" w:type="dxa"/>
                          <w:bottom w:w="0" w:type="dxa"/>
                          <w:right w:w="0" w:type="dxa"/>
                        </w:tblCellMar>
                      </w:tblPr>
                      <w:tblGrid>
                        <w:gridCol w:w="1520"/>
                        <w:gridCol w:w="215"/>
                      </w:tblGrid>
                      <w:tr>
                        <w:trPr/>
                        <w:tc>
                          <w:tcPr>
                            <w:tcW w:w="1520" w:type="dxa"/>
                            <w:tcBorders/>
                            <w:shd w:fill="auto" w:val="clear"/>
                            <w:vAlign w:val="center"/>
                          </w:tcPr>
                          <w:p>
                            <w:pPr>
                              <w:pStyle w:val="TableContents"/>
                              <w:pBdr/>
                              <w:spacing w:before="0" w:after="60"/>
                              <w:ind w:left="0" w:right="105" w:hanging="0"/>
                              <w:rPr/>
                            </w:pPr>
                            <w:hyperlink w:anchor="new_id-6">
                              <w:r>
                                <w:rPr>
                                  <w:rStyle w:val="InternetLink"/>
                                  <w:rFonts w:ascii="Arial" w:hAnsi="Arial"/>
                                  <w:b/>
                                  <w:strike w:val="false"/>
                                  <w:dstrike w:val="false"/>
                                  <w:color w:val="245BA7"/>
                                  <w:sz w:val="21"/>
                                  <w:u w:val="none"/>
                                  <w:effect w:val="none"/>
                                </w:rPr>
                                <w:t>Users’ Guide</w:t>
                              </w:r>
                            </w:hyperlink>
                            <w:r>
                              <w:rPr>
                                <w:rFonts w:ascii="Arial" w:hAnsi="Arial"/>
                                <w:b/>
                                <w:color w:val="245BA7"/>
                                <w:sz w:val="21"/>
                              </w:rPr>
                              <w:t xml:space="preserve"> </w:t>
                            </w:r>
                          </w:p>
                        </w:tc>
                        <w:tc>
                          <w:tcPr>
                            <w:tcW w:w="215" w:type="dxa"/>
                            <w:tcBorders/>
                            <w:shd w:fill="auto" w:val="clear"/>
                            <w:vAlign w:val="center"/>
                          </w:tcPr>
                          <w:p>
                            <w:pPr>
                              <w:pStyle w:val="TableContents"/>
                              <w:pBdr/>
                              <w:spacing w:before="0" w:after="60"/>
                              <w:ind w:left="0" w:right="0" w:hanging="0"/>
                              <w:jc w:val="right"/>
                              <w:rPr/>
                            </w:pPr>
                            <w:hyperlink w:anchor="new_id-6">
                              <w:r>
                                <w:rPr>
                                  <w:rStyle w:val="InternetLink"/>
                                  <w:rFonts w:ascii="Arial" w:hAnsi="Arial"/>
                                  <w:b/>
                                  <w:strike w:val="false"/>
                                  <w:dstrike w:val="false"/>
                                  <w:color w:val="245BA7"/>
                                  <w:sz w:val="21"/>
                                  <w:u w:val="none"/>
                                  <w:effect w:val="none"/>
                                </w:rPr>
                                <w:t>1</w:t>
                              </w:r>
                            </w:hyperlink>
                            <w:r>
                              <w:rPr>
                                <w:rFonts w:ascii="Arial" w:hAnsi="Arial"/>
                                <w:b/>
                                <w:color w:val="245BA7"/>
                                <w:sz w:val="21"/>
                              </w:rPr>
                              <w:t xml:space="preserve"> </w:t>
                            </w:r>
                          </w:p>
                        </w:tc>
                      </w:tr>
                    </w:tbl>
                    <w:tbl>
                      <w:tblPr>
                        <w:tblW w:w="2185" w:type="dxa"/>
                        <w:jc w:val="left"/>
                        <w:tblInd w:w="0" w:type="dxa"/>
                        <w:tblCellMar>
                          <w:top w:w="0" w:type="dxa"/>
                          <w:left w:w="0" w:type="dxa"/>
                          <w:bottom w:w="0" w:type="dxa"/>
                          <w:right w:w="0" w:type="dxa"/>
                        </w:tblCellMar>
                      </w:tblPr>
                      <w:tblGrid>
                        <w:gridCol w:w="1970"/>
                        <w:gridCol w:w="215"/>
                      </w:tblGrid>
                      <w:tr>
                        <w:trPr/>
                        <w:tc>
                          <w:tcPr>
                            <w:tcW w:w="1970" w:type="dxa"/>
                            <w:tcBorders/>
                            <w:shd w:fill="auto" w:val="clear"/>
                            <w:vAlign w:val="center"/>
                          </w:tcPr>
                          <w:p>
                            <w:pPr>
                              <w:pStyle w:val="TableContents"/>
                              <w:pBdr/>
                              <w:spacing w:before="0" w:after="60"/>
                              <w:ind w:left="0" w:right="105" w:hanging="0"/>
                              <w:rPr/>
                            </w:pPr>
                            <w:hyperlink w:anchor="new_id-7">
                              <w:r>
                                <w:rPr>
                                  <w:rStyle w:val="InternetLink"/>
                                  <w:rFonts w:ascii="Arial" w:hAnsi="Arial"/>
                                  <w:b/>
                                  <w:strike w:val="false"/>
                                  <w:dstrike w:val="false"/>
                                  <w:color w:val="000000"/>
                                  <w:sz w:val="21"/>
                                  <w:u w:val="none"/>
                                  <w:effect w:val="none"/>
                                </w:rPr>
                                <w:t>Proxy Dashboard</w:t>
                              </w:r>
                            </w:hyperlink>
                            <w:r>
                              <w:rPr>
                                <w:rFonts w:ascii="Arial" w:hAnsi="Arial"/>
                                <w:b/>
                                <w:color w:val="000000"/>
                                <w:sz w:val="21"/>
                              </w:rPr>
                              <w:t xml:space="preserve"> </w:t>
                            </w:r>
                          </w:p>
                        </w:tc>
                        <w:tc>
                          <w:tcPr>
                            <w:tcW w:w="215" w:type="dxa"/>
                            <w:tcBorders/>
                            <w:shd w:fill="auto" w:val="clear"/>
                            <w:vAlign w:val="center"/>
                          </w:tcPr>
                          <w:p>
                            <w:pPr>
                              <w:pStyle w:val="TableContents"/>
                              <w:pBdr/>
                              <w:spacing w:before="0" w:after="60"/>
                              <w:ind w:left="0" w:right="0" w:hanging="0"/>
                              <w:jc w:val="right"/>
                              <w:rPr/>
                            </w:pPr>
                            <w:hyperlink w:anchor="new_id-7">
                              <w:r>
                                <w:rPr>
                                  <w:rStyle w:val="InternetLink"/>
                                  <w:rFonts w:ascii="Arial" w:hAnsi="Arial"/>
                                  <w:b/>
                                  <w:strike w:val="false"/>
                                  <w:dstrike w:val="false"/>
                                  <w:color w:val="000000"/>
                                  <w:sz w:val="21"/>
                                  <w:u w:val="none"/>
                                  <w:effect w:val="none"/>
                                </w:rPr>
                                <w:t>1</w:t>
                              </w:r>
                            </w:hyperlink>
                            <w:r>
                              <w:rPr>
                                <w:rFonts w:ascii="Arial" w:hAnsi="Arial"/>
                                <w:b/>
                                <w:color w:val="000000"/>
                                <w:sz w:val="21"/>
                              </w:rPr>
                              <w:t xml:space="preserve"> </w:t>
                            </w:r>
                          </w:p>
                        </w:tc>
                      </w:tr>
                    </w:tbl>
                    <w:tbl>
                      <w:tblPr>
                        <w:tblW w:w="2125" w:type="dxa"/>
                        <w:jc w:val="left"/>
                        <w:tblInd w:w="0" w:type="dxa"/>
                        <w:tblCellMar>
                          <w:top w:w="0" w:type="dxa"/>
                          <w:left w:w="0" w:type="dxa"/>
                          <w:bottom w:w="0" w:type="dxa"/>
                          <w:right w:w="0" w:type="dxa"/>
                        </w:tblCellMar>
                      </w:tblPr>
                      <w:tblGrid>
                        <w:gridCol w:w="1910"/>
                        <w:gridCol w:w="215"/>
                      </w:tblGrid>
                      <w:tr>
                        <w:trPr/>
                        <w:tc>
                          <w:tcPr>
                            <w:tcW w:w="1910" w:type="dxa"/>
                            <w:tcBorders/>
                            <w:shd w:fill="auto" w:val="clear"/>
                            <w:vAlign w:val="center"/>
                          </w:tcPr>
                          <w:p>
                            <w:pPr>
                              <w:pStyle w:val="TableContents"/>
                              <w:pBdr/>
                              <w:spacing w:before="0" w:after="60"/>
                              <w:ind w:left="0" w:right="105" w:hanging="0"/>
                              <w:rPr/>
                            </w:pPr>
                            <w:hyperlink w:anchor="new_id-10">
                              <w:r>
                                <w:rPr>
                                  <w:rStyle w:val="InternetLink"/>
                                  <w:rFonts w:ascii="Arial" w:hAnsi="Arial"/>
                                  <w:b/>
                                  <w:strike w:val="false"/>
                                  <w:dstrike w:val="false"/>
                                  <w:color w:val="000000"/>
                                  <w:sz w:val="21"/>
                                  <w:u w:val="none"/>
                                  <w:effect w:val="none"/>
                                </w:rPr>
                                <w:t>Proxy Highlights</w:t>
                              </w:r>
                            </w:hyperlink>
                            <w:r>
                              <w:rPr>
                                <w:rFonts w:ascii="Arial" w:hAnsi="Arial"/>
                                <w:b/>
                                <w:color w:val="000000"/>
                                <w:sz w:val="21"/>
                              </w:rPr>
                              <w:t xml:space="preserve"> </w:t>
                            </w:r>
                          </w:p>
                        </w:tc>
                        <w:tc>
                          <w:tcPr>
                            <w:tcW w:w="215" w:type="dxa"/>
                            <w:tcBorders/>
                            <w:shd w:fill="auto" w:val="clear"/>
                            <w:vAlign w:val="center"/>
                          </w:tcPr>
                          <w:p>
                            <w:pPr>
                              <w:pStyle w:val="TableContents"/>
                              <w:pBdr/>
                              <w:spacing w:before="0" w:after="60"/>
                              <w:ind w:left="0" w:right="0" w:hanging="0"/>
                              <w:jc w:val="right"/>
                              <w:rPr/>
                            </w:pPr>
                            <w:hyperlink w:anchor="new_id-10">
                              <w:r>
                                <w:rPr>
                                  <w:rStyle w:val="InternetLink"/>
                                  <w:rFonts w:ascii="Arial" w:hAnsi="Arial"/>
                                  <w:b/>
                                  <w:strike w:val="false"/>
                                  <w:dstrike w:val="false"/>
                                  <w:color w:val="000000"/>
                                  <w:sz w:val="21"/>
                                  <w:u w:val="none"/>
                                  <w:effect w:val="none"/>
                                </w:rPr>
                                <w:t>2</w:t>
                              </w:r>
                            </w:hyperlink>
                            <w:r>
                              <w:rPr>
                                <w:rFonts w:ascii="Arial" w:hAnsi="Arial"/>
                                <w:b/>
                                <w:color w:val="000000"/>
                                <w:sz w:val="21"/>
                              </w:rPr>
                              <w:t xml:space="preserve"> </w:t>
                            </w:r>
                          </w:p>
                        </w:tc>
                      </w:tr>
                    </w:tbl>
                    <w:tbl>
                      <w:tblPr>
                        <w:tblW w:w="8545" w:type="dxa"/>
                        <w:jc w:val="left"/>
                        <w:tblInd w:w="0" w:type="dxa"/>
                        <w:tblCellMar>
                          <w:top w:w="0" w:type="dxa"/>
                          <w:left w:w="0" w:type="dxa"/>
                          <w:bottom w:w="0" w:type="dxa"/>
                          <w:right w:w="0" w:type="dxa"/>
                        </w:tblCellMar>
                      </w:tblPr>
                      <w:tblGrid>
                        <w:gridCol w:w="8330"/>
                        <w:gridCol w:w="215"/>
                      </w:tblGrid>
                      <w:tr>
                        <w:trPr/>
                        <w:tc>
                          <w:tcPr>
                            <w:tcW w:w="8330" w:type="dxa"/>
                            <w:tcBorders/>
                            <w:shd w:fill="auto" w:val="clear"/>
                            <w:vAlign w:val="center"/>
                          </w:tcPr>
                          <w:p>
                            <w:pPr>
                              <w:pStyle w:val="TableContents"/>
                              <w:pBdr/>
                              <w:spacing w:before="0" w:after="60"/>
                              <w:ind w:left="300" w:right="105" w:hanging="0"/>
                              <w:rPr/>
                            </w:pPr>
                            <w:hyperlink w:anchor="new_id-11">
                              <w:r>
                                <w:rPr>
                                  <w:rStyle w:val="InternetLink"/>
                                  <w:rFonts w:ascii="Arial" w:hAnsi="Arial"/>
                                  <w:strike w:val="false"/>
                                  <w:dstrike w:val="false"/>
                                  <w:color w:val="000000"/>
                                  <w:sz w:val="21"/>
                                  <w:u w:val="none"/>
                                  <w:effect w:val="none"/>
                                </w:rPr>
                                <w:t>Compensation and Governance Practices Designed to Drive Long-Term Performance</w:t>
                              </w:r>
                            </w:hyperlink>
                            <w:r>
                              <w:rPr>
                                <w:rFonts w:ascii="Arial" w:hAnsi="Arial"/>
                                <w:color w:val="000000"/>
                                <w:sz w:val="21"/>
                              </w:rPr>
                              <w:t xml:space="preserve"> </w:t>
                            </w:r>
                          </w:p>
                        </w:tc>
                        <w:tc>
                          <w:tcPr>
                            <w:tcW w:w="215" w:type="dxa"/>
                            <w:tcBorders/>
                            <w:shd w:fill="auto" w:val="clear"/>
                            <w:vAlign w:val="center"/>
                          </w:tcPr>
                          <w:p>
                            <w:pPr>
                              <w:pStyle w:val="TableContents"/>
                              <w:pBdr/>
                              <w:spacing w:before="0" w:after="60"/>
                              <w:ind w:left="0" w:right="0" w:hanging="0"/>
                              <w:jc w:val="right"/>
                              <w:rPr/>
                            </w:pPr>
                            <w:hyperlink w:anchor="new_id-11">
                              <w:r>
                                <w:rPr>
                                  <w:rStyle w:val="InternetLink"/>
                                  <w:rFonts w:ascii="Arial" w:hAnsi="Arial"/>
                                  <w:strike w:val="false"/>
                                  <w:dstrike w:val="false"/>
                                  <w:color w:val="000000"/>
                                  <w:sz w:val="21"/>
                                  <w:u w:val="none"/>
                                  <w:effect w:val="none"/>
                                </w:rPr>
                                <w:t>2</w:t>
                              </w:r>
                            </w:hyperlink>
                            <w:r>
                              <w:rPr>
                                <w:rFonts w:ascii="Arial" w:hAnsi="Arial"/>
                                <w:color w:val="000000"/>
                                <w:sz w:val="21"/>
                              </w:rPr>
                              <w:t xml:space="preserve"> </w:t>
                            </w:r>
                          </w:p>
                        </w:tc>
                      </w:tr>
                    </w:tbl>
                    <w:tbl>
                      <w:tblPr>
                        <w:tblW w:w="5725" w:type="dxa"/>
                        <w:jc w:val="left"/>
                        <w:tblInd w:w="0" w:type="dxa"/>
                        <w:tblCellMar>
                          <w:top w:w="0" w:type="dxa"/>
                          <w:left w:w="0" w:type="dxa"/>
                          <w:bottom w:w="0" w:type="dxa"/>
                          <w:right w:w="0" w:type="dxa"/>
                        </w:tblCellMar>
                      </w:tblPr>
                      <w:tblGrid>
                        <w:gridCol w:w="5510"/>
                        <w:gridCol w:w="215"/>
                      </w:tblGrid>
                      <w:tr>
                        <w:trPr/>
                        <w:tc>
                          <w:tcPr>
                            <w:tcW w:w="5510" w:type="dxa"/>
                            <w:tcBorders/>
                            <w:shd w:fill="auto" w:val="clear"/>
                            <w:vAlign w:val="center"/>
                          </w:tcPr>
                          <w:p>
                            <w:pPr>
                              <w:pStyle w:val="TableContents"/>
                              <w:pBdr/>
                              <w:spacing w:before="0" w:after="60"/>
                              <w:ind w:left="300" w:right="105" w:hanging="0"/>
                              <w:rPr/>
                            </w:pPr>
                            <w:hyperlink w:anchor="new_id-12">
                              <w:r>
                                <w:rPr>
                                  <w:rStyle w:val="InternetLink"/>
                                  <w:rFonts w:ascii="Arial" w:hAnsi="Arial"/>
                                  <w:strike w:val="false"/>
                                  <w:dstrike w:val="false"/>
                                  <w:color w:val="000000"/>
                                  <w:sz w:val="21"/>
                                  <w:u w:val="none"/>
                                  <w:effect w:val="none"/>
                                </w:rPr>
                                <w:t>Longstanding Commitment to Shareholder Engagement</w:t>
                              </w:r>
                            </w:hyperlink>
                            <w:r>
                              <w:rPr>
                                <w:rFonts w:ascii="Arial" w:hAnsi="Arial"/>
                                <w:color w:val="000000"/>
                                <w:sz w:val="21"/>
                              </w:rPr>
                              <w:t xml:space="preserve"> </w:t>
                            </w:r>
                          </w:p>
                        </w:tc>
                        <w:tc>
                          <w:tcPr>
                            <w:tcW w:w="215" w:type="dxa"/>
                            <w:tcBorders/>
                            <w:shd w:fill="auto" w:val="clear"/>
                            <w:vAlign w:val="center"/>
                          </w:tcPr>
                          <w:p>
                            <w:pPr>
                              <w:pStyle w:val="TableContents"/>
                              <w:pBdr/>
                              <w:spacing w:before="0" w:after="60"/>
                              <w:ind w:left="0" w:right="0" w:hanging="0"/>
                              <w:jc w:val="right"/>
                              <w:rPr/>
                            </w:pPr>
                            <w:hyperlink w:anchor="new_id-12">
                              <w:r>
                                <w:rPr>
                                  <w:rStyle w:val="InternetLink"/>
                                  <w:rFonts w:ascii="Arial" w:hAnsi="Arial"/>
                                  <w:strike w:val="false"/>
                                  <w:dstrike w:val="false"/>
                                  <w:color w:val="000000"/>
                                  <w:sz w:val="21"/>
                                  <w:u w:val="none"/>
                                  <w:effect w:val="none"/>
                                </w:rPr>
                                <w:t>3</w:t>
                              </w:r>
                            </w:hyperlink>
                            <w:r>
                              <w:rPr>
                                <w:rFonts w:ascii="Arial" w:hAnsi="Arial"/>
                                <w:color w:val="000000"/>
                                <w:sz w:val="21"/>
                              </w:rPr>
                              <w:t xml:space="preserve"> </w:t>
                            </w:r>
                          </w:p>
                        </w:tc>
                      </w:tr>
                    </w:tbl>
                    <w:tbl>
                      <w:tblPr>
                        <w:tblW w:w="2290" w:type="dxa"/>
                        <w:jc w:val="left"/>
                        <w:tblInd w:w="0" w:type="dxa"/>
                        <w:tblCellMar>
                          <w:top w:w="0" w:type="dxa"/>
                          <w:left w:w="0" w:type="dxa"/>
                          <w:bottom w:w="0" w:type="dxa"/>
                          <w:right w:w="0" w:type="dxa"/>
                        </w:tblCellMar>
                      </w:tblPr>
                      <w:tblGrid>
                        <w:gridCol w:w="2075"/>
                        <w:gridCol w:w="215"/>
                      </w:tblGrid>
                      <w:tr>
                        <w:trPr/>
                        <w:tc>
                          <w:tcPr>
                            <w:tcW w:w="2075" w:type="dxa"/>
                            <w:tcBorders/>
                            <w:shd w:fill="auto" w:val="clear"/>
                            <w:vAlign w:val="center"/>
                          </w:tcPr>
                          <w:p>
                            <w:pPr>
                              <w:pStyle w:val="TableContents"/>
                              <w:pBdr/>
                              <w:spacing w:before="0" w:after="60"/>
                              <w:ind w:left="0" w:right="105" w:hanging="0"/>
                              <w:rPr/>
                            </w:pPr>
                            <w:hyperlink w:anchor="new_id-13">
                              <w:r>
                                <w:rPr>
                                  <w:rStyle w:val="InternetLink"/>
                                  <w:rFonts w:ascii="Arial" w:hAnsi="Arial"/>
                                  <w:b/>
                                  <w:strike w:val="false"/>
                                  <w:dstrike w:val="false"/>
                                  <w:color w:val="245BA7"/>
                                  <w:sz w:val="21"/>
                                  <w:u w:val="none"/>
                                  <w:effect w:val="none"/>
                                </w:rPr>
                                <w:t>Board of Directors</w:t>
                              </w:r>
                            </w:hyperlink>
                            <w:r>
                              <w:rPr>
                                <w:rFonts w:ascii="Arial" w:hAnsi="Arial"/>
                                <w:b/>
                                <w:color w:val="245BA7"/>
                                <w:sz w:val="21"/>
                              </w:rPr>
                              <w:t xml:space="preserve"> </w:t>
                            </w:r>
                          </w:p>
                        </w:tc>
                        <w:tc>
                          <w:tcPr>
                            <w:tcW w:w="215" w:type="dxa"/>
                            <w:tcBorders/>
                            <w:shd w:fill="auto" w:val="clear"/>
                            <w:vAlign w:val="center"/>
                          </w:tcPr>
                          <w:p>
                            <w:pPr>
                              <w:pStyle w:val="TableContents"/>
                              <w:pBdr/>
                              <w:spacing w:before="0" w:after="60"/>
                              <w:ind w:left="0" w:right="0" w:hanging="0"/>
                              <w:jc w:val="right"/>
                              <w:rPr/>
                            </w:pPr>
                            <w:hyperlink w:anchor="new_id-13">
                              <w:r>
                                <w:rPr>
                                  <w:rStyle w:val="InternetLink"/>
                                  <w:rFonts w:ascii="Arial" w:hAnsi="Arial"/>
                                  <w:b/>
                                  <w:strike w:val="false"/>
                                  <w:dstrike w:val="false"/>
                                  <w:color w:val="245BA7"/>
                                  <w:sz w:val="21"/>
                                  <w:u w:val="none"/>
                                  <w:effect w:val="none"/>
                                </w:rPr>
                                <w:t>5</w:t>
                              </w:r>
                            </w:hyperlink>
                            <w:r>
                              <w:rPr>
                                <w:rFonts w:ascii="Arial" w:hAnsi="Arial"/>
                                <w:b/>
                                <w:color w:val="245BA7"/>
                                <w:sz w:val="21"/>
                              </w:rPr>
                              <w:t xml:space="preserve"> </w:t>
                            </w:r>
                          </w:p>
                        </w:tc>
                      </w:tr>
                    </w:tbl>
                    <w:tbl>
                      <w:tblPr>
                        <w:tblW w:w="1975" w:type="dxa"/>
                        <w:jc w:val="left"/>
                        <w:tblInd w:w="0" w:type="dxa"/>
                        <w:tblCellMar>
                          <w:top w:w="0" w:type="dxa"/>
                          <w:left w:w="0" w:type="dxa"/>
                          <w:bottom w:w="0" w:type="dxa"/>
                          <w:right w:w="0" w:type="dxa"/>
                        </w:tblCellMar>
                      </w:tblPr>
                      <w:tblGrid>
                        <w:gridCol w:w="1760"/>
                        <w:gridCol w:w="215"/>
                      </w:tblGrid>
                      <w:tr>
                        <w:trPr/>
                        <w:tc>
                          <w:tcPr>
                            <w:tcW w:w="1760" w:type="dxa"/>
                            <w:tcBorders/>
                            <w:shd w:fill="auto" w:val="clear"/>
                            <w:vAlign w:val="center"/>
                          </w:tcPr>
                          <w:p>
                            <w:pPr>
                              <w:pStyle w:val="TableContents"/>
                              <w:pBdr/>
                              <w:spacing w:before="0" w:after="60"/>
                              <w:ind w:left="0" w:right="105" w:hanging="0"/>
                              <w:rPr/>
                            </w:pPr>
                            <w:hyperlink w:anchor="new_id-14">
                              <w:r>
                                <w:rPr>
                                  <w:rStyle w:val="InternetLink"/>
                                  <w:rFonts w:ascii="Arial" w:hAnsi="Arial"/>
                                  <w:b/>
                                  <w:strike w:val="false"/>
                                  <w:dstrike w:val="false"/>
                                  <w:color w:val="000000"/>
                                  <w:sz w:val="21"/>
                                  <w:u w:val="none"/>
                                  <w:effect w:val="none"/>
                                </w:rPr>
                                <w:t>Meet the Board</w:t>
                              </w:r>
                            </w:hyperlink>
                            <w:r>
                              <w:rPr>
                                <w:rFonts w:ascii="Arial" w:hAnsi="Arial"/>
                                <w:b/>
                                <w:color w:val="000000"/>
                                <w:sz w:val="21"/>
                              </w:rPr>
                              <w:t xml:space="preserve"> </w:t>
                            </w:r>
                          </w:p>
                        </w:tc>
                        <w:tc>
                          <w:tcPr>
                            <w:tcW w:w="215" w:type="dxa"/>
                            <w:tcBorders/>
                            <w:shd w:fill="auto" w:val="clear"/>
                            <w:vAlign w:val="center"/>
                          </w:tcPr>
                          <w:p>
                            <w:pPr>
                              <w:pStyle w:val="TableContents"/>
                              <w:pBdr/>
                              <w:spacing w:before="0" w:after="60"/>
                              <w:ind w:left="0" w:right="0" w:hanging="0"/>
                              <w:jc w:val="right"/>
                              <w:rPr/>
                            </w:pPr>
                            <w:hyperlink w:anchor="new_id-14">
                              <w:r>
                                <w:rPr>
                                  <w:rStyle w:val="InternetLink"/>
                                  <w:rFonts w:ascii="Arial" w:hAnsi="Arial"/>
                                  <w:b/>
                                  <w:strike w:val="false"/>
                                  <w:dstrike w:val="false"/>
                                  <w:color w:val="000000"/>
                                  <w:sz w:val="21"/>
                                  <w:u w:val="none"/>
                                  <w:effect w:val="none"/>
                                </w:rPr>
                                <w:t>5</w:t>
                              </w:r>
                            </w:hyperlink>
                            <w:r>
                              <w:rPr>
                                <w:rFonts w:ascii="Arial" w:hAnsi="Arial"/>
                                <w:b/>
                                <w:color w:val="000000"/>
                                <w:sz w:val="21"/>
                              </w:rPr>
                              <w:t xml:space="preserve"> </w:t>
                            </w:r>
                          </w:p>
                        </w:tc>
                      </w:tr>
                    </w:tbl>
                    <w:tbl>
                      <w:tblPr>
                        <w:tblW w:w="2425" w:type="dxa"/>
                        <w:jc w:val="left"/>
                        <w:tblInd w:w="0" w:type="dxa"/>
                        <w:tblCellMar>
                          <w:top w:w="0" w:type="dxa"/>
                          <w:left w:w="0" w:type="dxa"/>
                          <w:bottom w:w="0" w:type="dxa"/>
                          <w:right w:w="0" w:type="dxa"/>
                        </w:tblCellMar>
                      </w:tblPr>
                      <w:tblGrid>
                        <w:gridCol w:w="2090"/>
                        <w:gridCol w:w="335"/>
                      </w:tblGrid>
                      <w:tr>
                        <w:trPr/>
                        <w:tc>
                          <w:tcPr>
                            <w:tcW w:w="2090" w:type="dxa"/>
                            <w:tcBorders/>
                            <w:shd w:fill="auto" w:val="clear"/>
                            <w:vAlign w:val="center"/>
                          </w:tcPr>
                          <w:p>
                            <w:pPr>
                              <w:pStyle w:val="TableContents"/>
                              <w:pBdr/>
                              <w:spacing w:before="0" w:after="60"/>
                              <w:ind w:left="0" w:right="105" w:hanging="0"/>
                              <w:rPr/>
                            </w:pPr>
                            <w:hyperlink w:anchor="new_id-32">
                              <w:r>
                                <w:rPr>
                                  <w:rStyle w:val="InternetLink"/>
                                  <w:rFonts w:ascii="Arial" w:hAnsi="Arial"/>
                                  <w:b/>
                                  <w:strike w:val="false"/>
                                  <w:dstrike w:val="false"/>
                                  <w:color w:val="000000"/>
                                  <w:sz w:val="21"/>
                                  <w:u w:val="none"/>
                                  <w:effect w:val="none"/>
                                </w:rPr>
                                <w:t>Board Committees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32">
                              <w:r>
                                <w:rPr>
                                  <w:rStyle w:val="InternetLink"/>
                                  <w:rFonts w:ascii="Arial" w:hAnsi="Arial"/>
                                  <w:b/>
                                  <w:strike w:val="false"/>
                                  <w:dstrike w:val="false"/>
                                  <w:color w:val="000000"/>
                                  <w:sz w:val="21"/>
                                  <w:u w:val="none"/>
                                  <w:effect w:val="none"/>
                                </w:rPr>
                                <w:t>19</w:t>
                              </w:r>
                            </w:hyperlink>
                            <w:r>
                              <w:rPr>
                                <w:rFonts w:ascii="Arial" w:hAnsi="Arial"/>
                                <w:b/>
                                <w:color w:val="000000"/>
                                <w:sz w:val="21"/>
                              </w:rPr>
                              <w:t xml:space="preserve"> </w:t>
                            </w:r>
                          </w:p>
                        </w:tc>
                      </w:tr>
                    </w:tbl>
                    <w:tbl>
                      <w:tblPr>
                        <w:tblW w:w="2455" w:type="dxa"/>
                        <w:jc w:val="left"/>
                        <w:tblInd w:w="0" w:type="dxa"/>
                        <w:tblCellMar>
                          <w:top w:w="0" w:type="dxa"/>
                          <w:left w:w="0" w:type="dxa"/>
                          <w:bottom w:w="0" w:type="dxa"/>
                          <w:right w:w="0" w:type="dxa"/>
                        </w:tblCellMar>
                      </w:tblPr>
                      <w:tblGrid>
                        <w:gridCol w:w="2120"/>
                        <w:gridCol w:w="335"/>
                      </w:tblGrid>
                      <w:tr>
                        <w:trPr/>
                        <w:tc>
                          <w:tcPr>
                            <w:tcW w:w="2120" w:type="dxa"/>
                            <w:tcBorders/>
                            <w:shd w:fill="auto" w:val="clear"/>
                            <w:vAlign w:val="center"/>
                          </w:tcPr>
                          <w:p>
                            <w:pPr>
                              <w:pStyle w:val="TableContents"/>
                              <w:pBdr/>
                              <w:spacing w:before="0" w:after="60"/>
                              <w:ind w:left="0" w:right="105" w:hanging="0"/>
                              <w:rPr/>
                            </w:pPr>
                            <w:hyperlink w:anchor="new_id-33">
                              <w:r>
                                <w:rPr>
                                  <w:rStyle w:val="InternetLink"/>
                                  <w:rFonts w:ascii="Arial" w:hAnsi="Arial"/>
                                  <w:b/>
                                  <w:strike w:val="false"/>
                                  <w:dstrike w:val="false"/>
                                  <w:color w:val="000000"/>
                                  <w:sz w:val="21"/>
                                  <w:u w:val="none"/>
                                  <w:effect w:val="none"/>
                                </w:rPr>
                                <w:t>Board Governance</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33">
                              <w:r>
                                <w:rPr>
                                  <w:rStyle w:val="InternetLink"/>
                                  <w:rFonts w:ascii="Arial" w:hAnsi="Arial"/>
                                  <w:b/>
                                  <w:strike w:val="false"/>
                                  <w:dstrike w:val="false"/>
                                  <w:color w:val="000000"/>
                                  <w:sz w:val="21"/>
                                  <w:u w:val="none"/>
                                  <w:effect w:val="none"/>
                                </w:rPr>
                                <w:t>22</w:t>
                              </w:r>
                            </w:hyperlink>
                            <w:r>
                              <w:rPr>
                                <w:rFonts w:ascii="Arial" w:hAnsi="Arial"/>
                                <w:b/>
                                <w:color w:val="000000"/>
                                <w:sz w:val="21"/>
                              </w:rPr>
                              <w:t xml:space="preserve"> </w:t>
                            </w:r>
                          </w:p>
                        </w:tc>
                      </w:tr>
                    </w:tbl>
                    <w:tbl>
                      <w:tblPr>
                        <w:tblW w:w="2035" w:type="dxa"/>
                        <w:jc w:val="left"/>
                        <w:tblInd w:w="0" w:type="dxa"/>
                        <w:tblCellMar>
                          <w:top w:w="0" w:type="dxa"/>
                          <w:left w:w="0" w:type="dxa"/>
                          <w:bottom w:w="0" w:type="dxa"/>
                          <w:right w:w="0" w:type="dxa"/>
                        </w:tblCellMar>
                      </w:tblPr>
                      <w:tblGrid>
                        <w:gridCol w:w="1700"/>
                        <w:gridCol w:w="335"/>
                      </w:tblGrid>
                      <w:tr>
                        <w:trPr/>
                        <w:tc>
                          <w:tcPr>
                            <w:tcW w:w="1700" w:type="dxa"/>
                            <w:tcBorders/>
                            <w:shd w:fill="auto" w:val="clear"/>
                            <w:vAlign w:val="center"/>
                          </w:tcPr>
                          <w:p>
                            <w:pPr>
                              <w:pStyle w:val="TableContents"/>
                              <w:pBdr/>
                              <w:spacing w:before="0" w:after="60"/>
                              <w:ind w:left="300" w:right="105" w:hanging="0"/>
                              <w:rPr/>
                            </w:pPr>
                            <w:hyperlink w:anchor="new_id-34">
                              <w:r>
                                <w:rPr>
                                  <w:rStyle w:val="InternetLink"/>
                                  <w:rFonts w:ascii="Arial" w:hAnsi="Arial"/>
                                  <w:strike w:val="false"/>
                                  <w:dstrike w:val="false"/>
                                  <w:color w:val="000000"/>
                                  <w:sz w:val="21"/>
                                  <w:u w:val="none"/>
                                  <w:effect w:val="none"/>
                                </w:rPr>
                                <w:t>Board Structure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34">
                              <w:r>
                                <w:rPr>
                                  <w:rStyle w:val="InternetLink"/>
                                  <w:rFonts w:ascii="Arial" w:hAnsi="Arial"/>
                                  <w:strike w:val="false"/>
                                  <w:dstrike w:val="false"/>
                                  <w:color w:val="000000"/>
                                  <w:sz w:val="21"/>
                                  <w:u w:val="none"/>
                                  <w:effect w:val="none"/>
                                </w:rPr>
                                <w:t>22</w:t>
                              </w:r>
                            </w:hyperlink>
                            <w:r>
                              <w:rPr>
                                <w:rFonts w:ascii="Arial" w:hAnsi="Arial"/>
                                <w:color w:val="000000"/>
                                <w:sz w:val="21"/>
                              </w:rPr>
                              <w:t xml:space="preserve"> </w:t>
                            </w:r>
                          </w:p>
                        </w:tc>
                      </w:tr>
                    </w:tbl>
                    <w:tbl>
                      <w:tblPr>
                        <w:tblW w:w="4750" w:type="dxa"/>
                        <w:jc w:val="left"/>
                        <w:tblInd w:w="0" w:type="dxa"/>
                        <w:tblCellMar>
                          <w:top w:w="0" w:type="dxa"/>
                          <w:left w:w="0" w:type="dxa"/>
                          <w:bottom w:w="0" w:type="dxa"/>
                          <w:right w:w="0" w:type="dxa"/>
                        </w:tblCellMar>
                      </w:tblPr>
                      <w:tblGrid>
                        <w:gridCol w:w="4415"/>
                        <w:gridCol w:w="335"/>
                      </w:tblGrid>
                      <w:tr>
                        <w:trPr/>
                        <w:tc>
                          <w:tcPr>
                            <w:tcW w:w="4415" w:type="dxa"/>
                            <w:tcBorders/>
                            <w:shd w:fill="auto" w:val="clear"/>
                            <w:vAlign w:val="center"/>
                          </w:tcPr>
                          <w:p>
                            <w:pPr>
                              <w:pStyle w:val="TableContents"/>
                              <w:pBdr/>
                              <w:spacing w:before="0" w:after="60"/>
                              <w:ind w:left="300" w:right="105" w:hanging="0"/>
                              <w:rPr/>
                            </w:pPr>
                            <w:hyperlink w:anchor="new_id-37">
                              <w:r>
                                <w:rPr>
                                  <w:rStyle w:val="InternetLink"/>
                                  <w:rFonts w:ascii="Arial" w:hAnsi="Arial"/>
                                  <w:strike w:val="false"/>
                                  <w:dstrike w:val="false"/>
                                  <w:color w:val="000000"/>
                                  <w:sz w:val="21"/>
                                  <w:u w:val="none"/>
                                  <w:effect w:val="none"/>
                                </w:rPr>
                                <w:t>Board Meetings and Attendance of Directors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37">
                              <w:r>
                                <w:rPr>
                                  <w:rStyle w:val="InternetLink"/>
                                  <w:rFonts w:ascii="Arial" w:hAnsi="Arial"/>
                                  <w:strike w:val="false"/>
                                  <w:dstrike w:val="false"/>
                                  <w:color w:val="000000"/>
                                  <w:sz w:val="21"/>
                                  <w:u w:val="none"/>
                                  <w:effect w:val="none"/>
                                </w:rPr>
                                <w:t>22</w:t>
                              </w:r>
                            </w:hyperlink>
                            <w:r>
                              <w:rPr>
                                <w:rFonts w:ascii="Arial" w:hAnsi="Arial"/>
                                <w:color w:val="000000"/>
                                <w:sz w:val="21"/>
                              </w:rPr>
                              <w:t xml:space="preserve"> </w:t>
                            </w:r>
                          </w:p>
                        </w:tc>
                      </w:tr>
                    </w:tbl>
                    <w:tbl>
                      <w:tblPr>
                        <w:tblW w:w="3670" w:type="dxa"/>
                        <w:jc w:val="left"/>
                        <w:tblInd w:w="0" w:type="dxa"/>
                        <w:tblCellMar>
                          <w:top w:w="0" w:type="dxa"/>
                          <w:left w:w="0" w:type="dxa"/>
                          <w:bottom w:w="0" w:type="dxa"/>
                          <w:right w:w="0" w:type="dxa"/>
                        </w:tblCellMar>
                      </w:tblPr>
                      <w:tblGrid>
                        <w:gridCol w:w="3335"/>
                        <w:gridCol w:w="335"/>
                      </w:tblGrid>
                      <w:tr>
                        <w:trPr/>
                        <w:tc>
                          <w:tcPr>
                            <w:tcW w:w="3335" w:type="dxa"/>
                            <w:tcBorders/>
                            <w:shd w:fill="auto" w:val="clear"/>
                            <w:vAlign w:val="center"/>
                          </w:tcPr>
                          <w:p>
                            <w:pPr>
                              <w:pStyle w:val="TableContents"/>
                              <w:pBdr/>
                              <w:spacing w:before="0" w:after="60"/>
                              <w:ind w:left="300" w:right="105" w:hanging="0"/>
                              <w:rPr/>
                            </w:pPr>
                            <w:hyperlink w:anchor="new_id-40">
                              <w:r>
                                <w:rPr>
                                  <w:rStyle w:val="InternetLink"/>
                                  <w:rFonts w:ascii="Arial" w:hAnsi="Arial"/>
                                  <w:strike w:val="false"/>
                                  <w:dstrike w:val="false"/>
                                  <w:color w:val="000000"/>
                                  <w:sz w:val="21"/>
                                  <w:u w:val="none"/>
                                  <w:effect w:val="none"/>
                                </w:rPr>
                                <w:t>Director Refreshment Philosophy</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40">
                              <w:r>
                                <w:rPr>
                                  <w:rStyle w:val="InternetLink"/>
                                  <w:rFonts w:ascii="Arial" w:hAnsi="Arial"/>
                                  <w:strike w:val="false"/>
                                  <w:dstrike w:val="false"/>
                                  <w:color w:val="000000"/>
                                  <w:sz w:val="21"/>
                                  <w:u w:val="none"/>
                                  <w:effect w:val="none"/>
                                </w:rPr>
                                <w:t>23</w:t>
                              </w:r>
                            </w:hyperlink>
                            <w:r>
                              <w:rPr>
                                <w:rFonts w:ascii="Arial" w:hAnsi="Arial"/>
                                <w:color w:val="000000"/>
                                <w:sz w:val="21"/>
                              </w:rPr>
                              <w:t xml:space="preserve"> </w:t>
                            </w:r>
                          </w:p>
                        </w:tc>
                      </w:tr>
                    </w:tbl>
                    <w:tbl>
                      <w:tblPr>
                        <w:tblW w:w="6445" w:type="dxa"/>
                        <w:jc w:val="left"/>
                        <w:tblInd w:w="0" w:type="dxa"/>
                        <w:tblCellMar>
                          <w:top w:w="0" w:type="dxa"/>
                          <w:left w:w="0" w:type="dxa"/>
                          <w:bottom w:w="0" w:type="dxa"/>
                          <w:right w:w="0" w:type="dxa"/>
                        </w:tblCellMar>
                      </w:tblPr>
                      <w:tblGrid>
                        <w:gridCol w:w="6110"/>
                        <w:gridCol w:w="335"/>
                      </w:tblGrid>
                      <w:tr>
                        <w:trPr/>
                        <w:tc>
                          <w:tcPr>
                            <w:tcW w:w="6110" w:type="dxa"/>
                            <w:tcBorders/>
                            <w:shd w:fill="auto" w:val="clear"/>
                            <w:vAlign w:val="center"/>
                          </w:tcPr>
                          <w:p>
                            <w:pPr>
                              <w:pStyle w:val="TableContents"/>
                              <w:pBdr/>
                              <w:spacing w:before="0" w:after="60"/>
                              <w:ind w:left="300" w:right="105" w:hanging="0"/>
                              <w:rPr/>
                            </w:pPr>
                            <w:hyperlink w:anchor="new_id-41">
                              <w:r>
                                <w:rPr>
                                  <w:rStyle w:val="InternetLink"/>
                                  <w:rFonts w:ascii="Arial" w:hAnsi="Arial"/>
                                  <w:strike w:val="false"/>
                                  <w:dstrike w:val="false"/>
                                  <w:color w:val="000000"/>
                                  <w:sz w:val="21"/>
                                  <w:u w:val="none"/>
                                  <w:effect w:val="none"/>
                                </w:rPr>
                                <w:t>Procedures Relating to Nominees; Board Succession Planning</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41">
                              <w:r>
                                <w:rPr>
                                  <w:rStyle w:val="InternetLink"/>
                                  <w:rFonts w:ascii="Arial" w:hAnsi="Arial"/>
                                  <w:strike w:val="false"/>
                                  <w:dstrike w:val="false"/>
                                  <w:color w:val="000000"/>
                                  <w:sz w:val="21"/>
                                  <w:u w:val="none"/>
                                  <w:effect w:val="none"/>
                                </w:rPr>
                                <w:t>23</w:t>
                              </w:r>
                            </w:hyperlink>
                            <w:r>
                              <w:rPr>
                                <w:rFonts w:ascii="Arial" w:hAnsi="Arial"/>
                                <w:color w:val="000000"/>
                                <w:sz w:val="21"/>
                              </w:rPr>
                              <w:t xml:space="preserve"> </w:t>
                            </w:r>
                          </w:p>
                        </w:tc>
                      </w:tr>
                    </w:tbl>
                    <w:tbl>
                      <w:tblPr>
                        <w:tblW w:w="4375" w:type="dxa"/>
                        <w:jc w:val="left"/>
                        <w:tblInd w:w="0" w:type="dxa"/>
                        <w:tblCellMar>
                          <w:top w:w="0" w:type="dxa"/>
                          <w:left w:w="0" w:type="dxa"/>
                          <w:bottom w:w="0" w:type="dxa"/>
                          <w:right w:w="0" w:type="dxa"/>
                        </w:tblCellMar>
                      </w:tblPr>
                      <w:tblGrid>
                        <w:gridCol w:w="4040"/>
                        <w:gridCol w:w="335"/>
                      </w:tblGrid>
                      <w:tr>
                        <w:trPr/>
                        <w:tc>
                          <w:tcPr>
                            <w:tcW w:w="4040" w:type="dxa"/>
                            <w:tcBorders/>
                            <w:shd w:fill="auto" w:val="clear"/>
                            <w:vAlign w:val="center"/>
                          </w:tcPr>
                          <w:p>
                            <w:pPr>
                              <w:pStyle w:val="TableContents"/>
                              <w:pBdr/>
                              <w:spacing w:before="0" w:after="60"/>
                              <w:ind w:left="300" w:right="105" w:hanging="0"/>
                              <w:rPr/>
                            </w:pPr>
                            <w:hyperlink w:anchor="new_id-42">
                              <w:r>
                                <w:rPr>
                                  <w:rStyle w:val="InternetLink"/>
                                  <w:rFonts w:ascii="Arial" w:hAnsi="Arial"/>
                                  <w:strike w:val="false"/>
                                  <w:dstrike w:val="false"/>
                                  <w:color w:val="000000"/>
                                  <w:sz w:val="21"/>
                                  <w:u w:val="none"/>
                                  <w:effect w:val="none"/>
                                </w:rPr>
                                <w:t>Board and Committee Self-Assessments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42">
                              <w:r>
                                <w:rPr>
                                  <w:rStyle w:val="InternetLink"/>
                                  <w:rFonts w:ascii="Arial" w:hAnsi="Arial"/>
                                  <w:strike w:val="false"/>
                                  <w:dstrike w:val="false"/>
                                  <w:color w:val="000000"/>
                                  <w:sz w:val="21"/>
                                  <w:u w:val="none"/>
                                  <w:effect w:val="none"/>
                                </w:rPr>
                                <w:t>24</w:t>
                              </w:r>
                            </w:hyperlink>
                            <w:r>
                              <w:rPr>
                                <w:rFonts w:ascii="Arial" w:hAnsi="Arial"/>
                                <w:color w:val="000000"/>
                                <w:sz w:val="21"/>
                              </w:rPr>
                              <w:t xml:space="preserve"> </w:t>
                            </w:r>
                          </w:p>
                        </w:tc>
                      </w:tr>
                    </w:tbl>
                    <w:tbl>
                      <w:tblPr>
                        <w:tblW w:w="5725" w:type="dxa"/>
                        <w:jc w:val="left"/>
                        <w:tblInd w:w="0" w:type="dxa"/>
                        <w:tblCellMar>
                          <w:top w:w="0" w:type="dxa"/>
                          <w:left w:w="0" w:type="dxa"/>
                          <w:bottom w:w="0" w:type="dxa"/>
                          <w:right w:w="0" w:type="dxa"/>
                        </w:tblCellMar>
                      </w:tblPr>
                      <w:tblGrid>
                        <w:gridCol w:w="5390"/>
                        <w:gridCol w:w="335"/>
                      </w:tblGrid>
                      <w:tr>
                        <w:trPr/>
                        <w:tc>
                          <w:tcPr>
                            <w:tcW w:w="5390" w:type="dxa"/>
                            <w:tcBorders/>
                            <w:shd w:fill="auto" w:val="clear"/>
                            <w:vAlign w:val="center"/>
                          </w:tcPr>
                          <w:p>
                            <w:pPr>
                              <w:pStyle w:val="TableContents"/>
                              <w:pBdr/>
                              <w:spacing w:before="0" w:after="60"/>
                              <w:ind w:left="300" w:right="105" w:hanging="0"/>
                              <w:rPr/>
                            </w:pPr>
                            <w:hyperlink w:anchor="new_id-44">
                              <w:r>
                                <w:rPr>
                                  <w:rStyle w:val="InternetLink"/>
                                  <w:rFonts w:ascii="Arial" w:hAnsi="Arial"/>
                                  <w:strike w:val="false"/>
                                  <w:dstrike w:val="false"/>
                                  <w:color w:val="000000"/>
                                  <w:sz w:val="21"/>
                                  <w:u w:val="none"/>
                                  <w:effect w:val="none"/>
                                </w:rPr>
                                <w:t>Shareholder Right to Call Special Shareholder Meeting</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44">
                              <w:r>
                                <w:rPr>
                                  <w:rStyle w:val="InternetLink"/>
                                  <w:rFonts w:ascii="Arial" w:hAnsi="Arial"/>
                                  <w:strike w:val="false"/>
                                  <w:dstrike w:val="false"/>
                                  <w:color w:val="000000"/>
                                  <w:sz w:val="21"/>
                                  <w:u w:val="none"/>
                                  <w:effect w:val="none"/>
                                </w:rPr>
                                <w:t>25</w:t>
                              </w:r>
                            </w:hyperlink>
                            <w:r>
                              <w:rPr>
                                <w:rFonts w:ascii="Arial" w:hAnsi="Arial"/>
                                <w:color w:val="000000"/>
                                <w:sz w:val="21"/>
                              </w:rPr>
                              <w:t xml:space="preserve"> </w:t>
                            </w:r>
                          </w:p>
                        </w:tc>
                      </w:tr>
                    </w:tbl>
                    <w:tbl>
                      <w:tblPr>
                        <w:tblW w:w="2710" w:type="dxa"/>
                        <w:jc w:val="left"/>
                        <w:tblInd w:w="0" w:type="dxa"/>
                        <w:tblCellMar>
                          <w:top w:w="0" w:type="dxa"/>
                          <w:left w:w="0" w:type="dxa"/>
                          <w:bottom w:w="0" w:type="dxa"/>
                          <w:right w:w="0" w:type="dxa"/>
                        </w:tblCellMar>
                      </w:tblPr>
                      <w:tblGrid>
                        <w:gridCol w:w="2375"/>
                        <w:gridCol w:w="335"/>
                      </w:tblGrid>
                      <w:tr>
                        <w:trPr/>
                        <w:tc>
                          <w:tcPr>
                            <w:tcW w:w="2375" w:type="dxa"/>
                            <w:tcBorders/>
                            <w:shd w:fill="auto" w:val="clear"/>
                            <w:vAlign w:val="center"/>
                          </w:tcPr>
                          <w:p>
                            <w:pPr>
                              <w:pStyle w:val="TableContents"/>
                              <w:pBdr/>
                              <w:spacing w:before="0" w:after="60"/>
                              <w:ind w:left="300" w:right="105" w:hanging="0"/>
                              <w:rPr/>
                            </w:pPr>
                            <w:hyperlink w:anchor="new_id-45">
                              <w:r>
                                <w:rPr>
                                  <w:rStyle w:val="InternetLink"/>
                                  <w:rFonts w:ascii="Arial" w:hAnsi="Arial"/>
                                  <w:strike w:val="false"/>
                                  <w:dstrike w:val="false"/>
                                  <w:color w:val="000000"/>
                                  <w:sz w:val="21"/>
                                  <w:u w:val="none"/>
                                  <w:effect w:val="none"/>
                                </w:rPr>
                                <w:t>Director Independence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45">
                              <w:r>
                                <w:rPr>
                                  <w:rStyle w:val="InternetLink"/>
                                  <w:rFonts w:ascii="Arial" w:hAnsi="Arial"/>
                                  <w:strike w:val="false"/>
                                  <w:dstrike w:val="false"/>
                                  <w:color w:val="000000"/>
                                  <w:sz w:val="21"/>
                                  <w:u w:val="none"/>
                                  <w:effect w:val="none"/>
                                </w:rPr>
                                <w:t>25</w:t>
                              </w:r>
                            </w:hyperlink>
                            <w:r>
                              <w:rPr>
                                <w:rFonts w:ascii="Arial" w:hAnsi="Arial"/>
                                <w:color w:val="000000"/>
                                <w:sz w:val="21"/>
                              </w:rPr>
                              <w:t xml:space="preserve"> </w:t>
                            </w:r>
                          </w:p>
                        </w:tc>
                      </w:tr>
                    </w:tbl>
                    <w:tbl>
                      <w:tblPr>
                        <w:tblW w:w="3362" w:type="dxa"/>
                        <w:jc w:val="left"/>
                        <w:tblInd w:w="0" w:type="dxa"/>
                        <w:tblCellMar>
                          <w:top w:w="28" w:type="dxa"/>
                          <w:left w:w="28" w:type="dxa"/>
                          <w:bottom w:w="28" w:type="dxa"/>
                          <w:right w:w="28" w:type="dxa"/>
                        </w:tblCellMar>
                      </w:tblPr>
                      <w:tblGrid>
                        <w:gridCol w:w="2911"/>
                        <w:gridCol w:w="451"/>
                      </w:tblGrid>
                      <w:tr>
                        <w:trPr/>
                        <w:tc>
                          <w:tcPr>
                            <w:tcW w:w="2911" w:type="dxa"/>
                            <w:tcBorders/>
                            <w:shd w:fill="auto" w:val="clear"/>
                            <w:vAlign w:val="center"/>
                          </w:tcPr>
                          <w:p>
                            <w:pPr>
                              <w:pStyle w:val="TableContents"/>
                              <w:pBdr/>
                              <w:spacing w:before="0" w:after="60"/>
                              <w:ind w:left="300" w:right="105" w:hanging="0"/>
                              <w:rPr/>
                            </w:pPr>
                            <w:hyperlink w:anchor="new_id-46">
                              <w:r>
                                <w:rPr>
                                  <w:rStyle w:val="InternetLink"/>
                                  <w:rFonts w:ascii="Arial" w:hAnsi="Arial"/>
                                  <w:strike w:val="false"/>
                                  <w:dstrike w:val="false"/>
                                  <w:color w:val="000000"/>
                                  <w:sz w:val="21"/>
                                  <w:u w:val="none"/>
                                  <w:effect w:val="none"/>
                                </w:rPr>
                                <w:t>Board Leadership Structure</w:t>
                              </w:r>
                            </w:hyperlink>
                            <w:r>
                              <w:rPr>
                                <w:rFonts w:ascii="Arial" w:hAnsi="Arial"/>
                                <w:color w:val="000000"/>
                                <w:sz w:val="21"/>
                              </w:rPr>
                              <w:t xml:space="preserve"> </w:t>
                            </w:r>
                          </w:p>
                        </w:tc>
                        <w:tc>
                          <w:tcPr>
                            <w:tcW w:w="451" w:type="dxa"/>
                            <w:tcBorders/>
                            <w:shd w:fill="auto" w:val="clear"/>
                            <w:vAlign w:val="center"/>
                          </w:tcPr>
                          <w:p>
                            <w:pPr>
                              <w:pStyle w:val="TableContents"/>
                              <w:pBdr/>
                              <w:spacing w:before="0" w:after="60"/>
                              <w:ind w:left="0" w:right="0" w:hanging="0"/>
                              <w:jc w:val="right"/>
                              <w:rPr/>
                            </w:pPr>
                            <w:hyperlink w:anchor="new_id-46">
                              <w:r>
                                <w:rPr>
                                  <w:rStyle w:val="InternetLink"/>
                                  <w:rFonts w:ascii="Arial" w:hAnsi="Arial"/>
                                  <w:strike w:val="false"/>
                                  <w:dstrike w:val="false"/>
                                  <w:color w:val="000000"/>
                                  <w:sz w:val="21"/>
                                  <w:u w:val="none"/>
                                  <w:effect w:val="none"/>
                                </w:rPr>
                                <w:t>25</w:t>
                              </w:r>
                            </w:hyperlink>
                            <w:r>
                              <w:rPr>
                                <w:rFonts w:ascii="Arial" w:hAnsi="Arial"/>
                                <w:color w:val="000000"/>
                                <w:sz w:val="21"/>
                              </w:rPr>
                              <w:t xml:space="preserve"> </w:t>
                            </w:r>
                          </w:p>
                        </w:tc>
                      </w:tr>
                    </w:tbl>
                    <w:tbl>
                      <w:tblPr>
                        <w:tblW w:w="5305" w:type="dxa"/>
                        <w:jc w:val="left"/>
                        <w:tblInd w:w="0" w:type="dxa"/>
                        <w:tblCellMar>
                          <w:top w:w="0" w:type="dxa"/>
                          <w:left w:w="0" w:type="dxa"/>
                          <w:bottom w:w="0" w:type="dxa"/>
                          <w:right w:w="0" w:type="dxa"/>
                        </w:tblCellMar>
                      </w:tblPr>
                      <w:tblGrid>
                        <w:gridCol w:w="4970"/>
                        <w:gridCol w:w="335"/>
                      </w:tblGrid>
                      <w:tr>
                        <w:trPr/>
                        <w:tc>
                          <w:tcPr>
                            <w:tcW w:w="4970" w:type="dxa"/>
                            <w:tcBorders/>
                            <w:shd w:fill="auto" w:val="clear"/>
                            <w:vAlign w:val="center"/>
                          </w:tcPr>
                          <w:p>
                            <w:pPr>
                              <w:pStyle w:val="TableContents"/>
                              <w:pBdr/>
                              <w:spacing w:before="0" w:after="60"/>
                              <w:ind w:left="300" w:right="105" w:hanging="0"/>
                              <w:rPr/>
                            </w:pPr>
                            <w:hyperlink w:anchor="new_id-49">
                              <w:r>
                                <w:rPr>
                                  <w:rStyle w:val="InternetLink"/>
                                  <w:rFonts w:ascii="Arial" w:hAnsi="Arial"/>
                                  <w:strike w:val="false"/>
                                  <w:dstrike w:val="false"/>
                                  <w:color w:val="000000"/>
                                  <w:sz w:val="21"/>
                                  <w:u w:val="none"/>
                                  <w:effect w:val="none"/>
                                </w:rPr>
                                <w:t>Board Oversight of Risk and Key Pricing Decisions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49">
                              <w:r>
                                <w:rPr>
                                  <w:rStyle w:val="InternetLink"/>
                                  <w:rFonts w:ascii="Arial" w:hAnsi="Arial"/>
                                  <w:strike w:val="false"/>
                                  <w:dstrike w:val="false"/>
                                  <w:color w:val="000000"/>
                                  <w:sz w:val="21"/>
                                  <w:u w:val="none"/>
                                  <w:effect w:val="none"/>
                                </w:rPr>
                                <w:t>26</w:t>
                              </w:r>
                            </w:hyperlink>
                            <w:r>
                              <w:rPr>
                                <w:rFonts w:ascii="Arial" w:hAnsi="Arial"/>
                                <w:color w:val="000000"/>
                                <w:sz w:val="21"/>
                              </w:rPr>
                              <w:t xml:space="preserve"> </w:t>
                            </w:r>
                          </w:p>
                        </w:tc>
                      </w:tr>
                    </w:tbl>
                    <w:tbl>
                      <w:tblPr>
                        <w:tblW w:w="8935" w:type="dxa"/>
                        <w:jc w:val="left"/>
                        <w:tblInd w:w="0" w:type="dxa"/>
                        <w:tblCellMar>
                          <w:top w:w="0" w:type="dxa"/>
                          <w:left w:w="0" w:type="dxa"/>
                          <w:bottom w:w="0" w:type="dxa"/>
                          <w:right w:w="0" w:type="dxa"/>
                        </w:tblCellMar>
                      </w:tblPr>
                      <w:tblGrid>
                        <w:gridCol w:w="8600"/>
                        <w:gridCol w:w="335"/>
                      </w:tblGrid>
                      <w:tr>
                        <w:trPr/>
                        <w:tc>
                          <w:tcPr>
                            <w:tcW w:w="8600" w:type="dxa"/>
                            <w:tcBorders/>
                            <w:shd w:fill="auto" w:val="clear"/>
                            <w:vAlign w:val="center"/>
                          </w:tcPr>
                          <w:p>
                            <w:pPr>
                              <w:pStyle w:val="TableContents"/>
                              <w:pBdr/>
                              <w:spacing w:before="0" w:after="60"/>
                              <w:ind w:left="300" w:right="105" w:hanging="0"/>
                              <w:rPr/>
                            </w:pPr>
                            <w:hyperlink w:anchor="new_id-50">
                              <w:r>
                                <w:rPr>
                                  <w:rStyle w:val="InternetLink"/>
                                  <w:rFonts w:ascii="Arial" w:hAnsi="Arial"/>
                                  <w:strike w:val="false"/>
                                  <w:dstrike w:val="false"/>
                                  <w:color w:val="000000"/>
                                  <w:sz w:val="21"/>
                                  <w:u w:val="none"/>
                                  <w:effect w:val="none"/>
                                </w:rPr>
                                <w:t>Executive Compensation Processes and Procedures; Role of Compensation Consultants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50">
                              <w:r>
                                <w:rPr>
                                  <w:rStyle w:val="InternetLink"/>
                                  <w:rFonts w:ascii="Arial" w:hAnsi="Arial"/>
                                  <w:strike w:val="false"/>
                                  <w:dstrike w:val="false"/>
                                  <w:color w:val="000000"/>
                                  <w:sz w:val="21"/>
                                  <w:u w:val="none"/>
                                  <w:effect w:val="none"/>
                                </w:rPr>
                                <w:t>27</w:t>
                              </w:r>
                            </w:hyperlink>
                            <w:r>
                              <w:rPr>
                                <w:rFonts w:ascii="Arial" w:hAnsi="Arial"/>
                                <w:color w:val="000000"/>
                                <w:sz w:val="21"/>
                              </w:rPr>
                              <w:t xml:space="preserve"> </w:t>
                            </w:r>
                          </w:p>
                        </w:tc>
                      </w:tr>
                    </w:tbl>
                    <w:tbl>
                      <w:tblPr>
                        <w:tblW w:w="6745" w:type="dxa"/>
                        <w:jc w:val="left"/>
                        <w:tblInd w:w="0" w:type="dxa"/>
                        <w:tblCellMar>
                          <w:top w:w="0" w:type="dxa"/>
                          <w:left w:w="0" w:type="dxa"/>
                          <w:bottom w:w="0" w:type="dxa"/>
                          <w:right w:w="0" w:type="dxa"/>
                        </w:tblCellMar>
                      </w:tblPr>
                      <w:tblGrid>
                        <w:gridCol w:w="6410"/>
                        <w:gridCol w:w="335"/>
                      </w:tblGrid>
                      <w:tr>
                        <w:trPr/>
                        <w:tc>
                          <w:tcPr>
                            <w:tcW w:w="6410" w:type="dxa"/>
                            <w:tcBorders/>
                            <w:shd w:fill="auto" w:val="clear"/>
                            <w:vAlign w:val="center"/>
                          </w:tcPr>
                          <w:p>
                            <w:pPr>
                              <w:pStyle w:val="TableContents"/>
                              <w:pBdr/>
                              <w:spacing w:before="0" w:after="60"/>
                              <w:ind w:left="300" w:right="105" w:hanging="0"/>
                              <w:rPr/>
                            </w:pPr>
                            <w:hyperlink w:anchor="new_id-51">
                              <w:r>
                                <w:rPr>
                                  <w:rStyle w:val="InternetLink"/>
                                  <w:rFonts w:ascii="Arial" w:hAnsi="Arial"/>
                                  <w:strike w:val="false"/>
                                  <w:dstrike w:val="false"/>
                                  <w:color w:val="000000"/>
                                  <w:sz w:val="21"/>
                                  <w:u w:val="none"/>
                                  <w:effect w:val="none"/>
                                </w:rPr>
                                <w:t>Shareholder Engagement Philosophy and Board Responsiveness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51">
                              <w:r>
                                <w:rPr>
                                  <w:rStyle w:val="InternetLink"/>
                                  <w:rFonts w:ascii="Arial" w:hAnsi="Arial"/>
                                  <w:strike w:val="false"/>
                                  <w:dstrike w:val="false"/>
                                  <w:color w:val="000000"/>
                                  <w:sz w:val="21"/>
                                  <w:u w:val="none"/>
                                  <w:effect w:val="none"/>
                                </w:rPr>
                                <w:t>27</w:t>
                              </w:r>
                            </w:hyperlink>
                            <w:r>
                              <w:rPr>
                                <w:rFonts w:ascii="Arial" w:hAnsi="Arial"/>
                                <w:color w:val="000000"/>
                                <w:sz w:val="21"/>
                              </w:rPr>
                              <w:t xml:space="preserve"> </w:t>
                            </w:r>
                          </w:p>
                        </w:tc>
                      </w:tr>
                    </w:tbl>
                    <w:tbl>
                      <w:tblPr>
                        <w:tblW w:w="3295" w:type="dxa"/>
                        <w:jc w:val="left"/>
                        <w:tblInd w:w="0" w:type="dxa"/>
                        <w:tblCellMar>
                          <w:top w:w="0" w:type="dxa"/>
                          <w:left w:w="0" w:type="dxa"/>
                          <w:bottom w:w="0" w:type="dxa"/>
                          <w:right w:w="0" w:type="dxa"/>
                        </w:tblCellMar>
                      </w:tblPr>
                      <w:tblGrid>
                        <w:gridCol w:w="2960"/>
                        <w:gridCol w:w="335"/>
                      </w:tblGrid>
                      <w:tr>
                        <w:trPr/>
                        <w:tc>
                          <w:tcPr>
                            <w:tcW w:w="2960" w:type="dxa"/>
                            <w:tcBorders/>
                            <w:shd w:fill="auto" w:val="clear"/>
                            <w:vAlign w:val="center"/>
                          </w:tcPr>
                          <w:p>
                            <w:pPr>
                              <w:pStyle w:val="TableContents"/>
                              <w:pBdr/>
                              <w:spacing w:before="0" w:after="60"/>
                              <w:ind w:left="0" w:right="105" w:hanging="0"/>
                              <w:rPr/>
                            </w:pPr>
                            <w:hyperlink w:anchor="new_id-53">
                              <w:r>
                                <w:rPr>
                                  <w:rStyle w:val="InternetLink"/>
                                  <w:rFonts w:ascii="Arial" w:hAnsi="Arial"/>
                                  <w:b/>
                                  <w:strike w:val="false"/>
                                  <w:dstrike w:val="false"/>
                                  <w:color w:val="000000"/>
                                  <w:sz w:val="21"/>
                                  <w:u w:val="none"/>
                                  <w:effect w:val="none"/>
                                </w:rPr>
                                <w:t>Compensation of Directors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53">
                              <w:r>
                                <w:rPr>
                                  <w:rStyle w:val="InternetLink"/>
                                  <w:rFonts w:ascii="Arial" w:hAnsi="Arial"/>
                                  <w:b/>
                                  <w:strike w:val="false"/>
                                  <w:dstrike w:val="false"/>
                                  <w:color w:val="000000"/>
                                  <w:sz w:val="21"/>
                                  <w:u w:val="none"/>
                                  <w:effect w:val="none"/>
                                </w:rPr>
                                <w:t>29</w:t>
                              </w:r>
                            </w:hyperlink>
                            <w:r>
                              <w:rPr>
                                <w:rFonts w:ascii="Arial" w:hAnsi="Arial"/>
                                <w:b/>
                                <w:color w:val="000000"/>
                                <w:sz w:val="21"/>
                              </w:rPr>
                              <w:t xml:space="preserve"> </w:t>
                            </w:r>
                          </w:p>
                        </w:tc>
                      </w:tr>
                    </w:tbl>
                    <w:tbl>
                      <w:tblPr>
                        <w:tblW w:w="4337" w:type="dxa"/>
                        <w:jc w:val="left"/>
                        <w:tblInd w:w="0" w:type="dxa"/>
                        <w:tblCellMar>
                          <w:top w:w="0" w:type="dxa"/>
                          <w:left w:w="0" w:type="dxa"/>
                          <w:bottom w:w="0" w:type="dxa"/>
                          <w:right w:w="0" w:type="dxa"/>
                        </w:tblCellMar>
                      </w:tblPr>
                      <w:tblGrid>
                        <w:gridCol w:w="3811"/>
                        <w:gridCol w:w="526"/>
                      </w:tblGrid>
                      <w:tr>
                        <w:trPr/>
                        <w:tc>
                          <w:tcPr>
                            <w:tcW w:w="38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r>
                      <w:tr>
                        <w:trPr/>
                        <w:tc>
                          <w:tcPr>
                            <w:tcW w:w="3811" w:type="dxa"/>
                            <w:tcBorders>
                              <w:bottom w:val="single" w:sz="12" w:space="0" w:color="245BA7"/>
                            </w:tcBorders>
                            <w:shd w:fill="auto" w:val="clear"/>
                            <w:tcMar>
                              <w:bottom w:w="45" w:type="dxa"/>
                            </w:tcMar>
                            <w:vAlign w:val="center"/>
                          </w:tcPr>
                          <w:p>
                            <w:pPr>
                              <w:pStyle w:val="TableContents"/>
                              <w:pBdr/>
                              <w:spacing w:before="0" w:after="0"/>
                              <w:ind w:left="0" w:right="210" w:hanging="0"/>
                              <w:rPr/>
                            </w:pPr>
                            <w:hyperlink w:anchor="new_id-63">
                              <w:r>
                                <w:rPr>
                                  <w:rStyle w:val="InternetLink"/>
                                  <w:rFonts w:ascii="Arial" w:hAnsi="Arial"/>
                                  <w:b/>
                                  <w:strike w:val="false"/>
                                  <w:dstrike w:val="false"/>
                                  <w:color w:val="000000"/>
                                  <w:sz w:val="18"/>
                                  <w:u w:val="none"/>
                                  <w:effect w:val="none"/>
                                </w:rPr>
                                <w:t>PROPOSAL NO. 1</w:t>
                              </w:r>
                            </w:hyperlink>
                            <w:hyperlink w:anchor="new_id-63">
                              <w:r>
                                <w:rPr>
                                  <w:rStyle w:val="InternetLink"/>
                                  <w:rFonts w:ascii="Arial" w:hAnsi="Arial"/>
                                  <w:b/>
                                  <w:strike w:val="false"/>
                                  <w:dstrike w:val="false"/>
                                  <w:color w:val="D31B5D"/>
                                  <w:sz w:val="27"/>
                                  <w:u w:val="none"/>
                                  <w:effect w:val="none"/>
                                </w:rPr>
                                <w:br/>
                                <w:t>ELECTION OF DIRECTORS</w:t>
                              </w:r>
                            </w:hyperlink>
                          </w:p>
                        </w:tc>
                        <w:tc>
                          <w:tcPr>
                            <w:tcW w:w="526" w:type="dxa"/>
                            <w:tcBorders>
                              <w:bottom w:val="single" w:sz="12" w:space="0" w:color="245BA7"/>
                            </w:tcBorders>
                            <w:shd w:fill="auto" w:val="clear"/>
                            <w:tcMar>
                              <w:bottom w:w="45" w:type="dxa"/>
                            </w:tcMar>
                            <w:vAlign w:val="center"/>
                          </w:tcPr>
                          <w:p>
                            <w:pPr>
                              <w:pStyle w:val="TableContents"/>
                              <w:pBdr/>
                              <w:spacing w:before="0" w:after="0"/>
                              <w:ind w:left="0" w:right="0" w:hanging="0"/>
                              <w:jc w:val="right"/>
                              <w:rPr/>
                            </w:pPr>
                            <w:hyperlink w:anchor="new_id-63">
                              <w:r>
                                <w:rPr>
                                  <w:rStyle w:val="InternetLink"/>
                                  <w:rFonts w:ascii="Arial" w:hAnsi="Arial"/>
                                  <w:b/>
                                  <w:strike w:val="false"/>
                                  <w:dstrike w:val="false"/>
                                  <w:color w:val="D31B5D"/>
                                  <w:sz w:val="27"/>
                                  <w:u w:val="none"/>
                                  <w:effect w:val="none"/>
                                </w:rPr>
                                <w:t>33</w:t>
                              </w:r>
                            </w:hyperlink>
                            <w:r>
                              <w:rPr>
                                <w:rFonts w:ascii="Arial" w:hAnsi="Arial"/>
                                <w:b/>
                                <w:color w:val="D31B5D"/>
                                <w:sz w:val="27"/>
                              </w:rPr>
                              <w:t xml:space="preserve"> </w:t>
                            </w:r>
                          </w:p>
                        </w:tc>
                      </w:tr>
                    </w:tbl>
                    <w:tbl>
                      <w:tblPr>
                        <w:tblW w:w="1960" w:type="dxa"/>
                        <w:jc w:val="left"/>
                        <w:tblInd w:w="0" w:type="dxa"/>
                        <w:tblCellMar>
                          <w:top w:w="0" w:type="dxa"/>
                          <w:left w:w="0" w:type="dxa"/>
                          <w:bottom w:w="0" w:type="dxa"/>
                          <w:right w:w="0" w:type="dxa"/>
                        </w:tblCellMar>
                      </w:tblPr>
                      <w:tblGrid>
                        <w:gridCol w:w="1625"/>
                        <w:gridCol w:w="335"/>
                      </w:tblGrid>
                      <w:tr>
                        <w:trPr/>
                        <w:tc>
                          <w:tcPr>
                            <w:tcW w:w="1625" w:type="dxa"/>
                            <w:tcBorders/>
                            <w:shd w:fill="auto" w:val="clear"/>
                            <w:vAlign w:val="center"/>
                          </w:tcPr>
                          <w:p>
                            <w:pPr>
                              <w:pStyle w:val="TableContents"/>
                              <w:pBdr/>
                              <w:spacing w:before="0" w:after="60"/>
                              <w:ind w:left="0" w:right="105" w:hanging="0"/>
                              <w:rPr/>
                            </w:pPr>
                            <w:hyperlink w:anchor="new_id-64">
                              <w:r>
                                <w:rPr>
                                  <w:rStyle w:val="InternetLink"/>
                                  <w:rFonts w:ascii="Arial" w:hAnsi="Arial"/>
                                  <w:b/>
                                  <w:strike w:val="false"/>
                                  <w:dstrike w:val="false"/>
                                  <w:color w:val="245BA7"/>
                                  <w:sz w:val="21"/>
                                  <w:u w:val="none"/>
                                  <w:effect w:val="none"/>
                                </w:rPr>
                                <w:t>The Company</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64">
                              <w:r>
                                <w:rPr>
                                  <w:rStyle w:val="InternetLink"/>
                                  <w:rFonts w:ascii="Arial" w:hAnsi="Arial"/>
                                  <w:b/>
                                  <w:strike w:val="false"/>
                                  <w:dstrike w:val="false"/>
                                  <w:color w:val="245BA7"/>
                                  <w:sz w:val="21"/>
                                  <w:u w:val="none"/>
                                  <w:effect w:val="none"/>
                                </w:rPr>
                                <w:t>34</w:t>
                              </w:r>
                            </w:hyperlink>
                            <w:r>
                              <w:rPr>
                                <w:rFonts w:ascii="Arial" w:hAnsi="Arial"/>
                                <w:b/>
                                <w:color w:val="245BA7"/>
                                <w:sz w:val="21"/>
                              </w:rPr>
                              <w:t xml:space="preserve"> </w:t>
                            </w:r>
                          </w:p>
                        </w:tc>
                      </w:tr>
                    </w:tbl>
                    <w:tbl>
                      <w:tblPr>
                        <w:tblW w:w="4105" w:type="dxa"/>
                        <w:jc w:val="left"/>
                        <w:tblInd w:w="0" w:type="dxa"/>
                        <w:tblCellMar>
                          <w:top w:w="0" w:type="dxa"/>
                          <w:left w:w="0" w:type="dxa"/>
                          <w:bottom w:w="0" w:type="dxa"/>
                          <w:right w:w="0" w:type="dxa"/>
                        </w:tblCellMar>
                      </w:tblPr>
                      <w:tblGrid>
                        <w:gridCol w:w="3770"/>
                        <w:gridCol w:w="335"/>
                      </w:tblGrid>
                      <w:tr>
                        <w:trPr/>
                        <w:tc>
                          <w:tcPr>
                            <w:tcW w:w="3770" w:type="dxa"/>
                            <w:tcBorders/>
                            <w:shd w:fill="auto" w:val="clear"/>
                            <w:vAlign w:val="center"/>
                          </w:tcPr>
                          <w:p>
                            <w:pPr>
                              <w:pStyle w:val="TableContents"/>
                              <w:pBdr/>
                              <w:spacing w:before="0" w:after="60"/>
                              <w:ind w:left="0" w:right="105" w:hanging="0"/>
                              <w:rPr/>
                            </w:pPr>
                            <w:hyperlink w:anchor="new_id-65">
                              <w:r>
                                <w:rPr>
                                  <w:rStyle w:val="InternetLink"/>
                                  <w:rFonts w:ascii="Arial" w:hAnsi="Arial"/>
                                  <w:b/>
                                  <w:strike w:val="false"/>
                                  <w:dstrike w:val="false"/>
                                  <w:color w:val="000000"/>
                                  <w:sz w:val="21"/>
                                  <w:u w:val="none"/>
                                  <w:effect w:val="none"/>
                                </w:rPr>
                                <w:t>Executive Officers of the Company</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65">
                              <w:r>
                                <w:rPr>
                                  <w:rStyle w:val="InternetLink"/>
                                  <w:rFonts w:ascii="Arial" w:hAnsi="Arial"/>
                                  <w:b/>
                                  <w:strike w:val="false"/>
                                  <w:dstrike w:val="false"/>
                                  <w:color w:val="000000"/>
                                  <w:sz w:val="21"/>
                                  <w:u w:val="none"/>
                                  <w:effect w:val="none"/>
                                </w:rPr>
                                <w:t>34</w:t>
                              </w:r>
                            </w:hyperlink>
                            <w:r>
                              <w:rPr>
                                <w:rFonts w:ascii="Arial" w:hAnsi="Arial"/>
                                <w:b/>
                                <w:color w:val="000000"/>
                                <w:sz w:val="21"/>
                              </w:rPr>
                              <w:t xml:space="preserve"> </w:t>
                            </w:r>
                          </w:p>
                        </w:tc>
                      </w:tr>
                    </w:tbl>
                    <w:tbl>
                      <w:tblPr>
                        <w:tblW w:w="2860" w:type="dxa"/>
                        <w:jc w:val="left"/>
                        <w:tblInd w:w="0" w:type="dxa"/>
                        <w:tblCellMar>
                          <w:top w:w="0" w:type="dxa"/>
                          <w:left w:w="0" w:type="dxa"/>
                          <w:bottom w:w="0" w:type="dxa"/>
                          <w:right w:w="0" w:type="dxa"/>
                        </w:tblCellMar>
                      </w:tblPr>
                      <w:tblGrid>
                        <w:gridCol w:w="2525"/>
                        <w:gridCol w:w="335"/>
                      </w:tblGrid>
                      <w:tr>
                        <w:trPr/>
                        <w:tc>
                          <w:tcPr>
                            <w:tcW w:w="2525" w:type="dxa"/>
                            <w:tcBorders/>
                            <w:shd w:fill="auto" w:val="clear"/>
                            <w:vAlign w:val="center"/>
                          </w:tcPr>
                          <w:p>
                            <w:pPr>
                              <w:pStyle w:val="TableContents"/>
                              <w:pBdr/>
                              <w:spacing w:before="0" w:after="60"/>
                              <w:ind w:left="0" w:right="105" w:hanging="0"/>
                              <w:rPr/>
                            </w:pPr>
                            <w:hyperlink w:anchor="new_id-66">
                              <w:r>
                                <w:rPr>
                                  <w:rStyle w:val="InternetLink"/>
                                  <w:rFonts w:ascii="Arial" w:hAnsi="Arial"/>
                                  <w:b/>
                                  <w:strike w:val="false"/>
                                  <w:dstrike w:val="false"/>
                                  <w:color w:val="000000"/>
                                  <w:sz w:val="21"/>
                                  <w:u w:val="none"/>
                                  <w:effect w:val="none"/>
                                </w:rPr>
                                <w:t>Corporate Governance</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66">
                              <w:r>
                                <w:rPr>
                                  <w:rStyle w:val="InternetLink"/>
                                  <w:rFonts w:ascii="Arial" w:hAnsi="Arial"/>
                                  <w:b/>
                                  <w:strike w:val="false"/>
                                  <w:dstrike w:val="false"/>
                                  <w:color w:val="000000"/>
                                  <w:sz w:val="21"/>
                                  <w:u w:val="none"/>
                                  <w:effect w:val="none"/>
                                </w:rPr>
                                <w:t>36</w:t>
                              </w:r>
                            </w:hyperlink>
                            <w:r>
                              <w:rPr>
                                <w:rFonts w:ascii="Arial" w:hAnsi="Arial"/>
                                <w:b/>
                                <w:color w:val="000000"/>
                                <w:sz w:val="21"/>
                              </w:rPr>
                              <w:t xml:space="preserve"> </w:t>
                            </w:r>
                          </w:p>
                        </w:tc>
                      </w:tr>
                    </w:tbl>
                    <w:tbl>
                      <w:tblPr>
                        <w:tblW w:w="1420" w:type="dxa"/>
                        <w:jc w:val="left"/>
                        <w:tblInd w:w="0" w:type="dxa"/>
                        <w:tblCellMar>
                          <w:top w:w="0" w:type="dxa"/>
                          <w:left w:w="0" w:type="dxa"/>
                          <w:bottom w:w="0" w:type="dxa"/>
                          <w:right w:w="0" w:type="dxa"/>
                        </w:tblCellMar>
                      </w:tblPr>
                      <w:tblGrid>
                        <w:gridCol w:w="1085"/>
                        <w:gridCol w:w="335"/>
                      </w:tblGrid>
                      <w:tr>
                        <w:trPr/>
                        <w:tc>
                          <w:tcPr>
                            <w:tcW w:w="1085" w:type="dxa"/>
                            <w:tcBorders/>
                            <w:shd w:fill="auto" w:val="clear"/>
                            <w:vAlign w:val="center"/>
                          </w:tcPr>
                          <w:p>
                            <w:pPr>
                              <w:pStyle w:val="TableContents"/>
                              <w:pBdr/>
                              <w:spacing w:before="0" w:after="60"/>
                              <w:ind w:left="300" w:right="105" w:hanging="0"/>
                              <w:rPr/>
                            </w:pPr>
                            <w:hyperlink w:anchor="new_id-67">
                              <w:r>
                                <w:rPr>
                                  <w:rStyle w:val="InternetLink"/>
                                  <w:rFonts w:ascii="Arial" w:hAnsi="Arial"/>
                                  <w:strike w:val="false"/>
                                  <w:dstrike w:val="false"/>
                                  <w:color w:val="000000"/>
                                  <w:sz w:val="21"/>
                                  <w:u w:val="none"/>
                                  <w:effect w:val="none"/>
                                </w:rPr>
                                <w:t>Overview</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67">
                              <w:r>
                                <w:rPr>
                                  <w:rStyle w:val="InternetLink"/>
                                  <w:rFonts w:ascii="Arial" w:hAnsi="Arial"/>
                                  <w:strike w:val="false"/>
                                  <w:dstrike w:val="false"/>
                                  <w:color w:val="000000"/>
                                  <w:sz w:val="21"/>
                                  <w:u w:val="none"/>
                                  <w:effect w:val="none"/>
                                </w:rPr>
                                <w:t>36</w:t>
                              </w:r>
                            </w:hyperlink>
                            <w:r>
                              <w:rPr>
                                <w:rFonts w:ascii="Arial" w:hAnsi="Arial"/>
                                <w:color w:val="000000"/>
                                <w:sz w:val="21"/>
                              </w:rPr>
                              <w:t xml:space="preserve"> </w:t>
                            </w:r>
                          </w:p>
                        </w:tc>
                      </w:tr>
                    </w:tbl>
                    <w:tbl>
                      <w:tblPr>
                        <w:tblW w:w="2125" w:type="dxa"/>
                        <w:jc w:val="left"/>
                        <w:tblInd w:w="0" w:type="dxa"/>
                        <w:tblCellMar>
                          <w:top w:w="0" w:type="dxa"/>
                          <w:left w:w="0" w:type="dxa"/>
                          <w:bottom w:w="0" w:type="dxa"/>
                          <w:right w:w="0" w:type="dxa"/>
                        </w:tblCellMar>
                      </w:tblPr>
                      <w:tblGrid>
                        <w:gridCol w:w="1790"/>
                        <w:gridCol w:w="335"/>
                      </w:tblGrid>
                      <w:tr>
                        <w:trPr/>
                        <w:tc>
                          <w:tcPr>
                            <w:tcW w:w="1790" w:type="dxa"/>
                            <w:tcBorders/>
                            <w:shd w:fill="auto" w:val="clear"/>
                            <w:vAlign w:val="center"/>
                          </w:tcPr>
                          <w:p>
                            <w:pPr>
                              <w:pStyle w:val="TableContents"/>
                              <w:pBdr/>
                              <w:spacing w:before="0" w:after="60"/>
                              <w:ind w:left="300" w:right="105" w:hanging="0"/>
                              <w:rPr/>
                            </w:pPr>
                            <w:hyperlink w:anchor="new_id-68">
                              <w:r>
                                <w:rPr>
                                  <w:rStyle w:val="InternetLink"/>
                                  <w:rFonts w:ascii="Arial" w:hAnsi="Arial"/>
                                  <w:strike w:val="false"/>
                                  <w:dstrike w:val="false"/>
                                  <w:color w:val="000000"/>
                                  <w:sz w:val="21"/>
                                  <w:u w:val="none"/>
                                  <w:effect w:val="none"/>
                                </w:rPr>
                                <w:t>Capital Structure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68">
                              <w:r>
                                <w:rPr>
                                  <w:rStyle w:val="InternetLink"/>
                                  <w:rFonts w:ascii="Arial" w:hAnsi="Arial"/>
                                  <w:strike w:val="false"/>
                                  <w:dstrike w:val="false"/>
                                  <w:color w:val="000000"/>
                                  <w:sz w:val="21"/>
                                  <w:u w:val="none"/>
                                  <w:effect w:val="none"/>
                                </w:rPr>
                                <w:t>37</w:t>
                              </w:r>
                            </w:hyperlink>
                            <w:r>
                              <w:rPr>
                                <w:rFonts w:ascii="Arial" w:hAnsi="Arial"/>
                                <w:color w:val="000000"/>
                                <w:sz w:val="21"/>
                              </w:rPr>
                              <w:t xml:space="preserve"> </w:t>
                            </w:r>
                          </w:p>
                        </w:tc>
                      </w:tr>
                    </w:tbl>
                    <w:tbl>
                      <w:tblPr>
                        <w:tblW w:w="1915" w:type="dxa"/>
                        <w:jc w:val="left"/>
                        <w:tblInd w:w="0" w:type="dxa"/>
                        <w:tblCellMar>
                          <w:top w:w="0" w:type="dxa"/>
                          <w:left w:w="0" w:type="dxa"/>
                          <w:bottom w:w="0" w:type="dxa"/>
                          <w:right w:w="0" w:type="dxa"/>
                        </w:tblCellMar>
                      </w:tblPr>
                      <w:tblGrid>
                        <w:gridCol w:w="1580"/>
                        <w:gridCol w:w="335"/>
                      </w:tblGrid>
                      <w:tr>
                        <w:trPr/>
                        <w:tc>
                          <w:tcPr>
                            <w:tcW w:w="1580" w:type="dxa"/>
                            <w:tcBorders/>
                            <w:shd w:fill="auto" w:val="clear"/>
                            <w:vAlign w:val="center"/>
                          </w:tcPr>
                          <w:p>
                            <w:pPr>
                              <w:pStyle w:val="TableContents"/>
                              <w:pBdr/>
                              <w:spacing w:before="0" w:after="60"/>
                              <w:ind w:left="300" w:right="105" w:hanging="0"/>
                              <w:rPr/>
                            </w:pPr>
                            <w:hyperlink w:anchor="new_id-69">
                              <w:r>
                                <w:rPr>
                                  <w:rStyle w:val="InternetLink"/>
                                  <w:rFonts w:ascii="Arial" w:hAnsi="Arial"/>
                                  <w:strike w:val="false"/>
                                  <w:dstrike w:val="false"/>
                                  <w:color w:val="000000"/>
                                  <w:sz w:val="21"/>
                                  <w:u w:val="none"/>
                                  <w:effect w:val="none"/>
                                </w:rPr>
                                <w:t>Code of Ethics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69">
                              <w:r>
                                <w:rPr>
                                  <w:rStyle w:val="InternetLink"/>
                                  <w:rFonts w:ascii="Arial" w:hAnsi="Arial"/>
                                  <w:strike w:val="false"/>
                                  <w:dstrike w:val="false"/>
                                  <w:color w:val="000000"/>
                                  <w:sz w:val="21"/>
                                  <w:u w:val="none"/>
                                  <w:effect w:val="none"/>
                                </w:rPr>
                                <w:t>37</w:t>
                              </w:r>
                            </w:hyperlink>
                            <w:r>
                              <w:rPr>
                                <w:rFonts w:ascii="Arial" w:hAnsi="Arial"/>
                                <w:color w:val="000000"/>
                                <w:sz w:val="21"/>
                              </w:rPr>
                              <w:t xml:space="preserve"> </w:t>
                            </w:r>
                          </w:p>
                        </w:tc>
                      </w:tr>
                    </w:tbl>
                    <w:tbl>
                      <w:tblPr>
                        <w:tblW w:w="5725" w:type="dxa"/>
                        <w:jc w:val="left"/>
                        <w:tblInd w:w="0" w:type="dxa"/>
                        <w:tblCellMar>
                          <w:top w:w="0" w:type="dxa"/>
                          <w:left w:w="0" w:type="dxa"/>
                          <w:bottom w:w="0" w:type="dxa"/>
                          <w:right w:w="0" w:type="dxa"/>
                        </w:tblCellMar>
                      </w:tblPr>
                      <w:tblGrid>
                        <w:gridCol w:w="5390"/>
                        <w:gridCol w:w="335"/>
                      </w:tblGrid>
                      <w:tr>
                        <w:trPr/>
                        <w:tc>
                          <w:tcPr>
                            <w:tcW w:w="5390" w:type="dxa"/>
                            <w:tcBorders/>
                            <w:shd w:fill="auto" w:val="clear"/>
                            <w:vAlign w:val="center"/>
                          </w:tcPr>
                          <w:p>
                            <w:pPr>
                              <w:pStyle w:val="TableContents"/>
                              <w:pBdr/>
                              <w:spacing w:before="0" w:after="60"/>
                              <w:ind w:left="300" w:right="105" w:hanging="0"/>
                              <w:rPr/>
                            </w:pPr>
                            <w:hyperlink w:anchor="new_id-70">
                              <w:r>
                                <w:rPr>
                                  <w:rStyle w:val="InternetLink"/>
                                  <w:rFonts w:ascii="Arial" w:hAnsi="Arial"/>
                                  <w:strike w:val="false"/>
                                  <w:dstrike w:val="false"/>
                                  <w:color w:val="000000"/>
                                  <w:sz w:val="21"/>
                                  <w:u w:val="none"/>
                                  <w:effect w:val="none"/>
                                </w:rPr>
                                <w:t>Succession Planning and Talent Development Process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70">
                              <w:r>
                                <w:rPr>
                                  <w:rStyle w:val="InternetLink"/>
                                  <w:rFonts w:ascii="Arial" w:hAnsi="Arial"/>
                                  <w:strike w:val="false"/>
                                  <w:dstrike w:val="false"/>
                                  <w:color w:val="000000"/>
                                  <w:sz w:val="21"/>
                                  <w:u w:val="none"/>
                                  <w:effect w:val="none"/>
                                </w:rPr>
                                <w:t>38</w:t>
                              </w:r>
                            </w:hyperlink>
                            <w:r>
                              <w:rPr>
                                <w:rFonts w:ascii="Arial" w:hAnsi="Arial"/>
                                <w:color w:val="000000"/>
                                <w:sz w:val="21"/>
                              </w:rPr>
                              <w:t xml:space="preserve"> </w:t>
                            </w:r>
                          </w:p>
                        </w:tc>
                      </w:tr>
                    </w:tbl>
                    <w:tbl>
                      <w:tblPr>
                        <w:tblW w:w="2860" w:type="dxa"/>
                        <w:jc w:val="left"/>
                        <w:tblInd w:w="0" w:type="dxa"/>
                        <w:tblCellMar>
                          <w:top w:w="0" w:type="dxa"/>
                          <w:left w:w="0" w:type="dxa"/>
                          <w:bottom w:w="0" w:type="dxa"/>
                          <w:right w:w="0" w:type="dxa"/>
                        </w:tblCellMar>
                      </w:tblPr>
                      <w:tblGrid>
                        <w:gridCol w:w="2525"/>
                        <w:gridCol w:w="335"/>
                      </w:tblGrid>
                      <w:tr>
                        <w:trPr/>
                        <w:tc>
                          <w:tcPr>
                            <w:tcW w:w="2525" w:type="dxa"/>
                            <w:tcBorders/>
                            <w:shd w:fill="auto" w:val="clear"/>
                            <w:vAlign w:val="center"/>
                          </w:tcPr>
                          <w:p>
                            <w:pPr>
                              <w:pStyle w:val="TableContents"/>
                              <w:pBdr/>
                              <w:spacing w:before="0" w:after="60"/>
                              <w:ind w:left="300" w:right="105" w:hanging="0"/>
                              <w:rPr/>
                            </w:pPr>
                            <w:hyperlink w:anchor="new_id-71">
                              <w:r>
                                <w:rPr>
                                  <w:rStyle w:val="InternetLink"/>
                                  <w:rFonts w:ascii="Arial" w:hAnsi="Arial"/>
                                  <w:strike w:val="false"/>
                                  <w:dstrike w:val="false"/>
                                  <w:color w:val="000000"/>
                                  <w:sz w:val="21"/>
                                  <w:u w:val="none"/>
                                  <w:effect w:val="none"/>
                                </w:rPr>
                                <w:t>Corporate Responsibility</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71">
                              <w:r>
                                <w:rPr>
                                  <w:rStyle w:val="InternetLink"/>
                                  <w:rFonts w:ascii="Arial" w:hAnsi="Arial"/>
                                  <w:strike w:val="false"/>
                                  <w:dstrike w:val="false"/>
                                  <w:color w:val="000000"/>
                                  <w:sz w:val="21"/>
                                  <w:u w:val="none"/>
                                  <w:effect w:val="none"/>
                                </w:rPr>
                                <w:t>38</w:t>
                              </w:r>
                            </w:hyperlink>
                            <w:r>
                              <w:rPr>
                                <w:rFonts w:ascii="Arial" w:hAnsi="Arial"/>
                                <w:color w:val="000000"/>
                                <w:sz w:val="21"/>
                              </w:rPr>
                              <w:t xml:space="preserve"> </w:t>
                            </w:r>
                          </w:p>
                        </w:tc>
                      </w:tr>
                    </w:tbl>
                    <w:tbl>
                      <w:tblPr>
                        <w:tblW w:w="2995" w:type="dxa"/>
                        <w:jc w:val="left"/>
                        <w:tblInd w:w="0" w:type="dxa"/>
                        <w:tblCellMar>
                          <w:top w:w="0" w:type="dxa"/>
                          <w:left w:w="0" w:type="dxa"/>
                          <w:bottom w:w="0" w:type="dxa"/>
                          <w:right w:w="0" w:type="dxa"/>
                        </w:tblCellMar>
                      </w:tblPr>
                      <w:tblGrid>
                        <w:gridCol w:w="2660"/>
                        <w:gridCol w:w="335"/>
                      </w:tblGrid>
                      <w:tr>
                        <w:trPr/>
                        <w:tc>
                          <w:tcPr>
                            <w:tcW w:w="2660" w:type="dxa"/>
                            <w:tcBorders/>
                            <w:shd w:fill="auto" w:val="clear"/>
                            <w:vAlign w:val="center"/>
                          </w:tcPr>
                          <w:p>
                            <w:pPr>
                              <w:pStyle w:val="TableContents"/>
                              <w:pBdr/>
                              <w:spacing w:before="0" w:after="60"/>
                              <w:ind w:left="300" w:right="105" w:hanging="0"/>
                              <w:rPr/>
                            </w:pPr>
                            <w:hyperlink w:anchor="new_id-73">
                              <w:r>
                                <w:rPr>
                                  <w:rStyle w:val="InternetLink"/>
                                  <w:rFonts w:ascii="Arial" w:hAnsi="Arial"/>
                                  <w:strike w:val="false"/>
                                  <w:dstrike w:val="false"/>
                                  <w:color w:val="000000"/>
                                  <w:sz w:val="21"/>
                                  <w:u w:val="none"/>
                                  <w:effect w:val="none"/>
                                </w:rPr>
                                <w:t>Public Policy Engagement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73">
                              <w:r>
                                <w:rPr>
                                  <w:rStyle w:val="InternetLink"/>
                                  <w:rFonts w:ascii="Arial" w:hAnsi="Arial"/>
                                  <w:strike w:val="false"/>
                                  <w:dstrike w:val="false"/>
                                  <w:color w:val="000000"/>
                                  <w:sz w:val="21"/>
                                  <w:u w:val="none"/>
                                  <w:effect w:val="none"/>
                                </w:rPr>
                                <w:t>41</w:t>
                              </w:r>
                            </w:hyperlink>
                            <w:r>
                              <w:rPr>
                                <w:rFonts w:ascii="Arial" w:hAnsi="Arial"/>
                                <w:color w:val="000000"/>
                                <w:sz w:val="21"/>
                              </w:rPr>
                              <w:t xml:space="preserve"> </w:t>
                            </w:r>
                          </w:p>
                        </w:tc>
                      </w:tr>
                    </w:tbl>
                    <w:tbl>
                      <w:tblPr>
                        <w:tblW w:w="3205" w:type="dxa"/>
                        <w:jc w:val="left"/>
                        <w:tblInd w:w="0" w:type="dxa"/>
                        <w:tblCellMar>
                          <w:top w:w="0" w:type="dxa"/>
                          <w:left w:w="0" w:type="dxa"/>
                          <w:bottom w:w="0" w:type="dxa"/>
                          <w:right w:w="0" w:type="dxa"/>
                        </w:tblCellMar>
                      </w:tblPr>
                      <w:tblGrid>
                        <w:gridCol w:w="2870"/>
                        <w:gridCol w:w="335"/>
                      </w:tblGrid>
                      <w:tr>
                        <w:trPr/>
                        <w:tc>
                          <w:tcPr>
                            <w:tcW w:w="2870" w:type="dxa"/>
                            <w:tcBorders/>
                            <w:shd w:fill="auto" w:val="clear"/>
                            <w:vAlign w:val="center"/>
                          </w:tcPr>
                          <w:p>
                            <w:pPr>
                              <w:pStyle w:val="TableContents"/>
                              <w:pBdr/>
                              <w:spacing w:before="0" w:after="60"/>
                              <w:ind w:left="300" w:right="105" w:hanging="0"/>
                              <w:rPr/>
                            </w:pPr>
                            <w:hyperlink w:anchor="new_id-74">
                              <w:r>
                                <w:rPr>
                                  <w:rStyle w:val="InternetLink"/>
                                  <w:rFonts w:ascii="Arial" w:hAnsi="Arial"/>
                                  <w:strike w:val="false"/>
                                  <w:dstrike w:val="false"/>
                                  <w:color w:val="000000"/>
                                  <w:sz w:val="21"/>
                                  <w:u w:val="none"/>
                                  <w:effect w:val="none"/>
                                </w:rPr>
                                <w:t>Stock Ownership Guidelines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74">
                              <w:r>
                                <w:rPr>
                                  <w:rStyle w:val="InternetLink"/>
                                  <w:rFonts w:ascii="Arial" w:hAnsi="Arial"/>
                                  <w:strike w:val="false"/>
                                  <w:dstrike w:val="false"/>
                                  <w:color w:val="000000"/>
                                  <w:sz w:val="21"/>
                                  <w:u w:val="none"/>
                                  <w:effect w:val="none"/>
                                </w:rPr>
                                <w:t>41</w:t>
                              </w:r>
                            </w:hyperlink>
                            <w:r>
                              <w:rPr>
                                <w:rFonts w:ascii="Arial" w:hAnsi="Arial"/>
                                <w:color w:val="000000"/>
                                <w:sz w:val="21"/>
                              </w:rPr>
                              <w:t xml:space="preserve">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right</wp:align>
                </wp:positionH>
                <wp:positionV relativeFrom="line">
                  <wp:posOffset>635</wp:posOffset>
                </wp:positionV>
                <wp:extent cx="3110230" cy="9972040"/>
                <wp:effectExtent l="0" t="0" r="0" b="0"/>
                <wp:wrapSquare wrapText="largest"/>
                <wp:docPr id="32" name="Frame2"/>
                <a:graphic xmlns:a="http://schemas.openxmlformats.org/drawingml/2006/main">
                  <a:graphicData uri="http://schemas.microsoft.com/office/word/2010/wordprocessingShape">
                    <wps:wsp>
                      <wps:cNvSpPr txBox="1"/>
                      <wps:spPr>
                        <a:xfrm>
                          <a:off x="0" y="0"/>
                          <a:ext cx="3110230" cy="9972040"/>
                        </a:xfrm>
                        <a:prstGeom prst="rect"/>
                      </wps:spPr>
                      <wps:txbx>
                        <w:txbxContent>
                          <w:p>
                            <w:pPr>
                              <w:pStyle w:val="TextBody"/>
                              <w:pBdr/>
                              <w:spacing w:before="60" w:after="195"/>
                              <w:ind w:left="0" w:right="0" w:hanging="0"/>
                              <w:jc w:val="center"/>
                              <w:rPr>
                                <w:rFonts w:ascii="Arial" w:hAnsi="Arial"/>
                                <w:b/>
                                <w:color w:val="D31B5D"/>
                                <w:sz w:val="24"/>
                                <w:bdr w:val="single" w:sz="48" w:space="1" w:color="009FE3"/>
                              </w:rPr>
                            </w:pPr>
                            <w:bookmarkStart w:id="8" w:name="new_id-4"/>
                            <w:bookmarkEnd w:id="8"/>
                            <w:r>
                              <w:rPr>
                                <w:rFonts w:ascii="Arial" w:hAnsi="Arial"/>
                                <w:b/>
                                <w:color w:val="D31B5D"/>
                                <w:sz w:val="24"/>
                                <w:bdr w:val="single" w:sz="48" w:space="1" w:color="009FE3"/>
                              </w:rPr>
                              <w:t>KEY PROXY INFORMATION</w:t>
                            </w:r>
                          </w:p>
                          <w:p>
                            <w:pPr>
                              <w:pStyle w:val="TextBody"/>
                              <w:pBdr/>
                              <w:spacing w:before="0" w:after="45"/>
                              <w:ind w:left="0" w:right="0" w:hanging="0"/>
                              <w:jc w:val="center"/>
                              <w:rPr>
                                <w:rFonts w:ascii="Arial" w:hAnsi="Arial"/>
                                <w:b/>
                                <w:color w:val="245BA7"/>
                                <w:sz w:val="24"/>
                                <w:bdr w:val="single" w:sz="48" w:space="1" w:color="009FE3"/>
                              </w:rPr>
                            </w:pPr>
                            <w:r>
                              <w:rPr>
                                <w:rFonts w:ascii="Arial" w:hAnsi="Arial"/>
                                <w:b/>
                                <w:color w:val="245BA7"/>
                                <w:sz w:val="24"/>
                                <w:bdr w:val="single" w:sz="48" w:space="1" w:color="009FE3"/>
                              </w:rPr>
                              <w:t>PROXY HIGHLIGHTS</w:t>
                            </w:r>
                          </w:p>
                          <w:p>
                            <w:pPr>
                              <w:pStyle w:val="TextBody"/>
                              <w:pBdr/>
                              <w:spacing w:before="0" w:after="195"/>
                              <w:ind w:left="0" w:right="0" w:hanging="0"/>
                              <w:jc w:val="center"/>
                              <w:rPr>
                                <w:rFonts w:ascii="Arial" w:hAnsi="Arial"/>
                                <w:b/>
                                <w:color w:val="000000"/>
                                <w:sz w:val="21"/>
                                <w:bdr w:val="single" w:sz="48" w:space="1" w:color="009FE3"/>
                              </w:rPr>
                            </w:pPr>
                            <w:r>
                              <w:rPr>
                                <w:rFonts w:ascii="Arial" w:hAnsi="Arial"/>
                                <w:b/>
                                <w:color w:val="000000"/>
                                <w:sz w:val="21"/>
                                <w:bdr w:val="single" w:sz="48" w:space="1" w:color="009FE3"/>
                              </w:rPr>
                              <w:t>(PAGES 2-3)</w:t>
                            </w:r>
                          </w:p>
                          <w:p>
                            <w:pPr>
                              <w:pStyle w:val="TextBody"/>
                              <w:pBdr/>
                              <w:spacing w:before="0" w:after="45"/>
                              <w:ind w:left="0" w:right="0" w:hanging="0"/>
                              <w:jc w:val="center"/>
                              <w:rPr>
                                <w:rFonts w:ascii="Arial" w:hAnsi="Arial"/>
                                <w:b/>
                                <w:color w:val="245BA7"/>
                                <w:sz w:val="24"/>
                                <w:bdr w:val="single" w:sz="48" w:space="1" w:color="009FE3"/>
                              </w:rPr>
                            </w:pPr>
                            <w:r>
                              <w:rPr>
                                <w:rFonts w:ascii="Arial" w:hAnsi="Arial"/>
                                <w:b/>
                                <w:color w:val="245BA7"/>
                                <w:sz w:val="24"/>
                                <w:bdr w:val="single" w:sz="48" w:space="1" w:color="009FE3"/>
                              </w:rPr>
                              <w:t>BOARD DIVERSITY</w:t>
                            </w:r>
                          </w:p>
                          <w:p>
                            <w:pPr>
                              <w:pStyle w:val="TextBody"/>
                              <w:pBdr/>
                              <w:spacing w:before="0" w:after="195"/>
                              <w:ind w:left="0" w:right="0" w:hanging="0"/>
                              <w:jc w:val="center"/>
                              <w:rPr>
                                <w:rFonts w:ascii="Arial" w:hAnsi="Arial"/>
                                <w:b/>
                                <w:color w:val="000000"/>
                                <w:sz w:val="21"/>
                                <w:bdr w:val="single" w:sz="48" w:space="1" w:color="009FE3"/>
                              </w:rPr>
                            </w:pPr>
                            <w:r>
                              <w:rPr>
                                <w:rFonts w:ascii="Arial" w:hAnsi="Arial"/>
                                <w:b/>
                                <w:color w:val="000000"/>
                                <w:sz w:val="21"/>
                                <w:bdr w:val="single" w:sz="48" w:space="1" w:color="009FE3"/>
                              </w:rPr>
                              <w:t>(PAGES 5-6)</w:t>
                            </w:r>
                          </w:p>
                          <w:p>
                            <w:pPr>
                              <w:pStyle w:val="TextBody"/>
                              <w:pBdr/>
                              <w:spacing w:before="0" w:after="45"/>
                              <w:ind w:left="0" w:right="0" w:hanging="0"/>
                              <w:jc w:val="center"/>
                              <w:rPr>
                                <w:rFonts w:ascii="Arial" w:hAnsi="Arial"/>
                                <w:b/>
                                <w:color w:val="245BA7"/>
                                <w:sz w:val="24"/>
                                <w:bdr w:val="single" w:sz="48" w:space="1" w:color="009FE3"/>
                              </w:rPr>
                            </w:pPr>
                            <w:r>
                              <w:rPr>
                                <w:rFonts w:ascii="Arial" w:hAnsi="Arial"/>
                                <w:b/>
                                <w:color w:val="245BA7"/>
                                <w:sz w:val="24"/>
                                <w:bdr w:val="single" w:sz="48" w:space="1" w:color="009FE3"/>
                              </w:rPr>
                              <w:t>RISK OVERSIGHT</w:t>
                            </w:r>
                          </w:p>
                          <w:p>
                            <w:pPr>
                              <w:pStyle w:val="TextBody"/>
                              <w:pBdr/>
                              <w:spacing w:before="0" w:after="195"/>
                              <w:ind w:left="0" w:right="0" w:hanging="0"/>
                              <w:jc w:val="center"/>
                              <w:rPr>
                                <w:rFonts w:ascii="Arial" w:hAnsi="Arial"/>
                                <w:b/>
                                <w:color w:val="000000"/>
                                <w:sz w:val="21"/>
                                <w:bdr w:val="single" w:sz="48" w:space="1" w:color="009FE3"/>
                              </w:rPr>
                            </w:pPr>
                            <w:r>
                              <w:rPr>
                                <w:rFonts w:ascii="Arial" w:hAnsi="Arial"/>
                                <w:b/>
                                <w:color w:val="000000"/>
                                <w:sz w:val="21"/>
                                <w:bdr w:val="single" w:sz="48" w:space="1" w:color="009FE3"/>
                              </w:rPr>
                              <w:t>(PAGE 26)</w:t>
                            </w:r>
                          </w:p>
                          <w:p>
                            <w:pPr>
                              <w:pStyle w:val="TextBody"/>
                              <w:pBdr/>
                              <w:spacing w:before="0" w:after="45"/>
                              <w:ind w:left="0" w:right="0" w:hanging="0"/>
                              <w:jc w:val="center"/>
                              <w:rPr>
                                <w:rFonts w:ascii="Arial" w:hAnsi="Arial"/>
                                <w:b/>
                                <w:color w:val="245BA7"/>
                                <w:sz w:val="24"/>
                                <w:bdr w:val="single" w:sz="48" w:space="1" w:color="009FE3"/>
                              </w:rPr>
                            </w:pPr>
                            <w:r>
                              <w:rPr>
                                <w:rFonts w:ascii="Arial" w:hAnsi="Arial"/>
                                <w:b/>
                                <w:color w:val="245BA7"/>
                                <w:sz w:val="24"/>
                                <w:bdr w:val="single" w:sz="48" w:space="1" w:color="009FE3"/>
                              </w:rPr>
                              <w:t>CORPORATE RESPONSIBILITY</w:t>
                            </w:r>
                          </w:p>
                          <w:p>
                            <w:pPr>
                              <w:pStyle w:val="TextBody"/>
                              <w:pBdr/>
                              <w:spacing w:before="0" w:after="195"/>
                              <w:ind w:left="0" w:right="0" w:hanging="0"/>
                              <w:jc w:val="center"/>
                              <w:rPr>
                                <w:rFonts w:ascii="Arial" w:hAnsi="Arial"/>
                                <w:b/>
                                <w:color w:val="000000"/>
                                <w:sz w:val="21"/>
                                <w:bdr w:val="single" w:sz="48" w:space="1" w:color="009FE3"/>
                              </w:rPr>
                            </w:pPr>
                            <w:r>
                              <w:rPr>
                                <w:rFonts w:ascii="Arial" w:hAnsi="Arial"/>
                                <w:b/>
                                <w:color w:val="000000"/>
                                <w:sz w:val="21"/>
                                <w:bdr w:val="single" w:sz="48" w:space="1" w:color="009FE3"/>
                              </w:rPr>
                              <w:t>(PAGES 38-41)</w:t>
                            </w:r>
                          </w:p>
                          <w:p>
                            <w:pPr>
                              <w:pStyle w:val="TextBody"/>
                              <w:pBdr/>
                              <w:spacing w:before="0" w:after="45"/>
                              <w:ind w:left="0" w:right="0" w:hanging="0"/>
                              <w:jc w:val="center"/>
                              <w:rPr>
                                <w:rFonts w:ascii="Arial" w:hAnsi="Arial"/>
                                <w:b/>
                                <w:color w:val="245BA7"/>
                                <w:sz w:val="24"/>
                                <w:bdr w:val="single" w:sz="48" w:space="1" w:color="009FE3"/>
                              </w:rPr>
                            </w:pPr>
                            <w:r>
                              <w:rPr>
                                <w:rFonts w:ascii="Arial" w:hAnsi="Arial"/>
                                <w:b/>
                                <w:color w:val="245BA7"/>
                                <w:sz w:val="24"/>
                                <w:bdr w:val="single" w:sz="48" w:space="1" w:color="009FE3"/>
                              </w:rPr>
                              <w:t>SHAREHOLDER ENGAGEMENT</w:t>
                            </w:r>
                          </w:p>
                          <w:p>
                            <w:pPr>
                              <w:pStyle w:val="TextBody"/>
                              <w:pBdr/>
                              <w:spacing w:before="0" w:after="195"/>
                              <w:ind w:left="0" w:right="0" w:hanging="0"/>
                              <w:jc w:val="center"/>
                              <w:rPr>
                                <w:rFonts w:ascii="Arial" w:hAnsi="Arial"/>
                                <w:b/>
                                <w:color w:val="000000"/>
                                <w:sz w:val="21"/>
                                <w:bdr w:val="single" w:sz="48" w:space="1" w:color="009FE3"/>
                              </w:rPr>
                            </w:pPr>
                            <w:r>
                              <w:rPr>
                                <w:rFonts w:ascii="Arial" w:hAnsi="Arial"/>
                                <w:b/>
                                <w:color w:val="000000"/>
                                <w:sz w:val="21"/>
                                <w:bdr w:val="single" w:sz="48" w:space="1" w:color="009FE3"/>
                              </w:rPr>
                              <w:t>(PAGES 3, 27-28, 58, AND 72-74)</w:t>
                            </w:r>
                          </w:p>
                          <w:p>
                            <w:pPr>
                              <w:pStyle w:val="TextBody"/>
                              <w:pBdr/>
                              <w:spacing w:before="0" w:after="45"/>
                              <w:ind w:left="0" w:right="0" w:hanging="0"/>
                              <w:jc w:val="center"/>
                              <w:rPr>
                                <w:rFonts w:ascii="Arial" w:hAnsi="Arial"/>
                                <w:b/>
                                <w:color w:val="245BA7"/>
                                <w:sz w:val="24"/>
                                <w:bdr w:val="single" w:sz="48" w:space="1" w:color="009FE3"/>
                              </w:rPr>
                            </w:pPr>
                            <w:r>
                              <w:rPr>
                                <w:rFonts w:ascii="Arial" w:hAnsi="Arial"/>
                                <w:b/>
                                <w:color w:val="245BA7"/>
                                <w:sz w:val="24"/>
                                <w:bdr w:val="single" w:sz="48" w:space="1" w:color="009FE3"/>
                              </w:rPr>
                              <w:t>EXECUTIVE COMPENSATION PROGRAM OVERVIEW</w:t>
                            </w:r>
                          </w:p>
                          <w:p>
                            <w:pPr>
                              <w:pStyle w:val="TextBody"/>
                              <w:pBdr/>
                              <w:spacing w:before="0" w:after="195"/>
                              <w:ind w:left="0" w:right="0" w:hanging="0"/>
                              <w:jc w:val="center"/>
                              <w:rPr>
                                <w:rFonts w:ascii="Arial" w:hAnsi="Arial"/>
                                <w:b/>
                                <w:color w:val="000000"/>
                                <w:sz w:val="21"/>
                                <w:bdr w:val="single" w:sz="48" w:space="1" w:color="009FE3"/>
                              </w:rPr>
                            </w:pPr>
                            <w:r>
                              <w:rPr>
                                <w:rFonts w:ascii="Arial" w:hAnsi="Arial"/>
                                <w:b/>
                                <w:color w:val="000000"/>
                                <w:sz w:val="21"/>
                                <w:bdr w:val="single" w:sz="48" w:space="1" w:color="009FE3"/>
                              </w:rPr>
                              <w:t>(PAGES 55-60)</w:t>
                            </w:r>
                          </w:p>
                          <w:tbl>
                            <w:tblPr>
                              <w:tblW w:w="5455" w:type="dxa"/>
                              <w:jc w:val="left"/>
                              <w:tblInd w:w="0" w:type="dxa"/>
                              <w:tblCellMar>
                                <w:top w:w="0" w:type="dxa"/>
                                <w:left w:w="0" w:type="dxa"/>
                                <w:bottom w:w="0" w:type="dxa"/>
                                <w:right w:w="0" w:type="dxa"/>
                              </w:tblCellMar>
                            </w:tblPr>
                            <w:tblGrid>
                              <w:gridCol w:w="5120"/>
                              <w:gridCol w:w="335"/>
                            </w:tblGrid>
                            <w:tr>
                              <w:trPr/>
                              <w:tc>
                                <w:tcPr>
                                  <w:tcW w:w="5120" w:type="dxa"/>
                                  <w:tcBorders/>
                                  <w:shd w:fill="auto" w:val="clear"/>
                                  <w:vAlign w:val="center"/>
                                </w:tcPr>
                                <w:p>
                                  <w:pPr>
                                    <w:pStyle w:val="TableContents"/>
                                    <w:pBdr/>
                                    <w:spacing w:before="0" w:after="60"/>
                                    <w:ind w:left="0" w:right="105" w:hanging="0"/>
                                    <w:rPr/>
                                  </w:pPr>
                                  <w:hyperlink w:anchor="new_id-75">
                                    <w:r>
                                      <w:rPr>
                                        <w:rStyle w:val="InternetLink"/>
                                        <w:rFonts w:ascii="Arial" w:hAnsi="Arial"/>
                                        <w:b/>
                                        <w:strike w:val="false"/>
                                        <w:dstrike w:val="false"/>
                                        <w:color w:val="000000"/>
                                        <w:sz w:val="21"/>
                                        <w:u w:val="none"/>
                                        <w:effect w:val="none"/>
                                      </w:rPr>
                                      <w:t>Certain Relationships and Related Transactions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75">
                                    <w:r>
                                      <w:rPr>
                                        <w:rStyle w:val="InternetLink"/>
                                        <w:rFonts w:ascii="Arial" w:hAnsi="Arial"/>
                                        <w:b/>
                                        <w:strike w:val="false"/>
                                        <w:dstrike w:val="false"/>
                                        <w:color w:val="000000"/>
                                        <w:sz w:val="21"/>
                                        <w:u w:val="none"/>
                                        <w:effect w:val="none"/>
                                      </w:rPr>
                                      <w:t>42</w:t>
                                    </w:r>
                                  </w:hyperlink>
                                  <w:r>
                                    <w:rPr>
                                      <w:rFonts w:ascii="Arial" w:hAnsi="Arial"/>
                                      <w:b/>
                                      <w:color w:val="000000"/>
                                      <w:sz w:val="21"/>
                                    </w:rPr>
                                    <w:t xml:space="preserve"> </w:t>
                                  </w:r>
                                </w:p>
                              </w:tc>
                            </w:tr>
                          </w:tbl>
                          <w:tbl>
                            <w:tblPr>
                              <w:tblW w:w="7210" w:type="dxa"/>
                              <w:jc w:val="left"/>
                              <w:tblInd w:w="0" w:type="dxa"/>
                              <w:tblCellMar>
                                <w:top w:w="0" w:type="dxa"/>
                                <w:left w:w="0" w:type="dxa"/>
                                <w:bottom w:w="0" w:type="dxa"/>
                                <w:right w:w="0" w:type="dxa"/>
                              </w:tblCellMar>
                            </w:tblPr>
                            <w:tblGrid>
                              <w:gridCol w:w="6875"/>
                              <w:gridCol w:w="335"/>
                            </w:tblGrid>
                            <w:tr>
                              <w:trPr/>
                              <w:tc>
                                <w:tcPr>
                                  <w:tcW w:w="6875" w:type="dxa"/>
                                  <w:tcBorders/>
                                  <w:shd w:fill="auto" w:val="clear"/>
                                  <w:vAlign w:val="center"/>
                                </w:tcPr>
                                <w:p>
                                  <w:pPr>
                                    <w:pStyle w:val="TableContents"/>
                                    <w:pBdr/>
                                    <w:spacing w:before="0" w:after="60"/>
                                    <w:ind w:left="300" w:right="105" w:hanging="0"/>
                                    <w:rPr/>
                                  </w:pPr>
                                  <w:hyperlink w:anchor="new_id-77">
                                    <w:r>
                                      <w:rPr>
                                        <w:rStyle w:val="InternetLink"/>
                                        <w:rFonts w:ascii="Arial" w:hAnsi="Arial"/>
                                        <w:strike w:val="false"/>
                                        <w:dstrike w:val="false"/>
                                        <w:color w:val="000000"/>
                                        <w:sz w:val="21"/>
                                        <w:u w:val="none"/>
                                        <w:effect w:val="none"/>
                                      </w:rPr>
                                      <w:t>Review, Approval, or Ratification of Transactions with Related Persons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77">
                                    <w:r>
                                      <w:rPr>
                                        <w:rStyle w:val="InternetLink"/>
                                        <w:rFonts w:ascii="Arial" w:hAnsi="Arial"/>
                                        <w:strike w:val="false"/>
                                        <w:dstrike w:val="false"/>
                                        <w:color w:val="000000"/>
                                        <w:sz w:val="21"/>
                                        <w:u w:val="none"/>
                                        <w:effect w:val="none"/>
                                      </w:rPr>
                                      <w:t>42</w:t>
                                    </w:r>
                                  </w:hyperlink>
                                  <w:r>
                                    <w:rPr>
                                      <w:rFonts w:ascii="Arial" w:hAnsi="Arial"/>
                                      <w:color w:val="000000"/>
                                      <w:sz w:val="21"/>
                                    </w:rPr>
                                    <w:t xml:space="preserve"> </w:t>
                                  </w:r>
                                </w:p>
                              </w:tc>
                            </w:tr>
                          </w:tbl>
                          <w:tbl>
                            <w:tblPr>
                              <w:tblW w:w="3835" w:type="dxa"/>
                              <w:jc w:val="left"/>
                              <w:tblInd w:w="0" w:type="dxa"/>
                              <w:tblCellMar>
                                <w:top w:w="0" w:type="dxa"/>
                                <w:left w:w="0" w:type="dxa"/>
                                <w:bottom w:w="0" w:type="dxa"/>
                                <w:right w:w="0" w:type="dxa"/>
                              </w:tblCellMar>
                            </w:tblPr>
                            <w:tblGrid>
                              <w:gridCol w:w="3500"/>
                              <w:gridCol w:w="335"/>
                            </w:tblGrid>
                            <w:tr>
                              <w:trPr/>
                              <w:tc>
                                <w:tcPr>
                                  <w:tcW w:w="3500" w:type="dxa"/>
                                  <w:tcBorders/>
                                  <w:shd w:fill="auto" w:val="clear"/>
                                  <w:vAlign w:val="center"/>
                                </w:tcPr>
                                <w:p>
                                  <w:pPr>
                                    <w:pStyle w:val="TableContents"/>
                                    <w:pBdr/>
                                    <w:spacing w:before="0" w:after="60"/>
                                    <w:ind w:left="300" w:right="105" w:hanging="0"/>
                                    <w:rPr/>
                                  </w:pPr>
                                  <w:hyperlink w:anchor="new_id-78">
                                    <w:r>
                                      <w:rPr>
                                        <w:rStyle w:val="InternetLink"/>
                                        <w:rFonts w:ascii="Arial" w:hAnsi="Arial"/>
                                        <w:strike w:val="false"/>
                                        <w:dstrike w:val="false"/>
                                        <w:color w:val="000000"/>
                                        <w:sz w:val="21"/>
                                        <w:u w:val="none"/>
                                        <w:effect w:val="none"/>
                                      </w:rPr>
                                      <w:t>Transactions with Related Persons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78">
                                    <w:r>
                                      <w:rPr>
                                        <w:rStyle w:val="InternetLink"/>
                                        <w:rFonts w:ascii="Arial" w:hAnsi="Arial"/>
                                        <w:strike w:val="false"/>
                                        <w:dstrike w:val="false"/>
                                        <w:color w:val="000000"/>
                                        <w:sz w:val="21"/>
                                        <w:u w:val="none"/>
                                        <w:effect w:val="none"/>
                                      </w:rPr>
                                      <w:t>42</w:t>
                                    </w:r>
                                  </w:hyperlink>
                                  <w:r>
                                    <w:rPr>
                                      <w:rFonts w:ascii="Arial" w:hAnsi="Arial"/>
                                      <w:color w:val="000000"/>
                                      <w:sz w:val="21"/>
                                    </w:rPr>
                                    <w:t xml:space="preserve"> </w:t>
                                  </w:r>
                                </w:p>
                              </w:tc>
                            </w:tr>
                          </w:tbl>
                          <w:tbl>
                            <w:tblPr>
                              <w:tblW w:w="1075" w:type="dxa"/>
                              <w:jc w:val="left"/>
                              <w:tblInd w:w="0" w:type="dxa"/>
                              <w:tblCellMar>
                                <w:top w:w="0" w:type="dxa"/>
                                <w:left w:w="0" w:type="dxa"/>
                                <w:bottom w:w="0" w:type="dxa"/>
                                <w:right w:w="0" w:type="dxa"/>
                              </w:tblCellMar>
                            </w:tblPr>
                            <w:tblGrid>
                              <w:gridCol w:w="740"/>
                              <w:gridCol w:w="335"/>
                            </w:tblGrid>
                            <w:tr>
                              <w:trPr/>
                              <w:tc>
                                <w:tcPr>
                                  <w:tcW w:w="740" w:type="dxa"/>
                                  <w:tcBorders/>
                                  <w:shd w:fill="auto" w:val="clear"/>
                                  <w:vAlign w:val="center"/>
                                </w:tcPr>
                                <w:p>
                                  <w:pPr>
                                    <w:pStyle w:val="TableContents"/>
                                    <w:pBdr/>
                                    <w:spacing w:before="0" w:after="60"/>
                                    <w:ind w:left="300" w:right="105" w:hanging="0"/>
                                    <w:rPr/>
                                  </w:pPr>
                                  <w:hyperlink w:anchor="new_id-80">
                                    <w:r>
                                      <w:rPr>
                                        <w:rStyle w:val="InternetLink"/>
                                        <w:rFonts w:ascii="Arial" w:hAnsi="Arial"/>
                                        <w:strike w:val="false"/>
                                        <w:dstrike w:val="false"/>
                                        <w:color w:val="000000"/>
                                        <w:sz w:val="21"/>
                                        <w:u w:val="none"/>
                                        <w:effect w:val="none"/>
                                      </w:rPr>
                                      <w:t>Other</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80">
                                    <w:r>
                                      <w:rPr>
                                        <w:rStyle w:val="InternetLink"/>
                                        <w:rFonts w:ascii="Arial" w:hAnsi="Arial"/>
                                        <w:strike w:val="false"/>
                                        <w:dstrike w:val="false"/>
                                        <w:color w:val="000000"/>
                                        <w:sz w:val="21"/>
                                        <w:u w:val="none"/>
                                        <w:effect w:val="none"/>
                                      </w:rPr>
                                      <w:t>43</w:t>
                                    </w:r>
                                  </w:hyperlink>
                                  <w:r>
                                    <w:rPr>
                                      <w:rFonts w:ascii="Arial" w:hAnsi="Arial"/>
                                      <w:color w:val="000000"/>
                                      <w:sz w:val="21"/>
                                    </w:rPr>
                                    <w:t xml:space="preserve"> </w:t>
                                  </w:r>
                                </w:p>
                              </w:tc>
                            </w:tr>
                          </w:tbl>
                          <w:tbl>
                            <w:tblPr>
                              <w:tblW w:w="1915" w:type="dxa"/>
                              <w:jc w:val="left"/>
                              <w:tblInd w:w="0" w:type="dxa"/>
                              <w:tblCellMar>
                                <w:top w:w="0" w:type="dxa"/>
                                <w:left w:w="0" w:type="dxa"/>
                                <w:bottom w:w="0" w:type="dxa"/>
                                <w:right w:w="0" w:type="dxa"/>
                              </w:tblCellMar>
                            </w:tblPr>
                            <w:tblGrid>
                              <w:gridCol w:w="1580"/>
                              <w:gridCol w:w="335"/>
                            </w:tblGrid>
                            <w:tr>
                              <w:trPr/>
                              <w:tc>
                                <w:tcPr>
                                  <w:tcW w:w="1580" w:type="dxa"/>
                                  <w:tcBorders/>
                                  <w:shd w:fill="auto" w:val="clear"/>
                                  <w:vAlign w:val="center"/>
                                </w:tcPr>
                                <w:p>
                                  <w:pPr>
                                    <w:pStyle w:val="TableContents"/>
                                    <w:pBdr/>
                                    <w:spacing w:before="0" w:after="60"/>
                                    <w:ind w:left="0" w:right="105" w:hanging="0"/>
                                    <w:rPr/>
                                  </w:pPr>
                                  <w:hyperlink w:anchor="new_id-82">
                                    <w:r>
                                      <w:rPr>
                                        <w:rStyle w:val="InternetLink"/>
                                        <w:rFonts w:ascii="Arial" w:hAnsi="Arial"/>
                                        <w:b/>
                                        <w:strike w:val="false"/>
                                        <w:dstrike w:val="false"/>
                                        <w:color w:val="000000"/>
                                        <w:sz w:val="21"/>
                                        <w:u w:val="none"/>
                                        <w:effect w:val="none"/>
                                      </w:rPr>
                                      <w:t>Audit Matters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82">
                                    <w:r>
                                      <w:rPr>
                                        <w:rStyle w:val="InternetLink"/>
                                        <w:rFonts w:ascii="Arial" w:hAnsi="Arial"/>
                                        <w:b/>
                                        <w:strike w:val="false"/>
                                        <w:dstrike w:val="false"/>
                                        <w:color w:val="000000"/>
                                        <w:sz w:val="21"/>
                                        <w:u w:val="none"/>
                                        <w:effect w:val="none"/>
                                      </w:rPr>
                                      <w:t>44</w:t>
                                    </w:r>
                                  </w:hyperlink>
                                  <w:r>
                                    <w:rPr>
                                      <w:rFonts w:ascii="Arial" w:hAnsi="Arial"/>
                                      <w:b/>
                                      <w:color w:val="000000"/>
                                      <w:sz w:val="21"/>
                                    </w:rPr>
                                    <w:t xml:space="preserve"> </w:t>
                                  </w:r>
                                </w:p>
                              </w:tc>
                            </w:tr>
                          </w:tbl>
                          <w:tbl>
                            <w:tblPr>
                              <w:tblW w:w="1660" w:type="dxa"/>
                              <w:jc w:val="left"/>
                              <w:tblInd w:w="0" w:type="dxa"/>
                              <w:tblCellMar>
                                <w:top w:w="0" w:type="dxa"/>
                                <w:left w:w="0" w:type="dxa"/>
                                <w:bottom w:w="0" w:type="dxa"/>
                                <w:right w:w="0" w:type="dxa"/>
                              </w:tblCellMar>
                            </w:tblPr>
                            <w:tblGrid>
                              <w:gridCol w:w="1325"/>
                              <w:gridCol w:w="335"/>
                            </w:tblGrid>
                            <w:tr>
                              <w:trPr/>
                              <w:tc>
                                <w:tcPr>
                                  <w:tcW w:w="1325" w:type="dxa"/>
                                  <w:tcBorders/>
                                  <w:shd w:fill="auto" w:val="clear"/>
                                  <w:vAlign w:val="center"/>
                                </w:tcPr>
                                <w:p>
                                  <w:pPr>
                                    <w:pStyle w:val="TableContents"/>
                                    <w:pBdr/>
                                    <w:spacing w:before="0" w:after="60"/>
                                    <w:ind w:left="300" w:right="105" w:hanging="0"/>
                                    <w:rPr/>
                                  </w:pPr>
                                  <w:hyperlink w:anchor="new_id-83">
                                    <w:r>
                                      <w:rPr>
                                        <w:rStyle w:val="InternetLink"/>
                                        <w:rFonts w:ascii="Arial" w:hAnsi="Arial"/>
                                        <w:strike w:val="false"/>
                                        <w:dstrike w:val="false"/>
                                        <w:color w:val="000000"/>
                                        <w:sz w:val="21"/>
                                        <w:u w:val="none"/>
                                        <w:effect w:val="none"/>
                                      </w:rPr>
                                      <w:t>Introduction</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83">
                                    <w:r>
                                      <w:rPr>
                                        <w:rStyle w:val="InternetLink"/>
                                        <w:rFonts w:ascii="Arial" w:hAnsi="Arial"/>
                                        <w:strike w:val="false"/>
                                        <w:dstrike w:val="false"/>
                                        <w:color w:val="000000"/>
                                        <w:sz w:val="21"/>
                                        <w:u w:val="none"/>
                                        <w:effect w:val="none"/>
                                      </w:rPr>
                                      <w:t>44</w:t>
                                    </w:r>
                                  </w:hyperlink>
                                  <w:r>
                                    <w:rPr>
                                      <w:rFonts w:ascii="Arial" w:hAnsi="Arial"/>
                                      <w:color w:val="000000"/>
                                      <w:sz w:val="21"/>
                                    </w:rPr>
                                    <w:t xml:space="preserve"> </w:t>
                                  </w:r>
                                </w:p>
                              </w:tc>
                            </w:tr>
                          </w:tbl>
                          <w:tbl>
                            <w:tblPr>
                              <w:tblW w:w="8065" w:type="dxa"/>
                              <w:jc w:val="left"/>
                              <w:tblInd w:w="0" w:type="dxa"/>
                              <w:tblCellMar>
                                <w:top w:w="0" w:type="dxa"/>
                                <w:left w:w="0" w:type="dxa"/>
                                <w:bottom w:w="0" w:type="dxa"/>
                                <w:right w:w="0" w:type="dxa"/>
                              </w:tblCellMar>
                            </w:tblPr>
                            <w:tblGrid>
                              <w:gridCol w:w="7730"/>
                              <w:gridCol w:w="335"/>
                            </w:tblGrid>
                            <w:tr>
                              <w:trPr/>
                              <w:tc>
                                <w:tcPr>
                                  <w:tcW w:w="7730" w:type="dxa"/>
                                  <w:tcBorders/>
                                  <w:shd w:fill="auto" w:val="clear"/>
                                  <w:vAlign w:val="center"/>
                                </w:tcPr>
                                <w:p>
                                  <w:pPr>
                                    <w:pStyle w:val="TableContents"/>
                                    <w:pBdr/>
                                    <w:spacing w:before="0" w:after="60"/>
                                    <w:ind w:left="300" w:right="105" w:hanging="0"/>
                                    <w:rPr/>
                                  </w:pPr>
                                  <w:hyperlink w:anchor="new_id-84">
                                    <w:r>
                                      <w:rPr>
                                        <w:rStyle w:val="InternetLink"/>
                                        <w:rFonts w:ascii="Arial" w:hAnsi="Arial"/>
                                        <w:strike w:val="false"/>
                                        <w:dstrike w:val="false"/>
                                        <w:color w:val="000000"/>
                                        <w:sz w:val="21"/>
                                        <w:u w:val="none"/>
                                        <w:effect w:val="none"/>
                                      </w:rPr>
                                      <w:t>Information about Fees Paid to Independent Registered Public Accounting Firm</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84">
                                    <w:r>
                                      <w:rPr>
                                        <w:rStyle w:val="InternetLink"/>
                                        <w:rFonts w:ascii="Arial" w:hAnsi="Arial"/>
                                        <w:strike w:val="false"/>
                                        <w:dstrike w:val="false"/>
                                        <w:color w:val="000000"/>
                                        <w:sz w:val="21"/>
                                        <w:u w:val="none"/>
                                        <w:effect w:val="none"/>
                                      </w:rPr>
                                      <w:t>44</w:t>
                                    </w:r>
                                  </w:hyperlink>
                                  <w:r>
                                    <w:rPr>
                                      <w:rFonts w:ascii="Arial" w:hAnsi="Arial"/>
                                      <w:color w:val="000000"/>
                                      <w:sz w:val="21"/>
                                    </w:rPr>
                                    <w:t xml:space="preserve"> </w:t>
                                  </w:r>
                                </w:p>
                              </w:tc>
                            </w:tr>
                          </w:tbl>
                          <w:tbl>
                            <w:tblPr>
                              <w:tblW w:w="2815" w:type="dxa"/>
                              <w:jc w:val="left"/>
                              <w:tblInd w:w="0" w:type="dxa"/>
                              <w:tblCellMar>
                                <w:top w:w="0" w:type="dxa"/>
                                <w:left w:w="0" w:type="dxa"/>
                                <w:bottom w:w="0" w:type="dxa"/>
                                <w:right w:w="0" w:type="dxa"/>
                              </w:tblCellMar>
                            </w:tblPr>
                            <w:tblGrid>
                              <w:gridCol w:w="2480"/>
                              <w:gridCol w:w="335"/>
                            </w:tblGrid>
                            <w:tr>
                              <w:trPr/>
                              <w:tc>
                                <w:tcPr>
                                  <w:tcW w:w="2480" w:type="dxa"/>
                                  <w:tcBorders/>
                                  <w:shd w:fill="auto" w:val="clear"/>
                                  <w:vAlign w:val="center"/>
                                </w:tcPr>
                                <w:p>
                                  <w:pPr>
                                    <w:pStyle w:val="TableContents"/>
                                    <w:pBdr/>
                                    <w:spacing w:before="0" w:after="60"/>
                                    <w:ind w:left="300" w:right="105" w:hanging="0"/>
                                    <w:rPr/>
                                  </w:pPr>
                                  <w:hyperlink w:anchor="new_id-85">
                                    <w:r>
                                      <w:rPr>
                                        <w:rStyle w:val="InternetLink"/>
                                        <w:rFonts w:ascii="Arial" w:hAnsi="Arial"/>
                                        <w:strike w:val="false"/>
                                        <w:dstrike w:val="false"/>
                                        <w:color w:val="000000"/>
                                        <w:sz w:val="21"/>
                                        <w:u w:val="none"/>
                                        <w:effect w:val="none"/>
                                      </w:rPr>
                                      <w:t>Audit Committee Report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85">
                                    <w:r>
                                      <w:rPr>
                                        <w:rStyle w:val="InternetLink"/>
                                        <w:rFonts w:ascii="Arial" w:hAnsi="Arial"/>
                                        <w:strike w:val="false"/>
                                        <w:dstrike w:val="false"/>
                                        <w:color w:val="000000"/>
                                        <w:sz w:val="21"/>
                                        <w:u w:val="none"/>
                                        <w:effect w:val="none"/>
                                      </w:rPr>
                                      <w:t>45</w:t>
                                    </w:r>
                                  </w:hyperlink>
                                  <w:r>
                                    <w:rPr>
                                      <w:rFonts w:ascii="Arial" w:hAnsi="Arial"/>
                                      <w:color w:val="000000"/>
                                      <w:sz w:val="21"/>
                                    </w:rPr>
                                    <w:t xml:space="preserve"> </w:t>
                                  </w:r>
                                </w:p>
                              </w:tc>
                            </w:tr>
                          </w:tbl>
                          <w:tbl>
                            <w:tblPr>
                              <w:tblW w:w="10205" w:type="dxa"/>
                              <w:jc w:val="left"/>
                              <w:tblInd w:w="0" w:type="dxa"/>
                              <w:tblCellMar>
                                <w:top w:w="0" w:type="dxa"/>
                                <w:left w:w="0" w:type="dxa"/>
                                <w:bottom w:w="0" w:type="dxa"/>
                                <w:right w:w="0" w:type="dxa"/>
                              </w:tblCellMar>
                            </w:tblPr>
                            <w:tblGrid>
                              <w:gridCol w:w="9815"/>
                              <w:gridCol w:w="390"/>
                            </w:tblGrid>
                            <w:tr>
                              <w:trPr/>
                              <w:tc>
                                <w:tcPr>
                                  <w:tcW w:w="981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r>
                            <w:tr>
                              <w:trPr/>
                              <w:tc>
                                <w:tcPr>
                                  <w:tcW w:w="9815" w:type="dxa"/>
                                  <w:tcBorders>
                                    <w:bottom w:val="single" w:sz="12" w:space="0" w:color="245BA7"/>
                                  </w:tcBorders>
                                  <w:shd w:fill="auto" w:val="clear"/>
                                  <w:tcMar>
                                    <w:bottom w:w="45" w:type="dxa"/>
                                  </w:tcMar>
                                  <w:vAlign w:val="center"/>
                                </w:tcPr>
                                <w:p>
                                  <w:pPr>
                                    <w:pStyle w:val="TableContents"/>
                                    <w:pBdr/>
                                    <w:spacing w:before="0" w:after="0"/>
                                    <w:ind w:left="0" w:right="210" w:hanging="0"/>
                                    <w:rPr/>
                                  </w:pPr>
                                  <w:hyperlink w:anchor="new_id-87">
                                    <w:r>
                                      <w:rPr>
                                        <w:rStyle w:val="InternetLink"/>
                                        <w:rFonts w:ascii="Arial" w:hAnsi="Arial"/>
                                        <w:b/>
                                        <w:strike w:val="false"/>
                                        <w:dstrike w:val="false"/>
                                        <w:color w:val="000000"/>
                                        <w:sz w:val="18"/>
                                        <w:u w:val="none"/>
                                        <w:effect w:val="none"/>
                                      </w:rPr>
                                      <w:t>PROPOSAL NO. 2</w:t>
                                    </w:r>
                                  </w:hyperlink>
                                  <w:hyperlink w:anchor="new_id-87">
                                    <w:r>
                                      <w:rPr>
                                        <w:rStyle w:val="InternetLink"/>
                                        <w:rFonts w:ascii="Arial" w:hAnsi="Arial"/>
                                        <w:b/>
                                        <w:strike w:val="false"/>
                                        <w:dstrike w:val="false"/>
                                        <w:color w:val="D31B5D"/>
                                        <w:sz w:val="27"/>
                                        <w:u w:val="none"/>
                                        <w:effect w:val="none"/>
                                      </w:rPr>
                                      <w:br/>
                                      <w:t>RATIFICATION OF APPOINTMENT OF INDEPENDENT REGISTERED PUBLIC ACCOUNTING FIRM</w:t>
                                    </w:r>
                                  </w:hyperlink>
                                </w:p>
                              </w:tc>
                              <w:tc>
                                <w:tcPr>
                                  <w:tcW w:w="390" w:type="dxa"/>
                                  <w:tcBorders>
                                    <w:bottom w:val="single" w:sz="12" w:space="0" w:color="245BA7"/>
                                  </w:tcBorders>
                                  <w:shd w:fill="auto" w:val="clear"/>
                                  <w:tcMar>
                                    <w:bottom w:w="45" w:type="dxa"/>
                                  </w:tcMar>
                                  <w:vAlign w:val="center"/>
                                </w:tcPr>
                                <w:p>
                                  <w:pPr>
                                    <w:pStyle w:val="TableContents"/>
                                    <w:pBdr/>
                                    <w:spacing w:before="0" w:after="0"/>
                                    <w:ind w:left="0" w:right="0" w:hanging="0"/>
                                    <w:jc w:val="right"/>
                                    <w:rPr/>
                                  </w:pPr>
                                  <w:hyperlink w:anchor="new_id-87">
                                    <w:r>
                                      <w:rPr>
                                        <w:rStyle w:val="InternetLink"/>
                                        <w:rFonts w:ascii="Arial" w:hAnsi="Arial"/>
                                        <w:b/>
                                        <w:strike w:val="false"/>
                                        <w:dstrike w:val="false"/>
                                        <w:color w:val="D31B5D"/>
                                        <w:sz w:val="27"/>
                                        <w:u w:val="none"/>
                                        <w:effect w:val="none"/>
                                      </w:rPr>
                                      <w:t>46</w:t>
                                    </w:r>
                                  </w:hyperlink>
                                  <w:r>
                                    <w:rPr>
                                      <w:rFonts w:ascii="Arial" w:hAnsi="Arial"/>
                                      <w:b/>
                                      <w:color w:val="D31B5D"/>
                                      <w:sz w:val="27"/>
                                    </w:rPr>
                                    <w:t xml:space="preserve"> </w:t>
                                  </w:r>
                                </w:p>
                              </w:tc>
                            </w:tr>
                          </w:tbl>
                          <w:tbl>
                            <w:tblPr>
                              <w:tblW w:w="1900" w:type="dxa"/>
                              <w:jc w:val="left"/>
                              <w:tblInd w:w="0" w:type="dxa"/>
                              <w:tblCellMar>
                                <w:top w:w="0" w:type="dxa"/>
                                <w:left w:w="0" w:type="dxa"/>
                                <w:bottom w:w="0" w:type="dxa"/>
                                <w:right w:w="0" w:type="dxa"/>
                              </w:tblCellMar>
                            </w:tblPr>
                            <w:tblGrid>
                              <w:gridCol w:w="1565"/>
                              <w:gridCol w:w="335"/>
                            </w:tblGrid>
                            <w:tr>
                              <w:trPr/>
                              <w:tc>
                                <w:tcPr>
                                  <w:tcW w:w="1565" w:type="dxa"/>
                                  <w:tcBorders/>
                                  <w:shd w:fill="auto" w:val="clear"/>
                                  <w:vAlign w:val="center"/>
                                </w:tcPr>
                                <w:p>
                                  <w:pPr>
                                    <w:pStyle w:val="TableContents"/>
                                    <w:pBdr/>
                                    <w:spacing w:before="0" w:after="60"/>
                                    <w:ind w:left="0" w:right="105" w:hanging="0"/>
                                    <w:rPr/>
                                  </w:pPr>
                                  <w:hyperlink w:anchor="new_id-88">
                                    <w:r>
                                      <w:rPr>
                                        <w:rStyle w:val="InternetLink"/>
                                        <w:rFonts w:ascii="Arial" w:hAnsi="Arial"/>
                                        <w:b/>
                                        <w:strike w:val="false"/>
                                        <w:dstrike w:val="false"/>
                                        <w:color w:val="245BA7"/>
                                        <w:sz w:val="21"/>
                                        <w:u w:val="none"/>
                                        <w:effect w:val="none"/>
                                      </w:rPr>
                                      <w:t>Shareholders</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88">
                                    <w:r>
                                      <w:rPr>
                                        <w:rStyle w:val="InternetLink"/>
                                        <w:rFonts w:ascii="Arial" w:hAnsi="Arial"/>
                                        <w:b/>
                                        <w:strike w:val="false"/>
                                        <w:dstrike w:val="false"/>
                                        <w:color w:val="245BA7"/>
                                        <w:sz w:val="21"/>
                                        <w:u w:val="none"/>
                                        <w:effect w:val="none"/>
                                      </w:rPr>
                                      <w:t>47</w:t>
                                    </w:r>
                                  </w:hyperlink>
                                  <w:r>
                                    <w:rPr>
                                      <w:rFonts w:ascii="Arial" w:hAnsi="Arial"/>
                                      <w:b/>
                                      <w:color w:val="245BA7"/>
                                      <w:sz w:val="21"/>
                                    </w:rPr>
                                    <w:t xml:space="preserve"> </w:t>
                                  </w:r>
                                </w:p>
                              </w:tc>
                            </w:tr>
                          </w:tbl>
                          <w:tbl>
                            <w:tblPr>
                              <w:tblW w:w="6880" w:type="dxa"/>
                              <w:jc w:val="left"/>
                              <w:tblInd w:w="0" w:type="dxa"/>
                              <w:tblCellMar>
                                <w:top w:w="0" w:type="dxa"/>
                                <w:left w:w="0" w:type="dxa"/>
                                <w:bottom w:w="0" w:type="dxa"/>
                                <w:right w:w="0" w:type="dxa"/>
                              </w:tblCellMar>
                            </w:tblPr>
                            <w:tblGrid>
                              <w:gridCol w:w="6545"/>
                              <w:gridCol w:w="335"/>
                            </w:tblGrid>
                            <w:tr>
                              <w:trPr/>
                              <w:tc>
                                <w:tcPr>
                                  <w:tcW w:w="6545" w:type="dxa"/>
                                  <w:tcBorders/>
                                  <w:shd w:fill="auto" w:val="clear"/>
                                  <w:vAlign w:val="center"/>
                                </w:tcPr>
                                <w:p>
                                  <w:pPr>
                                    <w:pStyle w:val="TableContents"/>
                                    <w:pBdr/>
                                    <w:spacing w:before="0" w:after="60"/>
                                    <w:ind w:left="300" w:right="105" w:hanging="0"/>
                                    <w:rPr/>
                                  </w:pPr>
                                  <w:hyperlink w:anchor="new_id-89">
                                    <w:r>
                                      <w:rPr>
                                        <w:rStyle w:val="InternetLink"/>
                                        <w:rFonts w:ascii="Arial" w:hAnsi="Arial"/>
                                        <w:strike w:val="false"/>
                                        <w:dstrike w:val="false"/>
                                        <w:color w:val="000000"/>
                                        <w:sz w:val="21"/>
                                        <w:u w:val="none"/>
                                        <w:effect w:val="none"/>
                                      </w:rPr>
                                      <w:t>Security Ownership of Certain Beneficial Owners and Management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89">
                                    <w:r>
                                      <w:rPr>
                                        <w:rStyle w:val="InternetLink"/>
                                        <w:rFonts w:ascii="Arial" w:hAnsi="Arial"/>
                                        <w:strike w:val="false"/>
                                        <w:dstrike w:val="false"/>
                                        <w:color w:val="000000"/>
                                        <w:sz w:val="21"/>
                                        <w:u w:val="none"/>
                                        <w:effect w:val="none"/>
                                      </w:rPr>
                                      <w:t>47</w:t>
                                    </w:r>
                                  </w:hyperlink>
                                  <w:r>
                                    <w:rPr>
                                      <w:rFonts w:ascii="Arial" w:hAnsi="Arial"/>
                                      <w:color w:val="000000"/>
                                      <w:sz w:val="21"/>
                                    </w:rPr>
                                    <w:t xml:space="preserve"> </w:t>
                                  </w:r>
                                </w:p>
                              </w:tc>
                            </w:tr>
                          </w:tbl>
                          <w:tbl>
                            <w:tblPr>
                              <w:tblW w:w="3355" w:type="dxa"/>
                              <w:jc w:val="left"/>
                              <w:tblInd w:w="0" w:type="dxa"/>
                              <w:tblCellMar>
                                <w:top w:w="0" w:type="dxa"/>
                                <w:left w:w="0" w:type="dxa"/>
                                <w:bottom w:w="0" w:type="dxa"/>
                                <w:right w:w="0" w:type="dxa"/>
                              </w:tblCellMar>
                            </w:tblPr>
                            <w:tblGrid>
                              <w:gridCol w:w="3020"/>
                              <w:gridCol w:w="335"/>
                            </w:tblGrid>
                            <w:tr>
                              <w:trPr/>
                              <w:tc>
                                <w:tcPr>
                                  <w:tcW w:w="3020" w:type="dxa"/>
                                  <w:tcBorders/>
                                  <w:shd w:fill="auto" w:val="clear"/>
                                  <w:vAlign w:val="center"/>
                                </w:tcPr>
                                <w:p>
                                  <w:pPr>
                                    <w:pStyle w:val="TableContents"/>
                                    <w:pBdr/>
                                    <w:spacing w:before="0" w:after="60"/>
                                    <w:ind w:left="300" w:right="105" w:hanging="0"/>
                                    <w:rPr/>
                                  </w:pPr>
                                  <w:hyperlink w:anchor="new_id-90">
                                    <w:r>
                                      <w:rPr>
                                        <w:rStyle w:val="InternetLink"/>
                                        <w:rFonts w:ascii="Arial" w:hAnsi="Arial"/>
                                        <w:strike w:val="false"/>
                                        <w:dstrike w:val="false"/>
                                        <w:color w:val="000000"/>
                                        <w:sz w:val="21"/>
                                        <w:u w:val="none"/>
                                        <w:effect w:val="none"/>
                                      </w:rPr>
                                      <w:t>Shareholder Communications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0">
                                    <w:r>
                                      <w:rPr>
                                        <w:rStyle w:val="InternetLink"/>
                                        <w:rFonts w:ascii="Arial" w:hAnsi="Arial"/>
                                        <w:strike w:val="false"/>
                                        <w:dstrike w:val="false"/>
                                        <w:color w:val="000000"/>
                                        <w:sz w:val="21"/>
                                        <w:u w:val="none"/>
                                        <w:effect w:val="none"/>
                                      </w:rPr>
                                      <w:t>50</w:t>
                                    </w:r>
                                  </w:hyperlink>
                                  <w:r>
                                    <w:rPr>
                                      <w:rFonts w:ascii="Arial" w:hAnsi="Arial"/>
                                      <w:color w:val="000000"/>
                                      <w:sz w:val="21"/>
                                    </w:rPr>
                                    <w:t xml:space="preserve"> </w:t>
                                  </w:r>
                                </w:p>
                              </w:tc>
                            </w:tr>
                          </w:tbl>
                          <w:tbl>
                            <w:tblPr>
                              <w:tblW w:w="3715" w:type="dxa"/>
                              <w:jc w:val="left"/>
                              <w:tblInd w:w="0" w:type="dxa"/>
                              <w:tblCellMar>
                                <w:top w:w="0" w:type="dxa"/>
                                <w:left w:w="0" w:type="dxa"/>
                                <w:bottom w:w="0" w:type="dxa"/>
                                <w:right w:w="0" w:type="dxa"/>
                              </w:tblCellMar>
                            </w:tblPr>
                            <w:tblGrid>
                              <w:gridCol w:w="3380"/>
                              <w:gridCol w:w="335"/>
                            </w:tblGrid>
                            <w:tr>
                              <w:trPr/>
                              <w:tc>
                                <w:tcPr>
                                  <w:tcW w:w="3380" w:type="dxa"/>
                                  <w:tcBorders/>
                                  <w:shd w:fill="auto" w:val="clear"/>
                                  <w:vAlign w:val="center"/>
                                </w:tcPr>
                                <w:p>
                                  <w:pPr>
                                    <w:pStyle w:val="TableContents"/>
                                    <w:pBdr/>
                                    <w:spacing w:before="0" w:after="60"/>
                                    <w:ind w:left="0" w:right="105" w:hanging="0"/>
                                    <w:rPr/>
                                  </w:pPr>
                                  <w:hyperlink w:anchor="new_id-91">
                                    <w:r>
                                      <w:rPr>
                                        <w:rStyle w:val="InternetLink"/>
                                        <w:rFonts w:ascii="Arial" w:hAnsi="Arial"/>
                                        <w:b/>
                                        <w:strike w:val="false"/>
                                        <w:dstrike w:val="false"/>
                                        <w:color w:val="245BA7"/>
                                        <w:sz w:val="21"/>
                                        <w:u w:val="none"/>
                                        <w:effect w:val="none"/>
                                      </w:rPr>
                                      <w:t>Compensation-Related Matters</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1">
                                    <w:r>
                                      <w:rPr>
                                        <w:rStyle w:val="InternetLink"/>
                                        <w:rFonts w:ascii="Arial" w:hAnsi="Arial"/>
                                        <w:b/>
                                        <w:strike w:val="false"/>
                                        <w:dstrike w:val="false"/>
                                        <w:color w:val="245BA7"/>
                                        <w:sz w:val="21"/>
                                        <w:u w:val="none"/>
                                        <w:effect w:val="none"/>
                                      </w:rPr>
                                      <w:t>51</w:t>
                                    </w:r>
                                  </w:hyperlink>
                                  <w:r>
                                    <w:rPr>
                                      <w:rFonts w:ascii="Arial" w:hAnsi="Arial"/>
                                      <w:b/>
                                      <w:color w:val="245BA7"/>
                                      <w:sz w:val="21"/>
                                    </w:rPr>
                                    <w:t xml:space="preserve"> </w:t>
                                  </w:r>
                                </w:p>
                              </w:tc>
                            </w:tr>
                          </w:tbl>
                          <w:tbl>
                            <w:tblPr>
                              <w:tblW w:w="2275" w:type="dxa"/>
                              <w:jc w:val="left"/>
                              <w:tblInd w:w="0" w:type="dxa"/>
                              <w:tblCellMar>
                                <w:top w:w="0" w:type="dxa"/>
                                <w:left w:w="0" w:type="dxa"/>
                                <w:bottom w:w="0" w:type="dxa"/>
                                <w:right w:w="0" w:type="dxa"/>
                              </w:tblCellMar>
                            </w:tblPr>
                            <w:tblGrid>
                              <w:gridCol w:w="1940"/>
                              <w:gridCol w:w="335"/>
                            </w:tblGrid>
                            <w:tr>
                              <w:trPr/>
                              <w:tc>
                                <w:tcPr>
                                  <w:tcW w:w="1940" w:type="dxa"/>
                                  <w:tcBorders/>
                                  <w:shd w:fill="auto" w:val="clear"/>
                                  <w:vAlign w:val="center"/>
                                </w:tcPr>
                                <w:p>
                                  <w:pPr>
                                    <w:pStyle w:val="TableContents"/>
                                    <w:pBdr/>
                                    <w:spacing w:before="0" w:after="60"/>
                                    <w:ind w:left="0" w:right="0" w:hanging="0"/>
                                    <w:rPr/>
                                  </w:pPr>
                                  <w:hyperlink w:anchor="new_id-92">
                                    <w:r>
                                      <w:rPr>
                                        <w:rStyle w:val="InternetLink"/>
                                        <w:rFonts w:ascii="Arial" w:hAnsi="Arial"/>
                                        <w:b/>
                                        <w:strike w:val="false"/>
                                        <w:dstrike w:val="false"/>
                                        <w:color w:val="000000"/>
                                        <w:sz w:val="21"/>
                                        <w:u w:val="none"/>
                                        <w:effect w:val="none"/>
                                      </w:rPr>
                                      <w:t>Table of Contents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2">
                                    <w:r>
                                      <w:rPr>
                                        <w:rStyle w:val="InternetLink"/>
                                        <w:rFonts w:ascii="Arial" w:hAnsi="Arial"/>
                                        <w:b/>
                                        <w:strike w:val="false"/>
                                        <w:dstrike w:val="false"/>
                                        <w:color w:val="000000"/>
                                        <w:sz w:val="21"/>
                                        <w:u w:val="none"/>
                                        <w:effect w:val="none"/>
                                      </w:rPr>
                                      <w:t>51</w:t>
                                    </w:r>
                                  </w:hyperlink>
                                  <w:r>
                                    <w:rPr>
                                      <w:rFonts w:ascii="Arial" w:hAnsi="Arial"/>
                                      <w:b/>
                                      <w:color w:val="000000"/>
                                      <w:sz w:val="21"/>
                                    </w:rPr>
                                    <w:t xml:space="preserve"> </w:t>
                                  </w:r>
                                </w:p>
                              </w:tc>
                            </w:tr>
                          </w:tbl>
                          <w:tbl>
                            <w:tblPr>
                              <w:tblW w:w="1810" w:type="dxa"/>
                              <w:jc w:val="left"/>
                              <w:tblInd w:w="0" w:type="dxa"/>
                              <w:tblCellMar>
                                <w:top w:w="0" w:type="dxa"/>
                                <w:left w:w="0" w:type="dxa"/>
                                <w:bottom w:w="0" w:type="dxa"/>
                                <w:right w:w="0" w:type="dxa"/>
                              </w:tblCellMar>
                            </w:tblPr>
                            <w:tblGrid>
                              <w:gridCol w:w="1475"/>
                              <w:gridCol w:w="335"/>
                            </w:tblGrid>
                            <w:tr>
                              <w:trPr/>
                              <w:tc>
                                <w:tcPr>
                                  <w:tcW w:w="1475" w:type="dxa"/>
                                  <w:tcBorders/>
                                  <w:shd w:fill="auto" w:val="clear"/>
                                  <w:vAlign w:val="center"/>
                                </w:tcPr>
                                <w:p>
                                  <w:pPr>
                                    <w:pStyle w:val="TableContents"/>
                                    <w:pBdr/>
                                    <w:spacing w:before="0" w:after="60"/>
                                    <w:ind w:left="0" w:right="105" w:hanging="0"/>
                                    <w:rPr/>
                                  </w:pPr>
                                  <w:hyperlink w:anchor="new_id-93">
                                    <w:r>
                                      <w:rPr>
                                        <w:rStyle w:val="InternetLink"/>
                                        <w:rFonts w:ascii="Arial" w:hAnsi="Arial"/>
                                        <w:b/>
                                        <w:strike w:val="false"/>
                                        <w:dstrike w:val="false"/>
                                        <w:color w:val="000000"/>
                                        <w:sz w:val="21"/>
                                        <w:u w:val="none"/>
                                        <w:effect w:val="none"/>
                                      </w:rPr>
                                      <w:t>Introduction</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3">
                                    <w:r>
                                      <w:rPr>
                                        <w:rStyle w:val="InternetLink"/>
                                        <w:rFonts w:ascii="Arial" w:hAnsi="Arial"/>
                                        <w:b/>
                                        <w:strike w:val="false"/>
                                        <w:dstrike w:val="false"/>
                                        <w:color w:val="000000"/>
                                        <w:sz w:val="21"/>
                                        <w:u w:val="none"/>
                                        <w:effect w:val="none"/>
                                      </w:rPr>
                                      <w:t>52</w:t>
                                    </w:r>
                                  </w:hyperlink>
                                  <w:r>
                                    <w:rPr>
                                      <w:rFonts w:ascii="Arial" w:hAnsi="Arial"/>
                                      <w:b/>
                                      <w:color w:val="000000"/>
                                      <w:sz w:val="21"/>
                                    </w:rPr>
                                    <w:t xml:space="preserve"> </w:t>
                                  </w:r>
                                </w:p>
                              </w:tc>
                            </w:tr>
                          </w:tbl>
                          <w:tbl>
                            <w:tblPr>
                              <w:tblW w:w="4645" w:type="dxa"/>
                              <w:jc w:val="left"/>
                              <w:tblInd w:w="0" w:type="dxa"/>
                              <w:tblCellMar>
                                <w:top w:w="0" w:type="dxa"/>
                                <w:left w:w="0" w:type="dxa"/>
                                <w:bottom w:w="0" w:type="dxa"/>
                                <w:right w:w="0" w:type="dxa"/>
                              </w:tblCellMar>
                            </w:tblPr>
                            <w:tblGrid>
                              <w:gridCol w:w="4310"/>
                              <w:gridCol w:w="335"/>
                            </w:tblGrid>
                            <w:tr>
                              <w:trPr/>
                              <w:tc>
                                <w:tcPr>
                                  <w:tcW w:w="4310" w:type="dxa"/>
                                  <w:tcBorders/>
                                  <w:shd w:fill="auto" w:val="clear"/>
                                  <w:vAlign w:val="center"/>
                                </w:tcPr>
                                <w:p>
                                  <w:pPr>
                                    <w:pStyle w:val="TableContents"/>
                                    <w:pBdr/>
                                    <w:spacing w:before="0" w:after="60"/>
                                    <w:ind w:left="0" w:right="105" w:hanging="0"/>
                                    <w:rPr/>
                                  </w:pPr>
                                  <w:hyperlink w:anchor="new_id-94">
                                    <w:r>
                                      <w:rPr>
                                        <w:rStyle w:val="InternetLink"/>
                                        <w:rFonts w:ascii="Arial" w:hAnsi="Arial"/>
                                        <w:b/>
                                        <w:strike w:val="false"/>
                                        <w:dstrike w:val="false"/>
                                        <w:color w:val="000000"/>
                                        <w:sz w:val="21"/>
                                        <w:u w:val="none"/>
                                        <w:effect w:val="none"/>
                                      </w:rPr>
                                      <w:t>Compensation Discussion and Analysis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4">
                                    <w:r>
                                      <w:rPr>
                                        <w:rStyle w:val="InternetLink"/>
                                        <w:rFonts w:ascii="Arial" w:hAnsi="Arial"/>
                                        <w:b/>
                                        <w:strike w:val="false"/>
                                        <w:dstrike w:val="false"/>
                                        <w:color w:val="000000"/>
                                        <w:sz w:val="21"/>
                                        <w:u w:val="none"/>
                                        <w:effect w:val="none"/>
                                      </w:rPr>
                                      <w:t>53</w:t>
                                    </w:r>
                                  </w:hyperlink>
                                  <w:r>
                                    <w:rPr>
                                      <w:rFonts w:ascii="Arial" w:hAnsi="Arial"/>
                                      <w:b/>
                                      <w:color w:val="000000"/>
                                      <w:sz w:val="21"/>
                                    </w:rPr>
                                    <w:t xml:space="preserve"> </w:t>
                                  </w:r>
                                </w:p>
                              </w:tc>
                            </w:tr>
                          </w:tbl>
                          <w:tbl>
                            <w:tblPr>
                              <w:tblW w:w="2545" w:type="dxa"/>
                              <w:jc w:val="left"/>
                              <w:tblInd w:w="0" w:type="dxa"/>
                              <w:tblCellMar>
                                <w:top w:w="0" w:type="dxa"/>
                                <w:left w:w="0" w:type="dxa"/>
                                <w:bottom w:w="0" w:type="dxa"/>
                                <w:right w:w="0" w:type="dxa"/>
                              </w:tblCellMar>
                            </w:tblPr>
                            <w:tblGrid>
                              <w:gridCol w:w="2210"/>
                              <w:gridCol w:w="335"/>
                            </w:tblGrid>
                            <w:tr>
                              <w:trPr/>
                              <w:tc>
                                <w:tcPr>
                                  <w:tcW w:w="2210" w:type="dxa"/>
                                  <w:tcBorders/>
                                  <w:shd w:fill="auto" w:val="clear"/>
                                  <w:vAlign w:val="center"/>
                                </w:tcPr>
                                <w:p>
                                  <w:pPr>
                                    <w:pStyle w:val="TableContents"/>
                                    <w:pBdr/>
                                    <w:spacing w:before="0" w:after="60"/>
                                    <w:ind w:left="0" w:right="105" w:hanging="0"/>
                                    <w:rPr/>
                                  </w:pPr>
                                  <w:hyperlink w:anchor="new_id-95">
                                    <w:r>
                                      <w:rPr>
                                        <w:rStyle w:val="InternetLink"/>
                                        <w:rFonts w:ascii="Arial" w:hAnsi="Arial"/>
                                        <w:b/>
                                        <w:strike w:val="false"/>
                                        <w:dstrike w:val="false"/>
                                        <w:color w:val="245BA7"/>
                                        <w:sz w:val="21"/>
                                        <w:u w:val="none"/>
                                        <w:effect w:val="none"/>
                                      </w:rPr>
                                      <w:t>Executive Summary</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5">
                                    <w:r>
                                      <w:rPr>
                                        <w:rStyle w:val="InternetLink"/>
                                        <w:rFonts w:ascii="Arial" w:hAnsi="Arial"/>
                                        <w:b/>
                                        <w:strike w:val="false"/>
                                        <w:dstrike w:val="false"/>
                                        <w:color w:val="245BA7"/>
                                        <w:sz w:val="21"/>
                                        <w:u w:val="none"/>
                                        <w:effect w:val="none"/>
                                      </w:rPr>
                                      <w:t>54</w:t>
                                    </w:r>
                                  </w:hyperlink>
                                  <w:r>
                                    <w:rPr>
                                      <w:rFonts w:ascii="Arial" w:hAnsi="Arial"/>
                                      <w:b/>
                                      <w:color w:val="245BA7"/>
                                      <w:sz w:val="21"/>
                                    </w:rPr>
                                    <w:t xml:space="preserve"> </w:t>
                                  </w:r>
                                </w:p>
                              </w:tc>
                            </w:tr>
                          </w:tbl>
                          <w:tbl>
                            <w:tblPr>
                              <w:tblW w:w="3955" w:type="dxa"/>
                              <w:jc w:val="left"/>
                              <w:tblInd w:w="0" w:type="dxa"/>
                              <w:tblCellMar>
                                <w:top w:w="0" w:type="dxa"/>
                                <w:left w:w="0" w:type="dxa"/>
                                <w:bottom w:w="0" w:type="dxa"/>
                                <w:right w:w="0" w:type="dxa"/>
                              </w:tblCellMar>
                            </w:tblPr>
                            <w:tblGrid>
                              <w:gridCol w:w="3620"/>
                              <w:gridCol w:w="335"/>
                            </w:tblGrid>
                            <w:tr>
                              <w:trPr/>
                              <w:tc>
                                <w:tcPr>
                                  <w:tcW w:w="3620" w:type="dxa"/>
                                  <w:tcBorders/>
                                  <w:shd w:fill="auto" w:val="clear"/>
                                  <w:vAlign w:val="center"/>
                                </w:tcPr>
                                <w:p>
                                  <w:pPr>
                                    <w:pStyle w:val="TableContents"/>
                                    <w:pBdr/>
                                    <w:spacing w:before="0" w:after="60"/>
                                    <w:ind w:left="0" w:right="105" w:hanging="0"/>
                                    <w:rPr/>
                                  </w:pPr>
                                  <w:hyperlink w:anchor="new_id-96">
                                    <w:r>
                                      <w:rPr>
                                        <w:rStyle w:val="InternetLink"/>
                                        <w:rFonts w:ascii="Arial" w:hAnsi="Arial"/>
                                        <w:b/>
                                        <w:strike w:val="false"/>
                                        <w:dstrike w:val="false"/>
                                        <w:color w:val="245BA7"/>
                                        <w:sz w:val="21"/>
                                        <w:u w:val="none"/>
                                        <w:effect w:val="none"/>
                                      </w:rPr>
                                      <w:t>Compensation Program Overview</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6">
                                    <w:r>
                                      <w:rPr>
                                        <w:rStyle w:val="InternetLink"/>
                                        <w:rFonts w:ascii="Arial" w:hAnsi="Arial"/>
                                        <w:b/>
                                        <w:strike w:val="false"/>
                                        <w:dstrike w:val="false"/>
                                        <w:color w:val="245BA7"/>
                                        <w:sz w:val="21"/>
                                        <w:u w:val="none"/>
                                        <w:effect w:val="none"/>
                                      </w:rPr>
                                      <w:t>55</w:t>
                                    </w:r>
                                  </w:hyperlink>
                                  <w:r>
                                    <w:rPr>
                                      <w:rFonts w:ascii="Arial" w:hAnsi="Arial"/>
                                      <w:b/>
                                      <w:color w:val="245BA7"/>
                                      <w:sz w:val="21"/>
                                    </w:rPr>
                                    <w:t xml:space="preserve"> </w:t>
                                  </w:r>
                                </w:p>
                              </w:tc>
                            </w:tr>
                          </w:tbl>
                          <w:tbl>
                            <w:tblPr>
                              <w:tblW w:w="4600" w:type="dxa"/>
                              <w:jc w:val="left"/>
                              <w:tblInd w:w="0" w:type="dxa"/>
                              <w:tblCellMar>
                                <w:top w:w="0" w:type="dxa"/>
                                <w:left w:w="0" w:type="dxa"/>
                                <w:bottom w:w="0" w:type="dxa"/>
                                <w:right w:w="0" w:type="dxa"/>
                              </w:tblCellMar>
                            </w:tblPr>
                            <w:tblGrid>
                              <w:gridCol w:w="4265"/>
                              <w:gridCol w:w="335"/>
                            </w:tblGrid>
                            <w:tr>
                              <w:trPr/>
                              <w:tc>
                                <w:tcPr>
                                  <w:tcW w:w="4265" w:type="dxa"/>
                                  <w:tcBorders/>
                                  <w:shd w:fill="auto" w:val="clear"/>
                                  <w:vAlign w:val="center"/>
                                </w:tcPr>
                                <w:p>
                                  <w:pPr>
                                    <w:pStyle w:val="TableContents"/>
                                    <w:pBdr/>
                                    <w:spacing w:before="0" w:after="60"/>
                                    <w:ind w:left="300" w:right="105" w:hanging="0"/>
                                    <w:rPr/>
                                  </w:pPr>
                                  <w:hyperlink w:anchor="new_id-97">
                                    <w:r>
                                      <w:rPr>
                                        <w:rStyle w:val="InternetLink"/>
                                        <w:rFonts w:ascii="Arial" w:hAnsi="Arial"/>
                                        <w:strike w:val="false"/>
                                        <w:dstrike w:val="false"/>
                                        <w:color w:val="000000"/>
                                        <w:sz w:val="21"/>
                                        <w:u w:val="none"/>
                                        <w:effect w:val="none"/>
                                      </w:rPr>
                                      <w:t>Our Corporate Culture and Pay Philosophy</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7">
                                    <w:r>
                                      <w:rPr>
                                        <w:rStyle w:val="InternetLink"/>
                                        <w:rFonts w:ascii="Arial" w:hAnsi="Arial"/>
                                        <w:strike w:val="false"/>
                                        <w:dstrike w:val="false"/>
                                        <w:color w:val="000000"/>
                                        <w:sz w:val="21"/>
                                        <w:u w:val="none"/>
                                        <w:effect w:val="none"/>
                                      </w:rPr>
                                      <w:t>55</w:t>
                                    </w:r>
                                  </w:hyperlink>
                                  <w:r>
                                    <w:rPr>
                                      <w:rFonts w:ascii="Arial" w:hAnsi="Arial"/>
                                      <w:color w:val="000000"/>
                                      <w:sz w:val="21"/>
                                    </w:rPr>
                                    <w:t xml:space="preserve"> </w:t>
                                  </w:r>
                                </w:p>
                              </w:tc>
                            </w:tr>
                          </w:tbl>
                          <w:tbl>
                            <w:tblPr>
                              <w:tblW w:w="2920" w:type="dxa"/>
                              <w:jc w:val="left"/>
                              <w:tblInd w:w="0" w:type="dxa"/>
                              <w:tblCellMar>
                                <w:top w:w="0" w:type="dxa"/>
                                <w:left w:w="0" w:type="dxa"/>
                                <w:bottom w:w="0" w:type="dxa"/>
                                <w:right w:w="0" w:type="dxa"/>
                              </w:tblCellMar>
                            </w:tblPr>
                            <w:tblGrid>
                              <w:gridCol w:w="2585"/>
                              <w:gridCol w:w="335"/>
                            </w:tblGrid>
                            <w:tr>
                              <w:trPr/>
                              <w:tc>
                                <w:tcPr>
                                  <w:tcW w:w="2585" w:type="dxa"/>
                                  <w:tcBorders/>
                                  <w:shd w:fill="auto" w:val="clear"/>
                                  <w:vAlign w:val="center"/>
                                </w:tcPr>
                                <w:p>
                                  <w:pPr>
                                    <w:pStyle w:val="TableContents"/>
                                    <w:pBdr/>
                                    <w:spacing w:before="0" w:after="60"/>
                                    <w:ind w:left="300" w:right="105" w:hanging="0"/>
                                    <w:rPr/>
                                  </w:pPr>
                                  <w:hyperlink w:anchor="new_id-98">
                                    <w:r>
                                      <w:rPr>
                                        <w:rStyle w:val="InternetLink"/>
                                        <w:rFonts w:ascii="Arial" w:hAnsi="Arial"/>
                                        <w:strike w:val="false"/>
                                        <w:dstrike w:val="false"/>
                                        <w:color w:val="000000"/>
                                        <w:sz w:val="21"/>
                                        <w:u w:val="none"/>
                                        <w:effect w:val="none"/>
                                      </w:rPr>
                                      <w:t>2022 Business Highlights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8">
                                    <w:r>
                                      <w:rPr>
                                        <w:rStyle w:val="InternetLink"/>
                                        <w:rFonts w:ascii="Arial" w:hAnsi="Arial"/>
                                        <w:strike w:val="false"/>
                                        <w:dstrike w:val="false"/>
                                        <w:color w:val="000000"/>
                                        <w:sz w:val="21"/>
                                        <w:u w:val="none"/>
                                        <w:effect w:val="none"/>
                                      </w:rPr>
                                      <w:t>56</w:t>
                                    </w:r>
                                  </w:hyperlink>
                                  <w:r>
                                    <w:rPr>
                                      <w:rFonts w:ascii="Arial" w:hAnsi="Arial"/>
                                      <w:color w:val="000000"/>
                                      <w:sz w:val="21"/>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pBdr/>
                        <w:spacing w:before="60" w:after="195"/>
                        <w:ind w:left="0" w:right="0" w:hanging="0"/>
                        <w:jc w:val="center"/>
                        <w:rPr>
                          <w:rFonts w:ascii="Arial" w:hAnsi="Arial"/>
                          <w:b/>
                          <w:color w:val="D31B5D"/>
                          <w:sz w:val="24"/>
                          <w:bdr w:val="single" w:sz="48" w:space="1" w:color="009FE3"/>
                        </w:rPr>
                      </w:pPr>
                      <w:bookmarkStart w:id="9" w:name="new_id-4"/>
                      <w:bookmarkEnd w:id="9"/>
                      <w:r>
                        <w:rPr>
                          <w:rFonts w:ascii="Arial" w:hAnsi="Arial"/>
                          <w:b/>
                          <w:color w:val="D31B5D"/>
                          <w:sz w:val="24"/>
                          <w:bdr w:val="single" w:sz="48" w:space="1" w:color="009FE3"/>
                        </w:rPr>
                        <w:t>KEY PROXY INFORMATION</w:t>
                      </w:r>
                    </w:p>
                    <w:p>
                      <w:pPr>
                        <w:pStyle w:val="TextBody"/>
                        <w:pBdr/>
                        <w:spacing w:before="0" w:after="45"/>
                        <w:ind w:left="0" w:right="0" w:hanging="0"/>
                        <w:jc w:val="center"/>
                        <w:rPr>
                          <w:rFonts w:ascii="Arial" w:hAnsi="Arial"/>
                          <w:b/>
                          <w:color w:val="245BA7"/>
                          <w:sz w:val="24"/>
                          <w:bdr w:val="single" w:sz="48" w:space="1" w:color="009FE3"/>
                        </w:rPr>
                      </w:pPr>
                      <w:r>
                        <w:rPr>
                          <w:rFonts w:ascii="Arial" w:hAnsi="Arial"/>
                          <w:b/>
                          <w:color w:val="245BA7"/>
                          <w:sz w:val="24"/>
                          <w:bdr w:val="single" w:sz="48" w:space="1" w:color="009FE3"/>
                        </w:rPr>
                        <w:t>PROXY HIGHLIGHTS</w:t>
                      </w:r>
                    </w:p>
                    <w:p>
                      <w:pPr>
                        <w:pStyle w:val="TextBody"/>
                        <w:pBdr/>
                        <w:spacing w:before="0" w:after="195"/>
                        <w:ind w:left="0" w:right="0" w:hanging="0"/>
                        <w:jc w:val="center"/>
                        <w:rPr>
                          <w:rFonts w:ascii="Arial" w:hAnsi="Arial"/>
                          <w:b/>
                          <w:color w:val="000000"/>
                          <w:sz w:val="21"/>
                          <w:bdr w:val="single" w:sz="48" w:space="1" w:color="009FE3"/>
                        </w:rPr>
                      </w:pPr>
                      <w:r>
                        <w:rPr>
                          <w:rFonts w:ascii="Arial" w:hAnsi="Arial"/>
                          <w:b/>
                          <w:color w:val="000000"/>
                          <w:sz w:val="21"/>
                          <w:bdr w:val="single" w:sz="48" w:space="1" w:color="009FE3"/>
                        </w:rPr>
                        <w:t>(PAGES 2-3)</w:t>
                      </w:r>
                    </w:p>
                    <w:p>
                      <w:pPr>
                        <w:pStyle w:val="TextBody"/>
                        <w:pBdr/>
                        <w:spacing w:before="0" w:after="45"/>
                        <w:ind w:left="0" w:right="0" w:hanging="0"/>
                        <w:jc w:val="center"/>
                        <w:rPr>
                          <w:rFonts w:ascii="Arial" w:hAnsi="Arial"/>
                          <w:b/>
                          <w:color w:val="245BA7"/>
                          <w:sz w:val="24"/>
                          <w:bdr w:val="single" w:sz="48" w:space="1" w:color="009FE3"/>
                        </w:rPr>
                      </w:pPr>
                      <w:r>
                        <w:rPr>
                          <w:rFonts w:ascii="Arial" w:hAnsi="Arial"/>
                          <w:b/>
                          <w:color w:val="245BA7"/>
                          <w:sz w:val="24"/>
                          <w:bdr w:val="single" w:sz="48" w:space="1" w:color="009FE3"/>
                        </w:rPr>
                        <w:t>BOARD DIVERSITY</w:t>
                      </w:r>
                    </w:p>
                    <w:p>
                      <w:pPr>
                        <w:pStyle w:val="TextBody"/>
                        <w:pBdr/>
                        <w:spacing w:before="0" w:after="195"/>
                        <w:ind w:left="0" w:right="0" w:hanging="0"/>
                        <w:jc w:val="center"/>
                        <w:rPr>
                          <w:rFonts w:ascii="Arial" w:hAnsi="Arial"/>
                          <w:b/>
                          <w:color w:val="000000"/>
                          <w:sz w:val="21"/>
                          <w:bdr w:val="single" w:sz="48" w:space="1" w:color="009FE3"/>
                        </w:rPr>
                      </w:pPr>
                      <w:r>
                        <w:rPr>
                          <w:rFonts w:ascii="Arial" w:hAnsi="Arial"/>
                          <w:b/>
                          <w:color w:val="000000"/>
                          <w:sz w:val="21"/>
                          <w:bdr w:val="single" w:sz="48" w:space="1" w:color="009FE3"/>
                        </w:rPr>
                        <w:t>(PAGES 5-6)</w:t>
                      </w:r>
                    </w:p>
                    <w:p>
                      <w:pPr>
                        <w:pStyle w:val="TextBody"/>
                        <w:pBdr/>
                        <w:spacing w:before="0" w:after="45"/>
                        <w:ind w:left="0" w:right="0" w:hanging="0"/>
                        <w:jc w:val="center"/>
                        <w:rPr>
                          <w:rFonts w:ascii="Arial" w:hAnsi="Arial"/>
                          <w:b/>
                          <w:color w:val="245BA7"/>
                          <w:sz w:val="24"/>
                          <w:bdr w:val="single" w:sz="48" w:space="1" w:color="009FE3"/>
                        </w:rPr>
                      </w:pPr>
                      <w:r>
                        <w:rPr>
                          <w:rFonts w:ascii="Arial" w:hAnsi="Arial"/>
                          <w:b/>
                          <w:color w:val="245BA7"/>
                          <w:sz w:val="24"/>
                          <w:bdr w:val="single" w:sz="48" w:space="1" w:color="009FE3"/>
                        </w:rPr>
                        <w:t>RISK OVERSIGHT</w:t>
                      </w:r>
                    </w:p>
                    <w:p>
                      <w:pPr>
                        <w:pStyle w:val="TextBody"/>
                        <w:pBdr/>
                        <w:spacing w:before="0" w:after="195"/>
                        <w:ind w:left="0" w:right="0" w:hanging="0"/>
                        <w:jc w:val="center"/>
                        <w:rPr>
                          <w:rFonts w:ascii="Arial" w:hAnsi="Arial"/>
                          <w:b/>
                          <w:color w:val="000000"/>
                          <w:sz w:val="21"/>
                          <w:bdr w:val="single" w:sz="48" w:space="1" w:color="009FE3"/>
                        </w:rPr>
                      </w:pPr>
                      <w:r>
                        <w:rPr>
                          <w:rFonts w:ascii="Arial" w:hAnsi="Arial"/>
                          <w:b/>
                          <w:color w:val="000000"/>
                          <w:sz w:val="21"/>
                          <w:bdr w:val="single" w:sz="48" w:space="1" w:color="009FE3"/>
                        </w:rPr>
                        <w:t>(PAGE 26)</w:t>
                      </w:r>
                    </w:p>
                    <w:p>
                      <w:pPr>
                        <w:pStyle w:val="TextBody"/>
                        <w:pBdr/>
                        <w:spacing w:before="0" w:after="45"/>
                        <w:ind w:left="0" w:right="0" w:hanging="0"/>
                        <w:jc w:val="center"/>
                        <w:rPr>
                          <w:rFonts w:ascii="Arial" w:hAnsi="Arial"/>
                          <w:b/>
                          <w:color w:val="245BA7"/>
                          <w:sz w:val="24"/>
                          <w:bdr w:val="single" w:sz="48" w:space="1" w:color="009FE3"/>
                        </w:rPr>
                      </w:pPr>
                      <w:r>
                        <w:rPr>
                          <w:rFonts w:ascii="Arial" w:hAnsi="Arial"/>
                          <w:b/>
                          <w:color w:val="245BA7"/>
                          <w:sz w:val="24"/>
                          <w:bdr w:val="single" w:sz="48" w:space="1" w:color="009FE3"/>
                        </w:rPr>
                        <w:t>CORPORATE RESPONSIBILITY</w:t>
                      </w:r>
                    </w:p>
                    <w:p>
                      <w:pPr>
                        <w:pStyle w:val="TextBody"/>
                        <w:pBdr/>
                        <w:spacing w:before="0" w:after="195"/>
                        <w:ind w:left="0" w:right="0" w:hanging="0"/>
                        <w:jc w:val="center"/>
                        <w:rPr>
                          <w:rFonts w:ascii="Arial" w:hAnsi="Arial"/>
                          <w:b/>
                          <w:color w:val="000000"/>
                          <w:sz w:val="21"/>
                          <w:bdr w:val="single" w:sz="48" w:space="1" w:color="009FE3"/>
                        </w:rPr>
                      </w:pPr>
                      <w:r>
                        <w:rPr>
                          <w:rFonts w:ascii="Arial" w:hAnsi="Arial"/>
                          <w:b/>
                          <w:color w:val="000000"/>
                          <w:sz w:val="21"/>
                          <w:bdr w:val="single" w:sz="48" w:space="1" w:color="009FE3"/>
                        </w:rPr>
                        <w:t>(PAGES 38-41)</w:t>
                      </w:r>
                    </w:p>
                    <w:p>
                      <w:pPr>
                        <w:pStyle w:val="TextBody"/>
                        <w:pBdr/>
                        <w:spacing w:before="0" w:after="45"/>
                        <w:ind w:left="0" w:right="0" w:hanging="0"/>
                        <w:jc w:val="center"/>
                        <w:rPr>
                          <w:rFonts w:ascii="Arial" w:hAnsi="Arial"/>
                          <w:b/>
                          <w:color w:val="245BA7"/>
                          <w:sz w:val="24"/>
                          <w:bdr w:val="single" w:sz="48" w:space="1" w:color="009FE3"/>
                        </w:rPr>
                      </w:pPr>
                      <w:r>
                        <w:rPr>
                          <w:rFonts w:ascii="Arial" w:hAnsi="Arial"/>
                          <w:b/>
                          <w:color w:val="245BA7"/>
                          <w:sz w:val="24"/>
                          <w:bdr w:val="single" w:sz="48" w:space="1" w:color="009FE3"/>
                        </w:rPr>
                        <w:t>SHAREHOLDER ENGAGEMENT</w:t>
                      </w:r>
                    </w:p>
                    <w:p>
                      <w:pPr>
                        <w:pStyle w:val="TextBody"/>
                        <w:pBdr/>
                        <w:spacing w:before="0" w:after="195"/>
                        <w:ind w:left="0" w:right="0" w:hanging="0"/>
                        <w:jc w:val="center"/>
                        <w:rPr>
                          <w:rFonts w:ascii="Arial" w:hAnsi="Arial"/>
                          <w:b/>
                          <w:color w:val="000000"/>
                          <w:sz w:val="21"/>
                          <w:bdr w:val="single" w:sz="48" w:space="1" w:color="009FE3"/>
                        </w:rPr>
                      </w:pPr>
                      <w:r>
                        <w:rPr>
                          <w:rFonts w:ascii="Arial" w:hAnsi="Arial"/>
                          <w:b/>
                          <w:color w:val="000000"/>
                          <w:sz w:val="21"/>
                          <w:bdr w:val="single" w:sz="48" w:space="1" w:color="009FE3"/>
                        </w:rPr>
                        <w:t>(PAGES 3, 27-28, 58, AND 72-74)</w:t>
                      </w:r>
                    </w:p>
                    <w:p>
                      <w:pPr>
                        <w:pStyle w:val="TextBody"/>
                        <w:pBdr/>
                        <w:spacing w:before="0" w:after="45"/>
                        <w:ind w:left="0" w:right="0" w:hanging="0"/>
                        <w:jc w:val="center"/>
                        <w:rPr>
                          <w:rFonts w:ascii="Arial" w:hAnsi="Arial"/>
                          <w:b/>
                          <w:color w:val="245BA7"/>
                          <w:sz w:val="24"/>
                          <w:bdr w:val="single" w:sz="48" w:space="1" w:color="009FE3"/>
                        </w:rPr>
                      </w:pPr>
                      <w:r>
                        <w:rPr>
                          <w:rFonts w:ascii="Arial" w:hAnsi="Arial"/>
                          <w:b/>
                          <w:color w:val="245BA7"/>
                          <w:sz w:val="24"/>
                          <w:bdr w:val="single" w:sz="48" w:space="1" w:color="009FE3"/>
                        </w:rPr>
                        <w:t>EXECUTIVE COMPENSATION PROGRAM OVERVIEW</w:t>
                      </w:r>
                    </w:p>
                    <w:p>
                      <w:pPr>
                        <w:pStyle w:val="TextBody"/>
                        <w:pBdr/>
                        <w:spacing w:before="0" w:after="195"/>
                        <w:ind w:left="0" w:right="0" w:hanging="0"/>
                        <w:jc w:val="center"/>
                        <w:rPr>
                          <w:rFonts w:ascii="Arial" w:hAnsi="Arial"/>
                          <w:b/>
                          <w:color w:val="000000"/>
                          <w:sz w:val="21"/>
                          <w:bdr w:val="single" w:sz="48" w:space="1" w:color="009FE3"/>
                        </w:rPr>
                      </w:pPr>
                      <w:r>
                        <w:rPr>
                          <w:rFonts w:ascii="Arial" w:hAnsi="Arial"/>
                          <w:b/>
                          <w:color w:val="000000"/>
                          <w:sz w:val="21"/>
                          <w:bdr w:val="single" w:sz="48" w:space="1" w:color="009FE3"/>
                        </w:rPr>
                        <w:t>(PAGES 55-60)</w:t>
                      </w:r>
                    </w:p>
                    <w:tbl>
                      <w:tblPr>
                        <w:tblW w:w="5455" w:type="dxa"/>
                        <w:jc w:val="left"/>
                        <w:tblInd w:w="0" w:type="dxa"/>
                        <w:tblCellMar>
                          <w:top w:w="0" w:type="dxa"/>
                          <w:left w:w="0" w:type="dxa"/>
                          <w:bottom w:w="0" w:type="dxa"/>
                          <w:right w:w="0" w:type="dxa"/>
                        </w:tblCellMar>
                      </w:tblPr>
                      <w:tblGrid>
                        <w:gridCol w:w="5120"/>
                        <w:gridCol w:w="335"/>
                      </w:tblGrid>
                      <w:tr>
                        <w:trPr/>
                        <w:tc>
                          <w:tcPr>
                            <w:tcW w:w="5120" w:type="dxa"/>
                            <w:tcBorders/>
                            <w:shd w:fill="auto" w:val="clear"/>
                            <w:vAlign w:val="center"/>
                          </w:tcPr>
                          <w:p>
                            <w:pPr>
                              <w:pStyle w:val="TableContents"/>
                              <w:pBdr/>
                              <w:spacing w:before="0" w:after="60"/>
                              <w:ind w:left="0" w:right="105" w:hanging="0"/>
                              <w:rPr/>
                            </w:pPr>
                            <w:hyperlink w:anchor="new_id-75">
                              <w:r>
                                <w:rPr>
                                  <w:rStyle w:val="InternetLink"/>
                                  <w:rFonts w:ascii="Arial" w:hAnsi="Arial"/>
                                  <w:b/>
                                  <w:strike w:val="false"/>
                                  <w:dstrike w:val="false"/>
                                  <w:color w:val="000000"/>
                                  <w:sz w:val="21"/>
                                  <w:u w:val="none"/>
                                  <w:effect w:val="none"/>
                                </w:rPr>
                                <w:t>Certain Relationships and Related Transactions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75">
                              <w:r>
                                <w:rPr>
                                  <w:rStyle w:val="InternetLink"/>
                                  <w:rFonts w:ascii="Arial" w:hAnsi="Arial"/>
                                  <w:b/>
                                  <w:strike w:val="false"/>
                                  <w:dstrike w:val="false"/>
                                  <w:color w:val="000000"/>
                                  <w:sz w:val="21"/>
                                  <w:u w:val="none"/>
                                  <w:effect w:val="none"/>
                                </w:rPr>
                                <w:t>42</w:t>
                              </w:r>
                            </w:hyperlink>
                            <w:r>
                              <w:rPr>
                                <w:rFonts w:ascii="Arial" w:hAnsi="Arial"/>
                                <w:b/>
                                <w:color w:val="000000"/>
                                <w:sz w:val="21"/>
                              </w:rPr>
                              <w:t xml:space="preserve"> </w:t>
                            </w:r>
                          </w:p>
                        </w:tc>
                      </w:tr>
                    </w:tbl>
                    <w:tbl>
                      <w:tblPr>
                        <w:tblW w:w="7210" w:type="dxa"/>
                        <w:jc w:val="left"/>
                        <w:tblInd w:w="0" w:type="dxa"/>
                        <w:tblCellMar>
                          <w:top w:w="0" w:type="dxa"/>
                          <w:left w:w="0" w:type="dxa"/>
                          <w:bottom w:w="0" w:type="dxa"/>
                          <w:right w:w="0" w:type="dxa"/>
                        </w:tblCellMar>
                      </w:tblPr>
                      <w:tblGrid>
                        <w:gridCol w:w="6875"/>
                        <w:gridCol w:w="335"/>
                      </w:tblGrid>
                      <w:tr>
                        <w:trPr/>
                        <w:tc>
                          <w:tcPr>
                            <w:tcW w:w="6875" w:type="dxa"/>
                            <w:tcBorders/>
                            <w:shd w:fill="auto" w:val="clear"/>
                            <w:vAlign w:val="center"/>
                          </w:tcPr>
                          <w:p>
                            <w:pPr>
                              <w:pStyle w:val="TableContents"/>
                              <w:pBdr/>
                              <w:spacing w:before="0" w:after="60"/>
                              <w:ind w:left="300" w:right="105" w:hanging="0"/>
                              <w:rPr/>
                            </w:pPr>
                            <w:hyperlink w:anchor="new_id-77">
                              <w:r>
                                <w:rPr>
                                  <w:rStyle w:val="InternetLink"/>
                                  <w:rFonts w:ascii="Arial" w:hAnsi="Arial"/>
                                  <w:strike w:val="false"/>
                                  <w:dstrike w:val="false"/>
                                  <w:color w:val="000000"/>
                                  <w:sz w:val="21"/>
                                  <w:u w:val="none"/>
                                  <w:effect w:val="none"/>
                                </w:rPr>
                                <w:t>Review, Approval, or Ratification of Transactions with Related Persons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77">
                              <w:r>
                                <w:rPr>
                                  <w:rStyle w:val="InternetLink"/>
                                  <w:rFonts w:ascii="Arial" w:hAnsi="Arial"/>
                                  <w:strike w:val="false"/>
                                  <w:dstrike w:val="false"/>
                                  <w:color w:val="000000"/>
                                  <w:sz w:val="21"/>
                                  <w:u w:val="none"/>
                                  <w:effect w:val="none"/>
                                </w:rPr>
                                <w:t>42</w:t>
                              </w:r>
                            </w:hyperlink>
                            <w:r>
                              <w:rPr>
                                <w:rFonts w:ascii="Arial" w:hAnsi="Arial"/>
                                <w:color w:val="000000"/>
                                <w:sz w:val="21"/>
                              </w:rPr>
                              <w:t xml:space="preserve"> </w:t>
                            </w:r>
                          </w:p>
                        </w:tc>
                      </w:tr>
                    </w:tbl>
                    <w:tbl>
                      <w:tblPr>
                        <w:tblW w:w="3835" w:type="dxa"/>
                        <w:jc w:val="left"/>
                        <w:tblInd w:w="0" w:type="dxa"/>
                        <w:tblCellMar>
                          <w:top w:w="0" w:type="dxa"/>
                          <w:left w:w="0" w:type="dxa"/>
                          <w:bottom w:w="0" w:type="dxa"/>
                          <w:right w:w="0" w:type="dxa"/>
                        </w:tblCellMar>
                      </w:tblPr>
                      <w:tblGrid>
                        <w:gridCol w:w="3500"/>
                        <w:gridCol w:w="335"/>
                      </w:tblGrid>
                      <w:tr>
                        <w:trPr/>
                        <w:tc>
                          <w:tcPr>
                            <w:tcW w:w="3500" w:type="dxa"/>
                            <w:tcBorders/>
                            <w:shd w:fill="auto" w:val="clear"/>
                            <w:vAlign w:val="center"/>
                          </w:tcPr>
                          <w:p>
                            <w:pPr>
                              <w:pStyle w:val="TableContents"/>
                              <w:pBdr/>
                              <w:spacing w:before="0" w:after="60"/>
                              <w:ind w:left="300" w:right="105" w:hanging="0"/>
                              <w:rPr/>
                            </w:pPr>
                            <w:hyperlink w:anchor="new_id-78">
                              <w:r>
                                <w:rPr>
                                  <w:rStyle w:val="InternetLink"/>
                                  <w:rFonts w:ascii="Arial" w:hAnsi="Arial"/>
                                  <w:strike w:val="false"/>
                                  <w:dstrike w:val="false"/>
                                  <w:color w:val="000000"/>
                                  <w:sz w:val="21"/>
                                  <w:u w:val="none"/>
                                  <w:effect w:val="none"/>
                                </w:rPr>
                                <w:t>Transactions with Related Persons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78">
                              <w:r>
                                <w:rPr>
                                  <w:rStyle w:val="InternetLink"/>
                                  <w:rFonts w:ascii="Arial" w:hAnsi="Arial"/>
                                  <w:strike w:val="false"/>
                                  <w:dstrike w:val="false"/>
                                  <w:color w:val="000000"/>
                                  <w:sz w:val="21"/>
                                  <w:u w:val="none"/>
                                  <w:effect w:val="none"/>
                                </w:rPr>
                                <w:t>42</w:t>
                              </w:r>
                            </w:hyperlink>
                            <w:r>
                              <w:rPr>
                                <w:rFonts w:ascii="Arial" w:hAnsi="Arial"/>
                                <w:color w:val="000000"/>
                                <w:sz w:val="21"/>
                              </w:rPr>
                              <w:t xml:space="preserve"> </w:t>
                            </w:r>
                          </w:p>
                        </w:tc>
                      </w:tr>
                    </w:tbl>
                    <w:tbl>
                      <w:tblPr>
                        <w:tblW w:w="1075" w:type="dxa"/>
                        <w:jc w:val="left"/>
                        <w:tblInd w:w="0" w:type="dxa"/>
                        <w:tblCellMar>
                          <w:top w:w="0" w:type="dxa"/>
                          <w:left w:w="0" w:type="dxa"/>
                          <w:bottom w:w="0" w:type="dxa"/>
                          <w:right w:w="0" w:type="dxa"/>
                        </w:tblCellMar>
                      </w:tblPr>
                      <w:tblGrid>
                        <w:gridCol w:w="740"/>
                        <w:gridCol w:w="335"/>
                      </w:tblGrid>
                      <w:tr>
                        <w:trPr/>
                        <w:tc>
                          <w:tcPr>
                            <w:tcW w:w="740" w:type="dxa"/>
                            <w:tcBorders/>
                            <w:shd w:fill="auto" w:val="clear"/>
                            <w:vAlign w:val="center"/>
                          </w:tcPr>
                          <w:p>
                            <w:pPr>
                              <w:pStyle w:val="TableContents"/>
                              <w:pBdr/>
                              <w:spacing w:before="0" w:after="60"/>
                              <w:ind w:left="300" w:right="105" w:hanging="0"/>
                              <w:rPr/>
                            </w:pPr>
                            <w:hyperlink w:anchor="new_id-80">
                              <w:r>
                                <w:rPr>
                                  <w:rStyle w:val="InternetLink"/>
                                  <w:rFonts w:ascii="Arial" w:hAnsi="Arial"/>
                                  <w:strike w:val="false"/>
                                  <w:dstrike w:val="false"/>
                                  <w:color w:val="000000"/>
                                  <w:sz w:val="21"/>
                                  <w:u w:val="none"/>
                                  <w:effect w:val="none"/>
                                </w:rPr>
                                <w:t>Other</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80">
                              <w:r>
                                <w:rPr>
                                  <w:rStyle w:val="InternetLink"/>
                                  <w:rFonts w:ascii="Arial" w:hAnsi="Arial"/>
                                  <w:strike w:val="false"/>
                                  <w:dstrike w:val="false"/>
                                  <w:color w:val="000000"/>
                                  <w:sz w:val="21"/>
                                  <w:u w:val="none"/>
                                  <w:effect w:val="none"/>
                                </w:rPr>
                                <w:t>43</w:t>
                              </w:r>
                            </w:hyperlink>
                            <w:r>
                              <w:rPr>
                                <w:rFonts w:ascii="Arial" w:hAnsi="Arial"/>
                                <w:color w:val="000000"/>
                                <w:sz w:val="21"/>
                              </w:rPr>
                              <w:t xml:space="preserve"> </w:t>
                            </w:r>
                          </w:p>
                        </w:tc>
                      </w:tr>
                    </w:tbl>
                    <w:tbl>
                      <w:tblPr>
                        <w:tblW w:w="1915" w:type="dxa"/>
                        <w:jc w:val="left"/>
                        <w:tblInd w:w="0" w:type="dxa"/>
                        <w:tblCellMar>
                          <w:top w:w="0" w:type="dxa"/>
                          <w:left w:w="0" w:type="dxa"/>
                          <w:bottom w:w="0" w:type="dxa"/>
                          <w:right w:w="0" w:type="dxa"/>
                        </w:tblCellMar>
                      </w:tblPr>
                      <w:tblGrid>
                        <w:gridCol w:w="1580"/>
                        <w:gridCol w:w="335"/>
                      </w:tblGrid>
                      <w:tr>
                        <w:trPr/>
                        <w:tc>
                          <w:tcPr>
                            <w:tcW w:w="1580" w:type="dxa"/>
                            <w:tcBorders/>
                            <w:shd w:fill="auto" w:val="clear"/>
                            <w:vAlign w:val="center"/>
                          </w:tcPr>
                          <w:p>
                            <w:pPr>
                              <w:pStyle w:val="TableContents"/>
                              <w:pBdr/>
                              <w:spacing w:before="0" w:after="60"/>
                              <w:ind w:left="0" w:right="105" w:hanging="0"/>
                              <w:rPr/>
                            </w:pPr>
                            <w:hyperlink w:anchor="new_id-82">
                              <w:r>
                                <w:rPr>
                                  <w:rStyle w:val="InternetLink"/>
                                  <w:rFonts w:ascii="Arial" w:hAnsi="Arial"/>
                                  <w:b/>
                                  <w:strike w:val="false"/>
                                  <w:dstrike w:val="false"/>
                                  <w:color w:val="000000"/>
                                  <w:sz w:val="21"/>
                                  <w:u w:val="none"/>
                                  <w:effect w:val="none"/>
                                </w:rPr>
                                <w:t>Audit Matters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82">
                              <w:r>
                                <w:rPr>
                                  <w:rStyle w:val="InternetLink"/>
                                  <w:rFonts w:ascii="Arial" w:hAnsi="Arial"/>
                                  <w:b/>
                                  <w:strike w:val="false"/>
                                  <w:dstrike w:val="false"/>
                                  <w:color w:val="000000"/>
                                  <w:sz w:val="21"/>
                                  <w:u w:val="none"/>
                                  <w:effect w:val="none"/>
                                </w:rPr>
                                <w:t>44</w:t>
                              </w:r>
                            </w:hyperlink>
                            <w:r>
                              <w:rPr>
                                <w:rFonts w:ascii="Arial" w:hAnsi="Arial"/>
                                <w:b/>
                                <w:color w:val="000000"/>
                                <w:sz w:val="21"/>
                              </w:rPr>
                              <w:t xml:space="preserve"> </w:t>
                            </w:r>
                          </w:p>
                        </w:tc>
                      </w:tr>
                    </w:tbl>
                    <w:tbl>
                      <w:tblPr>
                        <w:tblW w:w="1660" w:type="dxa"/>
                        <w:jc w:val="left"/>
                        <w:tblInd w:w="0" w:type="dxa"/>
                        <w:tblCellMar>
                          <w:top w:w="0" w:type="dxa"/>
                          <w:left w:w="0" w:type="dxa"/>
                          <w:bottom w:w="0" w:type="dxa"/>
                          <w:right w:w="0" w:type="dxa"/>
                        </w:tblCellMar>
                      </w:tblPr>
                      <w:tblGrid>
                        <w:gridCol w:w="1325"/>
                        <w:gridCol w:w="335"/>
                      </w:tblGrid>
                      <w:tr>
                        <w:trPr/>
                        <w:tc>
                          <w:tcPr>
                            <w:tcW w:w="1325" w:type="dxa"/>
                            <w:tcBorders/>
                            <w:shd w:fill="auto" w:val="clear"/>
                            <w:vAlign w:val="center"/>
                          </w:tcPr>
                          <w:p>
                            <w:pPr>
                              <w:pStyle w:val="TableContents"/>
                              <w:pBdr/>
                              <w:spacing w:before="0" w:after="60"/>
                              <w:ind w:left="300" w:right="105" w:hanging="0"/>
                              <w:rPr/>
                            </w:pPr>
                            <w:hyperlink w:anchor="new_id-83">
                              <w:r>
                                <w:rPr>
                                  <w:rStyle w:val="InternetLink"/>
                                  <w:rFonts w:ascii="Arial" w:hAnsi="Arial"/>
                                  <w:strike w:val="false"/>
                                  <w:dstrike w:val="false"/>
                                  <w:color w:val="000000"/>
                                  <w:sz w:val="21"/>
                                  <w:u w:val="none"/>
                                  <w:effect w:val="none"/>
                                </w:rPr>
                                <w:t>Introduction</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83">
                              <w:r>
                                <w:rPr>
                                  <w:rStyle w:val="InternetLink"/>
                                  <w:rFonts w:ascii="Arial" w:hAnsi="Arial"/>
                                  <w:strike w:val="false"/>
                                  <w:dstrike w:val="false"/>
                                  <w:color w:val="000000"/>
                                  <w:sz w:val="21"/>
                                  <w:u w:val="none"/>
                                  <w:effect w:val="none"/>
                                </w:rPr>
                                <w:t>44</w:t>
                              </w:r>
                            </w:hyperlink>
                            <w:r>
                              <w:rPr>
                                <w:rFonts w:ascii="Arial" w:hAnsi="Arial"/>
                                <w:color w:val="000000"/>
                                <w:sz w:val="21"/>
                              </w:rPr>
                              <w:t xml:space="preserve"> </w:t>
                            </w:r>
                          </w:p>
                        </w:tc>
                      </w:tr>
                    </w:tbl>
                    <w:tbl>
                      <w:tblPr>
                        <w:tblW w:w="8065" w:type="dxa"/>
                        <w:jc w:val="left"/>
                        <w:tblInd w:w="0" w:type="dxa"/>
                        <w:tblCellMar>
                          <w:top w:w="0" w:type="dxa"/>
                          <w:left w:w="0" w:type="dxa"/>
                          <w:bottom w:w="0" w:type="dxa"/>
                          <w:right w:w="0" w:type="dxa"/>
                        </w:tblCellMar>
                      </w:tblPr>
                      <w:tblGrid>
                        <w:gridCol w:w="7730"/>
                        <w:gridCol w:w="335"/>
                      </w:tblGrid>
                      <w:tr>
                        <w:trPr/>
                        <w:tc>
                          <w:tcPr>
                            <w:tcW w:w="7730" w:type="dxa"/>
                            <w:tcBorders/>
                            <w:shd w:fill="auto" w:val="clear"/>
                            <w:vAlign w:val="center"/>
                          </w:tcPr>
                          <w:p>
                            <w:pPr>
                              <w:pStyle w:val="TableContents"/>
                              <w:pBdr/>
                              <w:spacing w:before="0" w:after="60"/>
                              <w:ind w:left="300" w:right="105" w:hanging="0"/>
                              <w:rPr/>
                            </w:pPr>
                            <w:hyperlink w:anchor="new_id-84">
                              <w:r>
                                <w:rPr>
                                  <w:rStyle w:val="InternetLink"/>
                                  <w:rFonts w:ascii="Arial" w:hAnsi="Arial"/>
                                  <w:strike w:val="false"/>
                                  <w:dstrike w:val="false"/>
                                  <w:color w:val="000000"/>
                                  <w:sz w:val="21"/>
                                  <w:u w:val="none"/>
                                  <w:effect w:val="none"/>
                                </w:rPr>
                                <w:t>Information about Fees Paid to Independent Registered Public Accounting Firm</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84">
                              <w:r>
                                <w:rPr>
                                  <w:rStyle w:val="InternetLink"/>
                                  <w:rFonts w:ascii="Arial" w:hAnsi="Arial"/>
                                  <w:strike w:val="false"/>
                                  <w:dstrike w:val="false"/>
                                  <w:color w:val="000000"/>
                                  <w:sz w:val="21"/>
                                  <w:u w:val="none"/>
                                  <w:effect w:val="none"/>
                                </w:rPr>
                                <w:t>44</w:t>
                              </w:r>
                            </w:hyperlink>
                            <w:r>
                              <w:rPr>
                                <w:rFonts w:ascii="Arial" w:hAnsi="Arial"/>
                                <w:color w:val="000000"/>
                                <w:sz w:val="21"/>
                              </w:rPr>
                              <w:t xml:space="preserve"> </w:t>
                            </w:r>
                          </w:p>
                        </w:tc>
                      </w:tr>
                    </w:tbl>
                    <w:tbl>
                      <w:tblPr>
                        <w:tblW w:w="2815" w:type="dxa"/>
                        <w:jc w:val="left"/>
                        <w:tblInd w:w="0" w:type="dxa"/>
                        <w:tblCellMar>
                          <w:top w:w="0" w:type="dxa"/>
                          <w:left w:w="0" w:type="dxa"/>
                          <w:bottom w:w="0" w:type="dxa"/>
                          <w:right w:w="0" w:type="dxa"/>
                        </w:tblCellMar>
                      </w:tblPr>
                      <w:tblGrid>
                        <w:gridCol w:w="2480"/>
                        <w:gridCol w:w="335"/>
                      </w:tblGrid>
                      <w:tr>
                        <w:trPr/>
                        <w:tc>
                          <w:tcPr>
                            <w:tcW w:w="2480" w:type="dxa"/>
                            <w:tcBorders/>
                            <w:shd w:fill="auto" w:val="clear"/>
                            <w:vAlign w:val="center"/>
                          </w:tcPr>
                          <w:p>
                            <w:pPr>
                              <w:pStyle w:val="TableContents"/>
                              <w:pBdr/>
                              <w:spacing w:before="0" w:after="60"/>
                              <w:ind w:left="300" w:right="105" w:hanging="0"/>
                              <w:rPr/>
                            </w:pPr>
                            <w:hyperlink w:anchor="new_id-85">
                              <w:r>
                                <w:rPr>
                                  <w:rStyle w:val="InternetLink"/>
                                  <w:rFonts w:ascii="Arial" w:hAnsi="Arial"/>
                                  <w:strike w:val="false"/>
                                  <w:dstrike w:val="false"/>
                                  <w:color w:val="000000"/>
                                  <w:sz w:val="21"/>
                                  <w:u w:val="none"/>
                                  <w:effect w:val="none"/>
                                </w:rPr>
                                <w:t>Audit Committee Report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85">
                              <w:r>
                                <w:rPr>
                                  <w:rStyle w:val="InternetLink"/>
                                  <w:rFonts w:ascii="Arial" w:hAnsi="Arial"/>
                                  <w:strike w:val="false"/>
                                  <w:dstrike w:val="false"/>
                                  <w:color w:val="000000"/>
                                  <w:sz w:val="21"/>
                                  <w:u w:val="none"/>
                                  <w:effect w:val="none"/>
                                </w:rPr>
                                <w:t>45</w:t>
                              </w:r>
                            </w:hyperlink>
                            <w:r>
                              <w:rPr>
                                <w:rFonts w:ascii="Arial" w:hAnsi="Arial"/>
                                <w:color w:val="000000"/>
                                <w:sz w:val="21"/>
                              </w:rPr>
                              <w:t xml:space="preserve"> </w:t>
                            </w:r>
                          </w:p>
                        </w:tc>
                      </w:tr>
                    </w:tbl>
                    <w:tbl>
                      <w:tblPr>
                        <w:tblW w:w="10205" w:type="dxa"/>
                        <w:jc w:val="left"/>
                        <w:tblInd w:w="0" w:type="dxa"/>
                        <w:tblCellMar>
                          <w:top w:w="0" w:type="dxa"/>
                          <w:left w:w="0" w:type="dxa"/>
                          <w:bottom w:w="0" w:type="dxa"/>
                          <w:right w:w="0" w:type="dxa"/>
                        </w:tblCellMar>
                      </w:tblPr>
                      <w:tblGrid>
                        <w:gridCol w:w="9815"/>
                        <w:gridCol w:w="390"/>
                      </w:tblGrid>
                      <w:tr>
                        <w:trPr/>
                        <w:tc>
                          <w:tcPr>
                            <w:tcW w:w="981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r>
                      <w:tr>
                        <w:trPr/>
                        <w:tc>
                          <w:tcPr>
                            <w:tcW w:w="9815" w:type="dxa"/>
                            <w:tcBorders>
                              <w:bottom w:val="single" w:sz="12" w:space="0" w:color="245BA7"/>
                            </w:tcBorders>
                            <w:shd w:fill="auto" w:val="clear"/>
                            <w:tcMar>
                              <w:bottom w:w="45" w:type="dxa"/>
                            </w:tcMar>
                            <w:vAlign w:val="center"/>
                          </w:tcPr>
                          <w:p>
                            <w:pPr>
                              <w:pStyle w:val="TableContents"/>
                              <w:pBdr/>
                              <w:spacing w:before="0" w:after="0"/>
                              <w:ind w:left="0" w:right="210" w:hanging="0"/>
                              <w:rPr/>
                            </w:pPr>
                            <w:hyperlink w:anchor="new_id-87">
                              <w:r>
                                <w:rPr>
                                  <w:rStyle w:val="InternetLink"/>
                                  <w:rFonts w:ascii="Arial" w:hAnsi="Arial"/>
                                  <w:b/>
                                  <w:strike w:val="false"/>
                                  <w:dstrike w:val="false"/>
                                  <w:color w:val="000000"/>
                                  <w:sz w:val="18"/>
                                  <w:u w:val="none"/>
                                  <w:effect w:val="none"/>
                                </w:rPr>
                                <w:t>PROPOSAL NO. 2</w:t>
                              </w:r>
                            </w:hyperlink>
                            <w:hyperlink w:anchor="new_id-87">
                              <w:r>
                                <w:rPr>
                                  <w:rStyle w:val="InternetLink"/>
                                  <w:rFonts w:ascii="Arial" w:hAnsi="Arial"/>
                                  <w:b/>
                                  <w:strike w:val="false"/>
                                  <w:dstrike w:val="false"/>
                                  <w:color w:val="D31B5D"/>
                                  <w:sz w:val="27"/>
                                  <w:u w:val="none"/>
                                  <w:effect w:val="none"/>
                                </w:rPr>
                                <w:br/>
                                <w:t>RATIFICATION OF APPOINTMENT OF INDEPENDENT REGISTERED PUBLIC ACCOUNTING FIRM</w:t>
                              </w:r>
                            </w:hyperlink>
                          </w:p>
                        </w:tc>
                        <w:tc>
                          <w:tcPr>
                            <w:tcW w:w="390" w:type="dxa"/>
                            <w:tcBorders>
                              <w:bottom w:val="single" w:sz="12" w:space="0" w:color="245BA7"/>
                            </w:tcBorders>
                            <w:shd w:fill="auto" w:val="clear"/>
                            <w:tcMar>
                              <w:bottom w:w="45" w:type="dxa"/>
                            </w:tcMar>
                            <w:vAlign w:val="center"/>
                          </w:tcPr>
                          <w:p>
                            <w:pPr>
                              <w:pStyle w:val="TableContents"/>
                              <w:pBdr/>
                              <w:spacing w:before="0" w:after="0"/>
                              <w:ind w:left="0" w:right="0" w:hanging="0"/>
                              <w:jc w:val="right"/>
                              <w:rPr/>
                            </w:pPr>
                            <w:hyperlink w:anchor="new_id-87">
                              <w:r>
                                <w:rPr>
                                  <w:rStyle w:val="InternetLink"/>
                                  <w:rFonts w:ascii="Arial" w:hAnsi="Arial"/>
                                  <w:b/>
                                  <w:strike w:val="false"/>
                                  <w:dstrike w:val="false"/>
                                  <w:color w:val="D31B5D"/>
                                  <w:sz w:val="27"/>
                                  <w:u w:val="none"/>
                                  <w:effect w:val="none"/>
                                </w:rPr>
                                <w:t>46</w:t>
                              </w:r>
                            </w:hyperlink>
                            <w:r>
                              <w:rPr>
                                <w:rFonts w:ascii="Arial" w:hAnsi="Arial"/>
                                <w:b/>
                                <w:color w:val="D31B5D"/>
                                <w:sz w:val="27"/>
                              </w:rPr>
                              <w:t xml:space="preserve"> </w:t>
                            </w:r>
                          </w:p>
                        </w:tc>
                      </w:tr>
                    </w:tbl>
                    <w:tbl>
                      <w:tblPr>
                        <w:tblW w:w="1900" w:type="dxa"/>
                        <w:jc w:val="left"/>
                        <w:tblInd w:w="0" w:type="dxa"/>
                        <w:tblCellMar>
                          <w:top w:w="0" w:type="dxa"/>
                          <w:left w:w="0" w:type="dxa"/>
                          <w:bottom w:w="0" w:type="dxa"/>
                          <w:right w:w="0" w:type="dxa"/>
                        </w:tblCellMar>
                      </w:tblPr>
                      <w:tblGrid>
                        <w:gridCol w:w="1565"/>
                        <w:gridCol w:w="335"/>
                      </w:tblGrid>
                      <w:tr>
                        <w:trPr/>
                        <w:tc>
                          <w:tcPr>
                            <w:tcW w:w="1565" w:type="dxa"/>
                            <w:tcBorders/>
                            <w:shd w:fill="auto" w:val="clear"/>
                            <w:vAlign w:val="center"/>
                          </w:tcPr>
                          <w:p>
                            <w:pPr>
                              <w:pStyle w:val="TableContents"/>
                              <w:pBdr/>
                              <w:spacing w:before="0" w:after="60"/>
                              <w:ind w:left="0" w:right="105" w:hanging="0"/>
                              <w:rPr/>
                            </w:pPr>
                            <w:hyperlink w:anchor="new_id-88">
                              <w:r>
                                <w:rPr>
                                  <w:rStyle w:val="InternetLink"/>
                                  <w:rFonts w:ascii="Arial" w:hAnsi="Arial"/>
                                  <w:b/>
                                  <w:strike w:val="false"/>
                                  <w:dstrike w:val="false"/>
                                  <w:color w:val="245BA7"/>
                                  <w:sz w:val="21"/>
                                  <w:u w:val="none"/>
                                  <w:effect w:val="none"/>
                                </w:rPr>
                                <w:t>Shareholders</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88">
                              <w:r>
                                <w:rPr>
                                  <w:rStyle w:val="InternetLink"/>
                                  <w:rFonts w:ascii="Arial" w:hAnsi="Arial"/>
                                  <w:b/>
                                  <w:strike w:val="false"/>
                                  <w:dstrike w:val="false"/>
                                  <w:color w:val="245BA7"/>
                                  <w:sz w:val="21"/>
                                  <w:u w:val="none"/>
                                  <w:effect w:val="none"/>
                                </w:rPr>
                                <w:t>47</w:t>
                              </w:r>
                            </w:hyperlink>
                            <w:r>
                              <w:rPr>
                                <w:rFonts w:ascii="Arial" w:hAnsi="Arial"/>
                                <w:b/>
                                <w:color w:val="245BA7"/>
                                <w:sz w:val="21"/>
                              </w:rPr>
                              <w:t xml:space="preserve"> </w:t>
                            </w:r>
                          </w:p>
                        </w:tc>
                      </w:tr>
                    </w:tbl>
                    <w:tbl>
                      <w:tblPr>
                        <w:tblW w:w="6880" w:type="dxa"/>
                        <w:jc w:val="left"/>
                        <w:tblInd w:w="0" w:type="dxa"/>
                        <w:tblCellMar>
                          <w:top w:w="0" w:type="dxa"/>
                          <w:left w:w="0" w:type="dxa"/>
                          <w:bottom w:w="0" w:type="dxa"/>
                          <w:right w:w="0" w:type="dxa"/>
                        </w:tblCellMar>
                      </w:tblPr>
                      <w:tblGrid>
                        <w:gridCol w:w="6545"/>
                        <w:gridCol w:w="335"/>
                      </w:tblGrid>
                      <w:tr>
                        <w:trPr/>
                        <w:tc>
                          <w:tcPr>
                            <w:tcW w:w="6545" w:type="dxa"/>
                            <w:tcBorders/>
                            <w:shd w:fill="auto" w:val="clear"/>
                            <w:vAlign w:val="center"/>
                          </w:tcPr>
                          <w:p>
                            <w:pPr>
                              <w:pStyle w:val="TableContents"/>
                              <w:pBdr/>
                              <w:spacing w:before="0" w:after="60"/>
                              <w:ind w:left="300" w:right="105" w:hanging="0"/>
                              <w:rPr/>
                            </w:pPr>
                            <w:hyperlink w:anchor="new_id-89">
                              <w:r>
                                <w:rPr>
                                  <w:rStyle w:val="InternetLink"/>
                                  <w:rFonts w:ascii="Arial" w:hAnsi="Arial"/>
                                  <w:strike w:val="false"/>
                                  <w:dstrike w:val="false"/>
                                  <w:color w:val="000000"/>
                                  <w:sz w:val="21"/>
                                  <w:u w:val="none"/>
                                  <w:effect w:val="none"/>
                                </w:rPr>
                                <w:t>Security Ownership of Certain Beneficial Owners and Management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89">
                              <w:r>
                                <w:rPr>
                                  <w:rStyle w:val="InternetLink"/>
                                  <w:rFonts w:ascii="Arial" w:hAnsi="Arial"/>
                                  <w:strike w:val="false"/>
                                  <w:dstrike w:val="false"/>
                                  <w:color w:val="000000"/>
                                  <w:sz w:val="21"/>
                                  <w:u w:val="none"/>
                                  <w:effect w:val="none"/>
                                </w:rPr>
                                <w:t>47</w:t>
                              </w:r>
                            </w:hyperlink>
                            <w:r>
                              <w:rPr>
                                <w:rFonts w:ascii="Arial" w:hAnsi="Arial"/>
                                <w:color w:val="000000"/>
                                <w:sz w:val="21"/>
                              </w:rPr>
                              <w:t xml:space="preserve"> </w:t>
                            </w:r>
                          </w:p>
                        </w:tc>
                      </w:tr>
                    </w:tbl>
                    <w:tbl>
                      <w:tblPr>
                        <w:tblW w:w="3355" w:type="dxa"/>
                        <w:jc w:val="left"/>
                        <w:tblInd w:w="0" w:type="dxa"/>
                        <w:tblCellMar>
                          <w:top w:w="0" w:type="dxa"/>
                          <w:left w:w="0" w:type="dxa"/>
                          <w:bottom w:w="0" w:type="dxa"/>
                          <w:right w:w="0" w:type="dxa"/>
                        </w:tblCellMar>
                      </w:tblPr>
                      <w:tblGrid>
                        <w:gridCol w:w="3020"/>
                        <w:gridCol w:w="335"/>
                      </w:tblGrid>
                      <w:tr>
                        <w:trPr/>
                        <w:tc>
                          <w:tcPr>
                            <w:tcW w:w="3020" w:type="dxa"/>
                            <w:tcBorders/>
                            <w:shd w:fill="auto" w:val="clear"/>
                            <w:vAlign w:val="center"/>
                          </w:tcPr>
                          <w:p>
                            <w:pPr>
                              <w:pStyle w:val="TableContents"/>
                              <w:pBdr/>
                              <w:spacing w:before="0" w:after="60"/>
                              <w:ind w:left="300" w:right="105" w:hanging="0"/>
                              <w:rPr/>
                            </w:pPr>
                            <w:hyperlink w:anchor="new_id-90">
                              <w:r>
                                <w:rPr>
                                  <w:rStyle w:val="InternetLink"/>
                                  <w:rFonts w:ascii="Arial" w:hAnsi="Arial"/>
                                  <w:strike w:val="false"/>
                                  <w:dstrike w:val="false"/>
                                  <w:color w:val="000000"/>
                                  <w:sz w:val="21"/>
                                  <w:u w:val="none"/>
                                  <w:effect w:val="none"/>
                                </w:rPr>
                                <w:t>Shareholder Communications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0">
                              <w:r>
                                <w:rPr>
                                  <w:rStyle w:val="InternetLink"/>
                                  <w:rFonts w:ascii="Arial" w:hAnsi="Arial"/>
                                  <w:strike w:val="false"/>
                                  <w:dstrike w:val="false"/>
                                  <w:color w:val="000000"/>
                                  <w:sz w:val="21"/>
                                  <w:u w:val="none"/>
                                  <w:effect w:val="none"/>
                                </w:rPr>
                                <w:t>50</w:t>
                              </w:r>
                            </w:hyperlink>
                            <w:r>
                              <w:rPr>
                                <w:rFonts w:ascii="Arial" w:hAnsi="Arial"/>
                                <w:color w:val="000000"/>
                                <w:sz w:val="21"/>
                              </w:rPr>
                              <w:t xml:space="preserve"> </w:t>
                            </w:r>
                          </w:p>
                        </w:tc>
                      </w:tr>
                    </w:tbl>
                    <w:tbl>
                      <w:tblPr>
                        <w:tblW w:w="3715" w:type="dxa"/>
                        <w:jc w:val="left"/>
                        <w:tblInd w:w="0" w:type="dxa"/>
                        <w:tblCellMar>
                          <w:top w:w="0" w:type="dxa"/>
                          <w:left w:w="0" w:type="dxa"/>
                          <w:bottom w:w="0" w:type="dxa"/>
                          <w:right w:w="0" w:type="dxa"/>
                        </w:tblCellMar>
                      </w:tblPr>
                      <w:tblGrid>
                        <w:gridCol w:w="3380"/>
                        <w:gridCol w:w="335"/>
                      </w:tblGrid>
                      <w:tr>
                        <w:trPr/>
                        <w:tc>
                          <w:tcPr>
                            <w:tcW w:w="3380" w:type="dxa"/>
                            <w:tcBorders/>
                            <w:shd w:fill="auto" w:val="clear"/>
                            <w:vAlign w:val="center"/>
                          </w:tcPr>
                          <w:p>
                            <w:pPr>
                              <w:pStyle w:val="TableContents"/>
                              <w:pBdr/>
                              <w:spacing w:before="0" w:after="60"/>
                              <w:ind w:left="0" w:right="105" w:hanging="0"/>
                              <w:rPr/>
                            </w:pPr>
                            <w:hyperlink w:anchor="new_id-91">
                              <w:r>
                                <w:rPr>
                                  <w:rStyle w:val="InternetLink"/>
                                  <w:rFonts w:ascii="Arial" w:hAnsi="Arial"/>
                                  <w:b/>
                                  <w:strike w:val="false"/>
                                  <w:dstrike w:val="false"/>
                                  <w:color w:val="245BA7"/>
                                  <w:sz w:val="21"/>
                                  <w:u w:val="none"/>
                                  <w:effect w:val="none"/>
                                </w:rPr>
                                <w:t>Compensation-Related Matters</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1">
                              <w:r>
                                <w:rPr>
                                  <w:rStyle w:val="InternetLink"/>
                                  <w:rFonts w:ascii="Arial" w:hAnsi="Arial"/>
                                  <w:b/>
                                  <w:strike w:val="false"/>
                                  <w:dstrike w:val="false"/>
                                  <w:color w:val="245BA7"/>
                                  <w:sz w:val="21"/>
                                  <w:u w:val="none"/>
                                  <w:effect w:val="none"/>
                                </w:rPr>
                                <w:t>51</w:t>
                              </w:r>
                            </w:hyperlink>
                            <w:r>
                              <w:rPr>
                                <w:rFonts w:ascii="Arial" w:hAnsi="Arial"/>
                                <w:b/>
                                <w:color w:val="245BA7"/>
                                <w:sz w:val="21"/>
                              </w:rPr>
                              <w:t xml:space="preserve"> </w:t>
                            </w:r>
                          </w:p>
                        </w:tc>
                      </w:tr>
                    </w:tbl>
                    <w:tbl>
                      <w:tblPr>
                        <w:tblW w:w="2275" w:type="dxa"/>
                        <w:jc w:val="left"/>
                        <w:tblInd w:w="0" w:type="dxa"/>
                        <w:tblCellMar>
                          <w:top w:w="0" w:type="dxa"/>
                          <w:left w:w="0" w:type="dxa"/>
                          <w:bottom w:w="0" w:type="dxa"/>
                          <w:right w:w="0" w:type="dxa"/>
                        </w:tblCellMar>
                      </w:tblPr>
                      <w:tblGrid>
                        <w:gridCol w:w="1940"/>
                        <w:gridCol w:w="335"/>
                      </w:tblGrid>
                      <w:tr>
                        <w:trPr/>
                        <w:tc>
                          <w:tcPr>
                            <w:tcW w:w="1940" w:type="dxa"/>
                            <w:tcBorders/>
                            <w:shd w:fill="auto" w:val="clear"/>
                            <w:vAlign w:val="center"/>
                          </w:tcPr>
                          <w:p>
                            <w:pPr>
                              <w:pStyle w:val="TableContents"/>
                              <w:pBdr/>
                              <w:spacing w:before="0" w:after="60"/>
                              <w:ind w:left="0" w:right="0" w:hanging="0"/>
                              <w:rPr/>
                            </w:pPr>
                            <w:hyperlink w:anchor="new_id-92">
                              <w:r>
                                <w:rPr>
                                  <w:rStyle w:val="InternetLink"/>
                                  <w:rFonts w:ascii="Arial" w:hAnsi="Arial"/>
                                  <w:b/>
                                  <w:strike w:val="false"/>
                                  <w:dstrike w:val="false"/>
                                  <w:color w:val="000000"/>
                                  <w:sz w:val="21"/>
                                  <w:u w:val="none"/>
                                  <w:effect w:val="none"/>
                                </w:rPr>
                                <w:t>Table of Contents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2">
                              <w:r>
                                <w:rPr>
                                  <w:rStyle w:val="InternetLink"/>
                                  <w:rFonts w:ascii="Arial" w:hAnsi="Arial"/>
                                  <w:b/>
                                  <w:strike w:val="false"/>
                                  <w:dstrike w:val="false"/>
                                  <w:color w:val="000000"/>
                                  <w:sz w:val="21"/>
                                  <w:u w:val="none"/>
                                  <w:effect w:val="none"/>
                                </w:rPr>
                                <w:t>51</w:t>
                              </w:r>
                            </w:hyperlink>
                            <w:r>
                              <w:rPr>
                                <w:rFonts w:ascii="Arial" w:hAnsi="Arial"/>
                                <w:b/>
                                <w:color w:val="000000"/>
                                <w:sz w:val="21"/>
                              </w:rPr>
                              <w:t xml:space="preserve"> </w:t>
                            </w:r>
                          </w:p>
                        </w:tc>
                      </w:tr>
                    </w:tbl>
                    <w:tbl>
                      <w:tblPr>
                        <w:tblW w:w="1810" w:type="dxa"/>
                        <w:jc w:val="left"/>
                        <w:tblInd w:w="0" w:type="dxa"/>
                        <w:tblCellMar>
                          <w:top w:w="0" w:type="dxa"/>
                          <w:left w:w="0" w:type="dxa"/>
                          <w:bottom w:w="0" w:type="dxa"/>
                          <w:right w:w="0" w:type="dxa"/>
                        </w:tblCellMar>
                      </w:tblPr>
                      <w:tblGrid>
                        <w:gridCol w:w="1475"/>
                        <w:gridCol w:w="335"/>
                      </w:tblGrid>
                      <w:tr>
                        <w:trPr/>
                        <w:tc>
                          <w:tcPr>
                            <w:tcW w:w="1475" w:type="dxa"/>
                            <w:tcBorders/>
                            <w:shd w:fill="auto" w:val="clear"/>
                            <w:vAlign w:val="center"/>
                          </w:tcPr>
                          <w:p>
                            <w:pPr>
                              <w:pStyle w:val="TableContents"/>
                              <w:pBdr/>
                              <w:spacing w:before="0" w:after="60"/>
                              <w:ind w:left="0" w:right="105" w:hanging="0"/>
                              <w:rPr/>
                            </w:pPr>
                            <w:hyperlink w:anchor="new_id-93">
                              <w:r>
                                <w:rPr>
                                  <w:rStyle w:val="InternetLink"/>
                                  <w:rFonts w:ascii="Arial" w:hAnsi="Arial"/>
                                  <w:b/>
                                  <w:strike w:val="false"/>
                                  <w:dstrike w:val="false"/>
                                  <w:color w:val="000000"/>
                                  <w:sz w:val="21"/>
                                  <w:u w:val="none"/>
                                  <w:effect w:val="none"/>
                                </w:rPr>
                                <w:t>Introduction</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3">
                              <w:r>
                                <w:rPr>
                                  <w:rStyle w:val="InternetLink"/>
                                  <w:rFonts w:ascii="Arial" w:hAnsi="Arial"/>
                                  <w:b/>
                                  <w:strike w:val="false"/>
                                  <w:dstrike w:val="false"/>
                                  <w:color w:val="000000"/>
                                  <w:sz w:val="21"/>
                                  <w:u w:val="none"/>
                                  <w:effect w:val="none"/>
                                </w:rPr>
                                <w:t>52</w:t>
                              </w:r>
                            </w:hyperlink>
                            <w:r>
                              <w:rPr>
                                <w:rFonts w:ascii="Arial" w:hAnsi="Arial"/>
                                <w:b/>
                                <w:color w:val="000000"/>
                                <w:sz w:val="21"/>
                              </w:rPr>
                              <w:t xml:space="preserve"> </w:t>
                            </w:r>
                          </w:p>
                        </w:tc>
                      </w:tr>
                    </w:tbl>
                    <w:tbl>
                      <w:tblPr>
                        <w:tblW w:w="4645" w:type="dxa"/>
                        <w:jc w:val="left"/>
                        <w:tblInd w:w="0" w:type="dxa"/>
                        <w:tblCellMar>
                          <w:top w:w="0" w:type="dxa"/>
                          <w:left w:w="0" w:type="dxa"/>
                          <w:bottom w:w="0" w:type="dxa"/>
                          <w:right w:w="0" w:type="dxa"/>
                        </w:tblCellMar>
                      </w:tblPr>
                      <w:tblGrid>
                        <w:gridCol w:w="4310"/>
                        <w:gridCol w:w="335"/>
                      </w:tblGrid>
                      <w:tr>
                        <w:trPr/>
                        <w:tc>
                          <w:tcPr>
                            <w:tcW w:w="4310" w:type="dxa"/>
                            <w:tcBorders/>
                            <w:shd w:fill="auto" w:val="clear"/>
                            <w:vAlign w:val="center"/>
                          </w:tcPr>
                          <w:p>
                            <w:pPr>
                              <w:pStyle w:val="TableContents"/>
                              <w:pBdr/>
                              <w:spacing w:before="0" w:after="60"/>
                              <w:ind w:left="0" w:right="105" w:hanging="0"/>
                              <w:rPr/>
                            </w:pPr>
                            <w:hyperlink w:anchor="new_id-94">
                              <w:r>
                                <w:rPr>
                                  <w:rStyle w:val="InternetLink"/>
                                  <w:rFonts w:ascii="Arial" w:hAnsi="Arial"/>
                                  <w:b/>
                                  <w:strike w:val="false"/>
                                  <w:dstrike w:val="false"/>
                                  <w:color w:val="000000"/>
                                  <w:sz w:val="21"/>
                                  <w:u w:val="none"/>
                                  <w:effect w:val="none"/>
                                </w:rPr>
                                <w:t>Compensation Discussion and Analysis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4">
                              <w:r>
                                <w:rPr>
                                  <w:rStyle w:val="InternetLink"/>
                                  <w:rFonts w:ascii="Arial" w:hAnsi="Arial"/>
                                  <w:b/>
                                  <w:strike w:val="false"/>
                                  <w:dstrike w:val="false"/>
                                  <w:color w:val="000000"/>
                                  <w:sz w:val="21"/>
                                  <w:u w:val="none"/>
                                  <w:effect w:val="none"/>
                                </w:rPr>
                                <w:t>53</w:t>
                              </w:r>
                            </w:hyperlink>
                            <w:r>
                              <w:rPr>
                                <w:rFonts w:ascii="Arial" w:hAnsi="Arial"/>
                                <w:b/>
                                <w:color w:val="000000"/>
                                <w:sz w:val="21"/>
                              </w:rPr>
                              <w:t xml:space="preserve"> </w:t>
                            </w:r>
                          </w:p>
                        </w:tc>
                      </w:tr>
                    </w:tbl>
                    <w:tbl>
                      <w:tblPr>
                        <w:tblW w:w="2545" w:type="dxa"/>
                        <w:jc w:val="left"/>
                        <w:tblInd w:w="0" w:type="dxa"/>
                        <w:tblCellMar>
                          <w:top w:w="0" w:type="dxa"/>
                          <w:left w:w="0" w:type="dxa"/>
                          <w:bottom w:w="0" w:type="dxa"/>
                          <w:right w:w="0" w:type="dxa"/>
                        </w:tblCellMar>
                      </w:tblPr>
                      <w:tblGrid>
                        <w:gridCol w:w="2210"/>
                        <w:gridCol w:w="335"/>
                      </w:tblGrid>
                      <w:tr>
                        <w:trPr/>
                        <w:tc>
                          <w:tcPr>
                            <w:tcW w:w="2210" w:type="dxa"/>
                            <w:tcBorders/>
                            <w:shd w:fill="auto" w:val="clear"/>
                            <w:vAlign w:val="center"/>
                          </w:tcPr>
                          <w:p>
                            <w:pPr>
                              <w:pStyle w:val="TableContents"/>
                              <w:pBdr/>
                              <w:spacing w:before="0" w:after="60"/>
                              <w:ind w:left="0" w:right="105" w:hanging="0"/>
                              <w:rPr/>
                            </w:pPr>
                            <w:hyperlink w:anchor="new_id-95">
                              <w:r>
                                <w:rPr>
                                  <w:rStyle w:val="InternetLink"/>
                                  <w:rFonts w:ascii="Arial" w:hAnsi="Arial"/>
                                  <w:b/>
                                  <w:strike w:val="false"/>
                                  <w:dstrike w:val="false"/>
                                  <w:color w:val="245BA7"/>
                                  <w:sz w:val="21"/>
                                  <w:u w:val="none"/>
                                  <w:effect w:val="none"/>
                                </w:rPr>
                                <w:t>Executive Summary</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5">
                              <w:r>
                                <w:rPr>
                                  <w:rStyle w:val="InternetLink"/>
                                  <w:rFonts w:ascii="Arial" w:hAnsi="Arial"/>
                                  <w:b/>
                                  <w:strike w:val="false"/>
                                  <w:dstrike w:val="false"/>
                                  <w:color w:val="245BA7"/>
                                  <w:sz w:val="21"/>
                                  <w:u w:val="none"/>
                                  <w:effect w:val="none"/>
                                </w:rPr>
                                <w:t>54</w:t>
                              </w:r>
                            </w:hyperlink>
                            <w:r>
                              <w:rPr>
                                <w:rFonts w:ascii="Arial" w:hAnsi="Arial"/>
                                <w:b/>
                                <w:color w:val="245BA7"/>
                                <w:sz w:val="21"/>
                              </w:rPr>
                              <w:t xml:space="preserve"> </w:t>
                            </w:r>
                          </w:p>
                        </w:tc>
                      </w:tr>
                    </w:tbl>
                    <w:tbl>
                      <w:tblPr>
                        <w:tblW w:w="3955" w:type="dxa"/>
                        <w:jc w:val="left"/>
                        <w:tblInd w:w="0" w:type="dxa"/>
                        <w:tblCellMar>
                          <w:top w:w="0" w:type="dxa"/>
                          <w:left w:w="0" w:type="dxa"/>
                          <w:bottom w:w="0" w:type="dxa"/>
                          <w:right w:w="0" w:type="dxa"/>
                        </w:tblCellMar>
                      </w:tblPr>
                      <w:tblGrid>
                        <w:gridCol w:w="3620"/>
                        <w:gridCol w:w="335"/>
                      </w:tblGrid>
                      <w:tr>
                        <w:trPr/>
                        <w:tc>
                          <w:tcPr>
                            <w:tcW w:w="3620" w:type="dxa"/>
                            <w:tcBorders/>
                            <w:shd w:fill="auto" w:val="clear"/>
                            <w:vAlign w:val="center"/>
                          </w:tcPr>
                          <w:p>
                            <w:pPr>
                              <w:pStyle w:val="TableContents"/>
                              <w:pBdr/>
                              <w:spacing w:before="0" w:after="60"/>
                              <w:ind w:left="0" w:right="105" w:hanging="0"/>
                              <w:rPr/>
                            </w:pPr>
                            <w:hyperlink w:anchor="new_id-96">
                              <w:r>
                                <w:rPr>
                                  <w:rStyle w:val="InternetLink"/>
                                  <w:rFonts w:ascii="Arial" w:hAnsi="Arial"/>
                                  <w:b/>
                                  <w:strike w:val="false"/>
                                  <w:dstrike w:val="false"/>
                                  <w:color w:val="245BA7"/>
                                  <w:sz w:val="21"/>
                                  <w:u w:val="none"/>
                                  <w:effect w:val="none"/>
                                </w:rPr>
                                <w:t>Compensation Program Overview</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6">
                              <w:r>
                                <w:rPr>
                                  <w:rStyle w:val="InternetLink"/>
                                  <w:rFonts w:ascii="Arial" w:hAnsi="Arial"/>
                                  <w:b/>
                                  <w:strike w:val="false"/>
                                  <w:dstrike w:val="false"/>
                                  <w:color w:val="245BA7"/>
                                  <w:sz w:val="21"/>
                                  <w:u w:val="none"/>
                                  <w:effect w:val="none"/>
                                </w:rPr>
                                <w:t>55</w:t>
                              </w:r>
                            </w:hyperlink>
                            <w:r>
                              <w:rPr>
                                <w:rFonts w:ascii="Arial" w:hAnsi="Arial"/>
                                <w:b/>
                                <w:color w:val="245BA7"/>
                                <w:sz w:val="21"/>
                              </w:rPr>
                              <w:t xml:space="preserve"> </w:t>
                            </w:r>
                          </w:p>
                        </w:tc>
                      </w:tr>
                    </w:tbl>
                    <w:tbl>
                      <w:tblPr>
                        <w:tblW w:w="4600" w:type="dxa"/>
                        <w:jc w:val="left"/>
                        <w:tblInd w:w="0" w:type="dxa"/>
                        <w:tblCellMar>
                          <w:top w:w="0" w:type="dxa"/>
                          <w:left w:w="0" w:type="dxa"/>
                          <w:bottom w:w="0" w:type="dxa"/>
                          <w:right w:w="0" w:type="dxa"/>
                        </w:tblCellMar>
                      </w:tblPr>
                      <w:tblGrid>
                        <w:gridCol w:w="4265"/>
                        <w:gridCol w:w="335"/>
                      </w:tblGrid>
                      <w:tr>
                        <w:trPr/>
                        <w:tc>
                          <w:tcPr>
                            <w:tcW w:w="4265" w:type="dxa"/>
                            <w:tcBorders/>
                            <w:shd w:fill="auto" w:val="clear"/>
                            <w:vAlign w:val="center"/>
                          </w:tcPr>
                          <w:p>
                            <w:pPr>
                              <w:pStyle w:val="TableContents"/>
                              <w:pBdr/>
                              <w:spacing w:before="0" w:after="60"/>
                              <w:ind w:left="300" w:right="105" w:hanging="0"/>
                              <w:rPr/>
                            </w:pPr>
                            <w:hyperlink w:anchor="new_id-97">
                              <w:r>
                                <w:rPr>
                                  <w:rStyle w:val="InternetLink"/>
                                  <w:rFonts w:ascii="Arial" w:hAnsi="Arial"/>
                                  <w:strike w:val="false"/>
                                  <w:dstrike w:val="false"/>
                                  <w:color w:val="000000"/>
                                  <w:sz w:val="21"/>
                                  <w:u w:val="none"/>
                                  <w:effect w:val="none"/>
                                </w:rPr>
                                <w:t>Our Corporate Culture and Pay Philosophy</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7">
                              <w:r>
                                <w:rPr>
                                  <w:rStyle w:val="InternetLink"/>
                                  <w:rFonts w:ascii="Arial" w:hAnsi="Arial"/>
                                  <w:strike w:val="false"/>
                                  <w:dstrike w:val="false"/>
                                  <w:color w:val="000000"/>
                                  <w:sz w:val="21"/>
                                  <w:u w:val="none"/>
                                  <w:effect w:val="none"/>
                                </w:rPr>
                                <w:t>55</w:t>
                              </w:r>
                            </w:hyperlink>
                            <w:r>
                              <w:rPr>
                                <w:rFonts w:ascii="Arial" w:hAnsi="Arial"/>
                                <w:color w:val="000000"/>
                                <w:sz w:val="21"/>
                              </w:rPr>
                              <w:t xml:space="preserve"> </w:t>
                            </w:r>
                          </w:p>
                        </w:tc>
                      </w:tr>
                    </w:tbl>
                    <w:tbl>
                      <w:tblPr>
                        <w:tblW w:w="2920" w:type="dxa"/>
                        <w:jc w:val="left"/>
                        <w:tblInd w:w="0" w:type="dxa"/>
                        <w:tblCellMar>
                          <w:top w:w="0" w:type="dxa"/>
                          <w:left w:w="0" w:type="dxa"/>
                          <w:bottom w:w="0" w:type="dxa"/>
                          <w:right w:w="0" w:type="dxa"/>
                        </w:tblCellMar>
                      </w:tblPr>
                      <w:tblGrid>
                        <w:gridCol w:w="2585"/>
                        <w:gridCol w:w="335"/>
                      </w:tblGrid>
                      <w:tr>
                        <w:trPr/>
                        <w:tc>
                          <w:tcPr>
                            <w:tcW w:w="2585" w:type="dxa"/>
                            <w:tcBorders/>
                            <w:shd w:fill="auto" w:val="clear"/>
                            <w:vAlign w:val="center"/>
                          </w:tcPr>
                          <w:p>
                            <w:pPr>
                              <w:pStyle w:val="TableContents"/>
                              <w:pBdr/>
                              <w:spacing w:before="0" w:after="60"/>
                              <w:ind w:left="300" w:right="105" w:hanging="0"/>
                              <w:rPr/>
                            </w:pPr>
                            <w:hyperlink w:anchor="new_id-98">
                              <w:r>
                                <w:rPr>
                                  <w:rStyle w:val="InternetLink"/>
                                  <w:rFonts w:ascii="Arial" w:hAnsi="Arial"/>
                                  <w:strike w:val="false"/>
                                  <w:dstrike w:val="false"/>
                                  <w:color w:val="000000"/>
                                  <w:sz w:val="21"/>
                                  <w:u w:val="none"/>
                                  <w:effect w:val="none"/>
                                </w:rPr>
                                <w:t>2022 Business Highlights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8">
                              <w:r>
                                <w:rPr>
                                  <w:rStyle w:val="InternetLink"/>
                                  <w:rFonts w:ascii="Arial" w:hAnsi="Arial"/>
                                  <w:strike w:val="false"/>
                                  <w:dstrike w:val="false"/>
                                  <w:color w:val="000000"/>
                                  <w:sz w:val="21"/>
                                  <w:u w:val="none"/>
                                  <w:effect w:val="none"/>
                                </w:rPr>
                                <w:t>56</w:t>
                              </w:r>
                            </w:hyperlink>
                            <w:r>
                              <w:rPr>
                                <w:rFonts w:ascii="Arial" w:hAnsi="Arial"/>
                                <w:color w:val="000000"/>
                                <w:sz w:val="21"/>
                              </w:rPr>
                              <w:t xml:space="preserve"> </w:t>
                            </w:r>
                          </w:p>
                        </w:tc>
                      </w:tr>
                    </w:tbl>
                    <w:p>
                      <w:pPr>
                        <w:pStyle w:val="TextBody"/>
                        <w:spacing w:before="0" w:after="283"/>
                        <w:rPr/>
                      </w:pPr>
                      <w:r>
                        <w:rPr/>
                      </w:r>
                    </w:p>
                  </w:txbxContent>
                </v:textbox>
                <w10:wrap type="square" side="left"/>
              </v:rect>
            </w:pict>
          </mc:Fallback>
        </mc:AlternateContent>
      </w:r>
    </w:p>
    <w:tbl>
      <w:tblPr>
        <w:tblW w:w="10205" w:type="dxa"/>
        <w:jc w:val="left"/>
        <w:tblInd w:w="0" w:type="dxa"/>
        <w:tblCellMar>
          <w:top w:w="0" w:type="dxa"/>
          <w:left w:w="0" w:type="dxa"/>
          <w:bottom w:w="0" w:type="dxa"/>
          <w:right w:w="0" w:type="dxa"/>
        </w:tblCellMar>
      </w:tblPr>
      <w:tblGrid>
        <w:gridCol w:w="8430"/>
        <w:gridCol w:w="1380"/>
        <w:gridCol w:w="395"/>
      </w:tblGrid>
      <w:tr>
        <w:trPr/>
        <w:tc>
          <w:tcPr>
            <w:tcW w:w="84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838200" cy="142875"/>
                          </a:xfrm>
                          <a:prstGeom prst="rect">
                            <a:avLst/>
                          </a:prstGeom>
                        </pic:spPr>
                      </pic:pic>
                    </a:graphicData>
                  </a:graphic>
                </wp:inline>
              </w:drawing>
            </w:r>
            <w:r>
              <w:rPr/>
              <w:t> </w:t>
            </w:r>
          </w:p>
        </w:tc>
        <w:tc>
          <w:tcPr>
            <w:tcW w:w="395" w:type="dxa"/>
            <w:tcBorders/>
            <w:shd w:fill="auto" w:val="clear"/>
            <w:vAlign w:val="center"/>
          </w:tcPr>
          <w:p>
            <w:pPr>
              <w:pStyle w:val="TableContents"/>
              <w:spacing w:before="0" w:after="283"/>
              <w:jc w:val="right"/>
              <w:rPr/>
            </w:pPr>
            <w:r>
              <w:rPr>
                <w:color w:val="00ADEE"/>
              </w:rPr>
              <w:t>  </w:t>
            </w:r>
            <w:r>
              <w:rPr>
                <w:b/>
                <w:color w:val="00ADEE"/>
              </w:rPr>
              <w:t>/  </w:t>
            </w:r>
            <w:r>
              <w:rPr>
                <w:b/>
              </w:rPr>
              <w:t>i</w:t>
            </w:r>
          </w:p>
        </w:tc>
      </w:tr>
      <w:tr>
        <w:trPr/>
        <w:tc>
          <w:tcPr>
            <w:tcW w:w="843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39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570"/>
        <w:ind w:left="0" w:right="0" w:hanging="0"/>
        <w:rPr>
          <w:rFonts w:ascii="Arial" w:hAnsi="Arial"/>
          <w:color w:val="245BA7"/>
          <w:sz w:val="47"/>
        </w:rPr>
      </w:pPr>
      <w:bookmarkStart w:id="10" w:name="new_id-5"/>
      <w:bookmarkEnd w:id="10"/>
      <w:r>
        <w:rPr>
          <w:rFonts w:ascii="Arial" w:hAnsi="Arial"/>
          <w:b/>
          <w:color w:val="245BA7"/>
          <w:sz w:val="47"/>
        </w:rPr>
        <w:t>TABLE OF CONTENTS</w:t>
      </w:r>
      <w:r>
        <w:rPr>
          <w:rFonts w:ascii="Arial" w:hAnsi="Arial"/>
          <w:color w:val="245BA7"/>
          <w:sz w:val="47"/>
        </w:rPr>
        <w:t xml:space="preserve"> (CONT.) </w:t>
      </w:r>
    </w:p>
    <w:p>
      <w:pPr>
        <w:pStyle w:val="TextBody"/>
        <w:pBdr/>
        <w:spacing w:before="0" w:after="0"/>
        <w:ind w:left="0" w:right="0" w:hanging="0"/>
        <w:rPr>
          <w:rFonts w:ascii="Arial" w:hAnsi="Arial"/>
          <w:color w:val="000000"/>
          <w:sz w:val="20"/>
        </w:rPr>
      </w:pPr>
      <w:r>
        <w:rPr>
          <w:rFonts w:ascii="Arial" w:hAnsi="Arial"/>
          <w:color w:val="000000"/>
          <w:sz w:val="20"/>
        </w:rPr>
        <w:br/>
        <w:t>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3110230" cy="7889240"/>
                <wp:effectExtent l="0" t="0" r="0" b="0"/>
                <wp:wrapSquare wrapText="largest"/>
                <wp:docPr id="34" name="Frame3"/>
                <a:graphic xmlns:a="http://schemas.openxmlformats.org/drawingml/2006/main">
                  <a:graphicData uri="http://schemas.microsoft.com/office/word/2010/wordprocessingShape">
                    <wps:wsp>
                      <wps:cNvSpPr txBox="1"/>
                      <wps:spPr>
                        <a:xfrm>
                          <a:off x="0" y="0"/>
                          <a:ext cx="3110230" cy="7889240"/>
                        </a:xfrm>
                        <a:prstGeom prst="rect"/>
                      </wps:spPr>
                      <wps:txbx>
                        <w:txbxContent>
                          <w:tbl>
                            <w:tblPr>
                              <w:tblW w:w="3445" w:type="dxa"/>
                              <w:jc w:val="left"/>
                              <w:tblInd w:w="0" w:type="dxa"/>
                              <w:tblCellMar>
                                <w:top w:w="0" w:type="dxa"/>
                                <w:left w:w="0" w:type="dxa"/>
                                <w:bottom w:w="0" w:type="dxa"/>
                                <w:right w:w="0" w:type="dxa"/>
                              </w:tblCellMar>
                            </w:tblPr>
                            <w:tblGrid>
                              <w:gridCol w:w="3110"/>
                              <w:gridCol w:w="335"/>
                            </w:tblGrid>
                            <w:tr>
                              <w:trPr/>
                              <w:tc>
                                <w:tcPr>
                                  <w:tcW w:w="3110" w:type="dxa"/>
                                  <w:tcBorders/>
                                  <w:shd w:fill="auto" w:val="clear"/>
                                  <w:vAlign w:val="center"/>
                                </w:tcPr>
                                <w:p>
                                  <w:pPr>
                                    <w:pStyle w:val="TableContents"/>
                                    <w:pBdr/>
                                    <w:spacing w:before="0" w:after="60"/>
                                    <w:ind w:left="300" w:right="105" w:hanging="0"/>
                                    <w:rPr/>
                                  </w:pPr>
                                  <w:hyperlink w:anchor="new_id-100">
                                    <w:r>
                                      <w:rPr>
                                        <w:rStyle w:val="InternetLink"/>
                                        <w:rFonts w:ascii="Arial" w:hAnsi="Arial"/>
                                        <w:strike w:val="false"/>
                                        <w:dstrike w:val="false"/>
                                        <w:color w:val="000000"/>
                                        <w:sz w:val="21"/>
                                        <w:u w:val="none"/>
                                        <w:effect w:val="none"/>
                                      </w:rPr>
                                      <w:t>2022 Compensation Highlights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0">
                                    <w:r>
                                      <w:rPr>
                                        <w:rStyle w:val="InternetLink"/>
                                        <w:rFonts w:ascii="Arial" w:hAnsi="Arial"/>
                                        <w:strike w:val="false"/>
                                        <w:dstrike w:val="false"/>
                                        <w:color w:val="000000"/>
                                        <w:sz w:val="21"/>
                                        <w:u w:val="none"/>
                                        <w:effect w:val="none"/>
                                      </w:rPr>
                                      <w:t>57</w:t>
                                    </w:r>
                                  </w:hyperlink>
                                  <w:r>
                                    <w:rPr>
                                      <w:rFonts w:ascii="Arial" w:hAnsi="Arial"/>
                                      <w:color w:val="000000"/>
                                      <w:sz w:val="21"/>
                                    </w:rPr>
                                    <w:t xml:space="preserve"> </w:t>
                                  </w:r>
                                </w:p>
                              </w:tc>
                            </w:tr>
                          </w:tbl>
                          <w:tbl>
                            <w:tblPr>
                              <w:tblW w:w="4405" w:type="dxa"/>
                              <w:jc w:val="left"/>
                              <w:tblInd w:w="0" w:type="dxa"/>
                              <w:tblCellMar>
                                <w:top w:w="0" w:type="dxa"/>
                                <w:left w:w="0" w:type="dxa"/>
                                <w:bottom w:w="0" w:type="dxa"/>
                                <w:right w:w="0" w:type="dxa"/>
                              </w:tblCellMar>
                            </w:tblPr>
                            <w:tblGrid>
                              <w:gridCol w:w="4070"/>
                              <w:gridCol w:w="335"/>
                            </w:tblGrid>
                            <w:tr>
                              <w:trPr/>
                              <w:tc>
                                <w:tcPr>
                                  <w:tcW w:w="4070" w:type="dxa"/>
                                  <w:tcBorders/>
                                  <w:shd w:fill="auto" w:val="clear"/>
                                  <w:vAlign w:val="center"/>
                                </w:tcPr>
                                <w:p>
                                  <w:pPr>
                                    <w:pStyle w:val="TableContents"/>
                                    <w:pBdr/>
                                    <w:spacing w:before="0" w:after="60"/>
                                    <w:ind w:left="300" w:right="105" w:hanging="0"/>
                                    <w:rPr/>
                                  </w:pPr>
                                  <w:hyperlink w:anchor="new_id-102">
                                    <w:r>
                                      <w:rPr>
                                        <w:rStyle w:val="InternetLink"/>
                                        <w:rFonts w:ascii="Arial" w:hAnsi="Arial"/>
                                        <w:strike w:val="false"/>
                                        <w:dstrike w:val="false"/>
                                        <w:color w:val="000000"/>
                                        <w:sz w:val="21"/>
                                        <w:u w:val="none"/>
                                        <w:effect w:val="none"/>
                                      </w:rPr>
                                      <w:t>Shareholder Engagement and Feedback</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2">
                                    <w:r>
                                      <w:rPr>
                                        <w:rStyle w:val="InternetLink"/>
                                        <w:rFonts w:ascii="Arial" w:hAnsi="Arial"/>
                                        <w:strike w:val="false"/>
                                        <w:dstrike w:val="false"/>
                                        <w:color w:val="000000"/>
                                        <w:sz w:val="21"/>
                                        <w:u w:val="none"/>
                                        <w:effect w:val="none"/>
                                      </w:rPr>
                                      <w:t>58</w:t>
                                    </w:r>
                                  </w:hyperlink>
                                  <w:r>
                                    <w:rPr>
                                      <w:rFonts w:ascii="Arial" w:hAnsi="Arial"/>
                                      <w:color w:val="000000"/>
                                      <w:sz w:val="21"/>
                                    </w:rPr>
                                    <w:t xml:space="preserve"> </w:t>
                                  </w:r>
                                </w:p>
                              </w:tc>
                            </w:tr>
                          </w:tbl>
                          <w:tbl>
                            <w:tblPr>
                              <w:tblW w:w="3340" w:type="dxa"/>
                              <w:jc w:val="left"/>
                              <w:tblInd w:w="0" w:type="dxa"/>
                              <w:tblCellMar>
                                <w:top w:w="0" w:type="dxa"/>
                                <w:left w:w="0" w:type="dxa"/>
                                <w:bottom w:w="0" w:type="dxa"/>
                                <w:right w:w="0" w:type="dxa"/>
                              </w:tblCellMar>
                            </w:tblPr>
                            <w:tblGrid>
                              <w:gridCol w:w="3005"/>
                              <w:gridCol w:w="335"/>
                            </w:tblGrid>
                            <w:tr>
                              <w:trPr/>
                              <w:tc>
                                <w:tcPr>
                                  <w:tcW w:w="3005" w:type="dxa"/>
                                  <w:tcBorders/>
                                  <w:shd w:fill="auto" w:val="clear"/>
                                  <w:vAlign w:val="center"/>
                                </w:tcPr>
                                <w:p>
                                  <w:pPr>
                                    <w:pStyle w:val="TableContents"/>
                                    <w:pBdr/>
                                    <w:spacing w:before="0" w:after="60"/>
                                    <w:ind w:left="300" w:right="105" w:hanging="0"/>
                                    <w:rPr/>
                                  </w:pPr>
                                  <w:hyperlink w:anchor="new_id-103">
                                    <w:r>
                                      <w:rPr>
                                        <w:rStyle w:val="InternetLink"/>
                                        <w:rFonts w:ascii="Arial" w:hAnsi="Arial"/>
                                        <w:strike w:val="false"/>
                                        <w:dstrike w:val="false"/>
                                        <w:color w:val="000000"/>
                                        <w:sz w:val="21"/>
                                        <w:u w:val="none"/>
                                        <w:effect w:val="none"/>
                                      </w:rPr>
                                      <w:t>How Our Pay Program Works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3">
                                    <w:r>
                                      <w:rPr>
                                        <w:rStyle w:val="InternetLink"/>
                                        <w:rFonts w:ascii="Arial" w:hAnsi="Arial"/>
                                        <w:strike w:val="false"/>
                                        <w:dstrike w:val="false"/>
                                        <w:color w:val="000000"/>
                                        <w:sz w:val="21"/>
                                        <w:u w:val="none"/>
                                        <w:effect w:val="none"/>
                                      </w:rPr>
                                      <w:t>59</w:t>
                                    </w:r>
                                  </w:hyperlink>
                                  <w:r>
                                    <w:rPr>
                                      <w:rFonts w:ascii="Arial" w:hAnsi="Arial"/>
                                      <w:color w:val="000000"/>
                                      <w:sz w:val="21"/>
                                    </w:rPr>
                                    <w:t xml:space="preserve"> </w:t>
                                  </w:r>
                                </w:p>
                              </w:tc>
                            </w:tr>
                          </w:tbl>
                          <w:tbl>
                            <w:tblPr>
                              <w:tblW w:w="3040" w:type="dxa"/>
                              <w:jc w:val="left"/>
                              <w:tblInd w:w="0" w:type="dxa"/>
                              <w:tblCellMar>
                                <w:top w:w="0" w:type="dxa"/>
                                <w:left w:w="0" w:type="dxa"/>
                                <w:bottom w:w="0" w:type="dxa"/>
                                <w:right w:w="0" w:type="dxa"/>
                              </w:tblCellMar>
                            </w:tblPr>
                            <w:tblGrid>
                              <w:gridCol w:w="2705"/>
                              <w:gridCol w:w="335"/>
                            </w:tblGrid>
                            <w:tr>
                              <w:trPr/>
                              <w:tc>
                                <w:tcPr>
                                  <w:tcW w:w="2705" w:type="dxa"/>
                                  <w:tcBorders/>
                                  <w:shd w:fill="auto" w:val="clear"/>
                                  <w:vAlign w:val="center"/>
                                </w:tcPr>
                                <w:p>
                                  <w:pPr>
                                    <w:pStyle w:val="TableContents"/>
                                    <w:pBdr/>
                                    <w:spacing w:before="0" w:after="60"/>
                                    <w:ind w:left="300" w:right="105" w:hanging="0"/>
                                    <w:rPr/>
                                  </w:pPr>
                                  <w:hyperlink w:anchor="new_id-104">
                                    <w:r>
                                      <w:rPr>
                                        <w:rStyle w:val="InternetLink"/>
                                        <w:rFonts w:ascii="Arial" w:hAnsi="Arial"/>
                                        <w:strike w:val="false"/>
                                        <w:dstrike w:val="false"/>
                                        <w:color w:val="000000"/>
                                        <w:sz w:val="21"/>
                                        <w:u w:val="none"/>
                                        <w:effect w:val="none"/>
                                      </w:rPr>
                                      <w:t>Key Governance Features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4">
                                    <w:r>
                                      <w:rPr>
                                        <w:rStyle w:val="InternetLink"/>
                                        <w:rFonts w:ascii="Arial" w:hAnsi="Arial"/>
                                        <w:strike w:val="false"/>
                                        <w:dstrike w:val="false"/>
                                        <w:color w:val="000000"/>
                                        <w:sz w:val="21"/>
                                        <w:u w:val="none"/>
                                        <w:effect w:val="none"/>
                                      </w:rPr>
                                      <w:t>60</w:t>
                                    </w:r>
                                  </w:hyperlink>
                                  <w:r>
                                    <w:rPr>
                                      <w:rFonts w:ascii="Arial" w:hAnsi="Arial"/>
                                      <w:color w:val="000000"/>
                                      <w:sz w:val="21"/>
                                    </w:rPr>
                                    <w:t xml:space="preserve"> </w:t>
                                  </w:r>
                                </w:p>
                              </w:tc>
                            </w:tr>
                          </w:tbl>
                          <w:tbl>
                            <w:tblPr>
                              <w:tblW w:w="4105" w:type="dxa"/>
                              <w:jc w:val="left"/>
                              <w:tblInd w:w="0" w:type="dxa"/>
                              <w:tblCellMar>
                                <w:top w:w="0" w:type="dxa"/>
                                <w:left w:w="0" w:type="dxa"/>
                                <w:bottom w:w="0" w:type="dxa"/>
                                <w:right w:w="0" w:type="dxa"/>
                              </w:tblCellMar>
                            </w:tblPr>
                            <w:tblGrid>
                              <w:gridCol w:w="3770"/>
                              <w:gridCol w:w="335"/>
                            </w:tblGrid>
                            <w:tr>
                              <w:trPr/>
                              <w:tc>
                                <w:tcPr>
                                  <w:tcW w:w="3770" w:type="dxa"/>
                                  <w:tcBorders/>
                                  <w:shd w:fill="auto" w:val="clear"/>
                                  <w:vAlign w:val="center"/>
                                </w:tcPr>
                                <w:p>
                                  <w:pPr>
                                    <w:pStyle w:val="TableContents"/>
                                    <w:pBdr/>
                                    <w:spacing w:before="0" w:after="60"/>
                                    <w:ind w:left="0" w:right="105" w:hanging="0"/>
                                    <w:rPr/>
                                  </w:pPr>
                                  <w:hyperlink w:anchor="new_id-107">
                                    <w:r>
                                      <w:rPr>
                                        <w:rStyle w:val="InternetLink"/>
                                        <w:rFonts w:ascii="Arial" w:hAnsi="Arial"/>
                                        <w:b/>
                                        <w:strike w:val="false"/>
                                        <w:dstrike w:val="false"/>
                                        <w:color w:val="245BA7"/>
                                        <w:sz w:val="21"/>
                                        <w:u w:val="none"/>
                                        <w:effect w:val="none"/>
                                      </w:rPr>
                                      <w:t>Compensation Program Objectives</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7">
                                    <w:r>
                                      <w:rPr>
                                        <w:rStyle w:val="InternetLink"/>
                                        <w:rFonts w:ascii="Arial" w:hAnsi="Arial"/>
                                        <w:b/>
                                        <w:strike w:val="false"/>
                                        <w:dstrike w:val="false"/>
                                        <w:color w:val="245BA7"/>
                                        <w:sz w:val="21"/>
                                        <w:u w:val="none"/>
                                        <w:effect w:val="none"/>
                                      </w:rPr>
                                      <w:t>61</w:t>
                                    </w:r>
                                  </w:hyperlink>
                                  <w:r>
                                    <w:rPr>
                                      <w:rFonts w:ascii="Arial" w:hAnsi="Arial"/>
                                      <w:b/>
                                      <w:color w:val="245BA7"/>
                                      <w:sz w:val="21"/>
                                    </w:rPr>
                                    <w:t xml:space="preserve"> </w:t>
                                  </w:r>
                                </w:p>
                              </w:tc>
                            </w:tr>
                          </w:tbl>
                          <w:tbl>
                            <w:tblPr>
                              <w:tblW w:w="3835" w:type="dxa"/>
                              <w:jc w:val="left"/>
                              <w:tblInd w:w="0" w:type="dxa"/>
                              <w:tblCellMar>
                                <w:top w:w="0" w:type="dxa"/>
                                <w:left w:w="0" w:type="dxa"/>
                                <w:bottom w:w="0" w:type="dxa"/>
                                <w:right w:w="0" w:type="dxa"/>
                              </w:tblCellMar>
                            </w:tblPr>
                            <w:tblGrid>
                              <w:gridCol w:w="3500"/>
                              <w:gridCol w:w="335"/>
                            </w:tblGrid>
                            <w:tr>
                              <w:trPr/>
                              <w:tc>
                                <w:tcPr>
                                  <w:tcW w:w="3500" w:type="dxa"/>
                                  <w:tcBorders/>
                                  <w:shd w:fill="auto" w:val="clear"/>
                                  <w:vAlign w:val="center"/>
                                </w:tcPr>
                                <w:p>
                                  <w:pPr>
                                    <w:pStyle w:val="TableContents"/>
                                    <w:pBdr/>
                                    <w:spacing w:before="0" w:after="60"/>
                                    <w:ind w:left="0" w:right="105" w:hanging="0"/>
                                    <w:rPr/>
                                  </w:pPr>
                                  <w:hyperlink w:anchor="new_id-108">
                                    <w:r>
                                      <w:rPr>
                                        <w:rStyle w:val="InternetLink"/>
                                        <w:rFonts w:ascii="Arial" w:hAnsi="Arial"/>
                                        <w:b/>
                                        <w:strike w:val="false"/>
                                        <w:dstrike w:val="false"/>
                                        <w:color w:val="245BA7"/>
                                        <w:sz w:val="21"/>
                                        <w:u w:val="none"/>
                                        <w:effect w:val="none"/>
                                      </w:rPr>
                                      <w:t>Components of Executive Pay:</w:t>
                                      <w:br/>
                                      <w:t>What We Pay and Why We Pay It</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8">
                                    <w:r>
                                      <w:rPr>
                                        <w:rStyle w:val="InternetLink"/>
                                        <w:rFonts w:ascii="Arial" w:hAnsi="Arial"/>
                                        <w:b/>
                                        <w:strike w:val="false"/>
                                        <w:dstrike w:val="false"/>
                                        <w:color w:val="245BA7"/>
                                        <w:sz w:val="21"/>
                                        <w:u w:val="none"/>
                                        <w:effect w:val="none"/>
                                      </w:rPr>
                                      <w:t>62</w:t>
                                    </w:r>
                                  </w:hyperlink>
                                  <w:r>
                                    <w:rPr>
                                      <w:rFonts w:ascii="Arial" w:hAnsi="Arial"/>
                                      <w:b/>
                                      <w:color w:val="245BA7"/>
                                      <w:sz w:val="21"/>
                                    </w:rPr>
                                    <w:t xml:space="preserve"> </w:t>
                                  </w:r>
                                </w:p>
                              </w:tc>
                            </w:tr>
                          </w:tbl>
                          <w:tbl>
                            <w:tblPr>
                              <w:tblW w:w="1840" w:type="dxa"/>
                              <w:jc w:val="left"/>
                              <w:tblInd w:w="0" w:type="dxa"/>
                              <w:tblCellMar>
                                <w:top w:w="0" w:type="dxa"/>
                                <w:left w:w="0" w:type="dxa"/>
                                <w:bottom w:w="0" w:type="dxa"/>
                                <w:right w:w="0" w:type="dxa"/>
                              </w:tblCellMar>
                            </w:tblPr>
                            <w:tblGrid>
                              <w:gridCol w:w="1505"/>
                              <w:gridCol w:w="335"/>
                            </w:tblGrid>
                            <w:tr>
                              <w:trPr/>
                              <w:tc>
                                <w:tcPr>
                                  <w:tcW w:w="1505" w:type="dxa"/>
                                  <w:tcBorders/>
                                  <w:shd w:fill="auto" w:val="clear"/>
                                  <w:vAlign w:val="center"/>
                                </w:tcPr>
                                <w:p>
                                  <w:pPr>
                                    <w:pStyle w:val="TableContents"/>
                                    <w:pBdr/>
                                    <w:spacing w:before="0" w:after="60"/>
                                    <w:ind w:left="300" w:right="105" w:hanging="0"/>
                                    <w:rPr/>
                                  </w:pPr>
                                  <w:hyperlink w:anchor="new_id-111">
                                    <w:r>
                                      <w:rPr>
                                        <w:rStyle w:val="InternetLink"/>
                                        <w:rFonts w:ascii="Arial" w:hAnsi="Arial"/>
                                        <w:strike w:val="false"/>
                                        <w:dstrike w:val="false"/>
                                        <w:color w:val="000000"/>
                                        <w:sz w:val="21"/>
                                        <w:u w:val="none"/>
                                        <w:effect w:val="none"/>
                                      </w:rPr>
                                      <w:t>Base Salaries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11">
                                    <w:r>
                                      <w:rPr>
                                        <w:rStyle w:val="InternetLink"/>
                                        <w:rFonts w:ascii="Arial" w:hAnsi="Arial"/>
                                        <w:strike w:val="false"/>
                                        <w:dstrike w:val="false"/>
                                        <w:color w:val="000000"/>
                                        <w:sz w:val="21"/>
                                        <w:u w:val="none"/>
                                        <w:effect w:val="none"/>
                                      </w:rPr>
                                      <w:t>63</w:t>
                                    </w:r>
                                  </w:hyperlink>
                                  <w:r>
                                    <w:rPr>
                                      <w:rFonts w:ascii="Arial" w:hAnsi="Arial"/>
                                      <w:color w:val="000000"/>
                                      <w:sz w:val="21"/>
                                    </w:rPr>
                                    <w:t xml:space="preserve"> </w:t>
                                  </w:r>
                                </w:p>
                              </w:tc>
                            </w:tr>
                          </w:tbl>
                          <w:tbl>
                            <w:tblPr>
                              <w:tblW w:w="2770" w:type="dxa"/>
                              <w:jc w:val="left"/>
                              <w:tblInd w:w="0" w:type="dxa"/>
                              <w:tblCellMar>
                                <w:top w:w="0" w:type="dxa"/>
                                <w:left w:w="0" w:type="dxa"/>
                                <w:bottom w:w="0" w:type="dxa"/>
                                <w:right w:w="0" w:type="dxa"/>
                              </w:tblCellMar>
                            </w:tblPr>
                            <w:tblGrid>
                              <w:gridCol w:w="2435"/>
                              <w:gridCol w:w="335"/>
                            </w:tblGrid>
                            <w:tr>
                              <w:trPr/>
                              <w:tc>
                                <w:tcPr>
                                  <w:tcW w:w="2435" w:type="dxa"/>
                                  <w:tcBorders/>
                                  <w:shd w:fill="auto" w:val="clear"/>
                                  <w:vAlign w:val="center"/>
                                </w:tcPr>
                                <w:p>
                                  <w:pPr>
                                    <w:pStyle w:val="TableContents"/>
                                    <w:pBdr/>
                                    <w:spacing w:before="0" w:after="60"/>
                                    <w:ind w:left="300" w:right="105" w:hanging="0"/>
                                    <w:rPr/>
                                  </w:pPr>
                                  <w:hyperlink w:anchor="new_id-113">
                                    <w:r>
                                      <w:rPr>
                                        <w:rStyle w:val="InternetLink"/>
                                        <w:rFonts w:ascii="Arial" w:hAnsi="Arial"/>
                                        <w:strike w:val="false"/>
                                        <w:dstrike w:val="false"/>
                                        <w:color w:val="000000"/>
                                        <w:sz w:val="21"/>
                                        <w:u w:val="none"/>
                                        <w:effect w:val="none"/>
                                      </w:rPr>
                                      <w:t>Annual Cash Incentives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13">
                                    <w:r>
                                      <w:rPr>
                                        <w:rStyle w:val="InternetLink"/>
                                        <w:rFonts w:ascii="Arial" w:hAnsi="Arial"/>
                                        <w:strike w:val="false"/>
                                        <w:dstrike w:val="false"/>
                                        <w:color w:val="000000"/>
                                        <w:sz w:val="21"/>
                                        <w:u w:val="none"/>
                                        <w:effect w:val="none"/>
                                      </w:rPr>
                                      <w:t>63</w:t>
                                    </w:r>
                                  </w:hyperlink>
                                  <w:r>
                                    <w:rPr>
                                      <w:rFonts w:ascii="Arial" w:hAnsi="Arial"/>
                                      <w:color w:val="000000"/>
                                      <w:sz w:val="21"/>
                                    </w:rPr>
                                    <w:t xml:space="preserve"> </w:t>
                                  </w:r>
                                </w:p>
                              </w:tc>
                            </w:tr>
                          </w:tbl>
                          <w:tbl>
                            <w:tblPr>
                              <w:tblW w:w="2605" w:type="dxa"/>
                              <w:jc w:val="left"/>
                              <w:tblInd w:w="0" w:type="dxa"/>
                              <w:tblCellMar>
                                <w:top w:w="0" w:type="dxa"/>
                                <w:left w:w="0" w:type="dxa"/>
                                <w:bottom w:w="0" w:type="dxa"/>
                                <w:right w:w="0" w:type="dxa"/>
                              </w:tblCellMar>
                            </w:tblPr>
                            <w:tblGrid>
                              <w:gridCol w:w="2270"/>
                              <w:gridCol w:w="335"/>
                            </w:tblGrid>
                            <w:tr>
                              <w:trPr/>
                              <w:tc>
                                <w:tcPr>
                                  <w:tcW w:w="2270" w:type="dxa"/>
                                  <w:tcBorders/>
                                  <w:shd w:fill="auto" w:val="clear"/>
                                  <w:vAlign w:val="center"/>
                                </w:tcPr>
                                <w:p>
                                  <w:pPr>
                                    <w:pStyle w:val="TableContents"/>
                                    <w:pBdr/>
                                    <w:spacing w:before="0" w:after="60"/>
                                    <w:ind w:left="300" w:right="105" w:hanging="0"/>
                                    <w:rPr/>
                                  </w:pPr>
                                  <w:hyperlink w:anchor="new_id-118">
                                    <w:r>
                                      <w:rPr>
                                        <w:rStyle w:val="InternetLink"/>
                                        <w:rFonts w:ascii="Arial" w:hAnsi="Arial"/>
                                        <w:strike w:val="false"/>
                                        <w:dstrike w:val="false"/>
                                        <w:color w:val="000000"/>
                                        <w:sz w:val="21"/>
                                        <w:u w:val="none"/>
                                        <w:effect w:val="none"/>
                                      </w:rPr>
                                      <w:t>Annual Equity Awards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18">
                                    <w:r>
                                      <w:rPr>
                                        <w:rStyle w:val="InternetLink"/>
                                        <w:rFonts w:ascii="Arial" w:hAnsi="Arial"/>
                                        <w:strike w:val="false"/>
                                        <w:dstrike w:val="false"/>
                                        <w:color w:val="000000"/>
                                        <w:sz w:val="21"/>
                                        <w:u w:val="none"/>
                                        <w:effect w:val="none"/>
                                      </w:rPr>
                                      <w:t>67</w:t>
                                    </w:r>
                                  </w:hyperlink>
                                  <w:r>
                                    <w:rPr>
                                      <w:rFonts w:ascii="Arial" w:hAnsi="Arial"/>
                                      <w:color w:val="000000"/>
                                      <w:sz w:val="21"/>
                                    </w:rPr>
                                    <w:t xml:space="preserve"> </w:t>
                                  </w:r>
                                </w:p>
                              </w:tc>
                            </w:tr>
                          </w:tbl>
                          <w:tbl>
                            <w:tblPr>
                              <w:tblW w:w="3730" w:type="dxa"/>
                              <w:jc w:val="left"/>
                              <w:tblInd w:w="0" w:type="dxa"/>
                              <w:tblCellMar>
                                <w:top w:w="0" w:type="dxa"/>
                                <w:left w:w="0" w:type="dxa"/>
                                <w:bottom w:w="0" w:type="dxa"/>
                                <w:right w:w="0" w:type="dxa"/>
                              </w:tblCellMar>
                            </w:tblPr>
                            <w:tblGrid>
                              <w:gridCol w:w="3395"/>
                              <w:gridCol w:w="335"/>
                            </w:tblGrid>
                            <w:tr>
                              <w:trPr/>
                              <w:tc>
                                <w:tcPr>
                                  <w:tcW w:w="3395" w:type="dxa"/>
                                  <w:tcBorders/>
                                  <w:shd w:fill="auto" w:val="clear"/>
                                  <w:vAlign w:val="center"/>
                                </w:tcPr>
                                <w:p>
                                  <w:pPr>
                                    <w:pStyle w:val="TableContents"/>
                                    <w:pBdr/>
                                    <w:spacing w:before="0" w:after="60"/>
                                    <w:ind w:left="300" w:right="105" w:hanging="0"/>
                                    <w:rPr/>
                                  </w:pPr>
                                  <w:hyperlink w:anchor="new_id-123">
                                    <w:r>
                                      <w:rPr>
                                        <w:rStyle w:val="InternetLink"/>
                                        <w:rFonts w:ascii="Arial" w:hAnsi="Arial"/>
                                        <w:strike w:val="false"/>
                                        <w:dstrike w:val="false"/>
                                        <w:color w:val="000000"/>
                                        <w:sz w:val="21"/>
                                        <w:u w:val="none"/>
                                        <w:effect w:val="none"/>
                                      </w:rPr>
                                      <w:t>Perquisites and Personal Benefits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3">
                                    <w:r>
                                      <w:rPr>
                                        <w:rStyle w:val="InternetLink"/>
                                        <w:rFonts w:ascii="Arial" w:hAnsi="Arial"/>
                                        <w:strike w:val="false"/>
                                        <w:dstrike w:val="false"/>
                                        <w:color w:val="000000"/>
                                        <w:sz w:val="21"/>
                                        <w:u w:val="none"/>
                                        <w:effect w:val="none"/>
                                      </w:rPr>
                                      <w:t>70</w:t>
                                    </w:r>
                                  </w:hyperlink>
                                  <w:r>
                                    <w:rPr>
                                      <w:rFonts w:ascii="Arial" w:hAnsi="Arial"/>
                                      <w:color w:val="000000"/>
                                      <w:sz w:val="21"/>
                                    </w:rPr>
                                    <w:t xml:space="preserve"> </w:t>
                                  </w:r>
                                </w:p>
                              </w:tc>
                            </w:tr>
                          </w:tbl>
                          <w:tbl>
                            <w:tblPr>
                              <w:tblW w:w="3445" w:type="dxa"/>
                              <w:jc w:val="left"/>
                              <w:tblInd w:w="0" w:type="dxa"/>
                              <w:tblCellMar>
                                <w:top w:w="0" w:type="dxa"/>
                                <w:left w:w="0" w:type="dxa"/>
                                <w:bottom w:w="0" w:type="dxa"/>
                                <w:right w:w="0" w:type="dxa"/>
                              </w:tblCellMar>
                            </w:tblPr>
                            <w:tblGrid>
                              <w:gridCol w:w="3110"/>
                              <w:gridCol w:w="335"/>
                            </w:tblGrid>
                            <w:tr>
                              <w:trPr/>
                              <w:tc>
                                <w:tcPr>
                                  <w:tcW w:w="3110" w:type="dxa"/>
                                  <w:tcBorders/>
                                  <w:shd w:fill="auto" w:val="clear"/>
                                  <w:vAlign w:val="center"/>
                                </w:tcPr>
                                <w:p>
                                  <w:pPr>
                                    <w:pStyle w:val="TableContents"/>
                                    <w:pBdr/>
                                    <w:spacing w:before="0" w:after="60"/>
                                    <w:ind w:left="300" w:right="105" w:hanging="0"/>
                                    <w:rPr/>
                                  </w:pPr>
                                  <w:hyperlink w:anchor="new_id-124">
                                    <w:r>
                                      <w:rPr>
                                        <w:rStyle w:val="InternetLink"/>
                                        <w:rFonts w:ascii="Arial" w:hAnsi="Arial"/>
                                        <w:strike w:val="false"/>
                                        <w:dstrike w:val="false"/>
                                        <w:color w:val="000000"/>
                                        <w:sz w:val="21"/>
                                        <w:u w:val="none"/>
                                        <w:effect w:val="none"/>
                                      </w:rPr>
                                      <w:t>Potential Severance Payments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4">
                                    <w:r>
                                      <w:rPr>
                                        <w:rStyle w:val="InternetLink"/>
                                        <w:rFonts w:ascii="Arial" w:hAnsi="Arial"/>
                                        <w:strike w:val="false"/>
                                        <w:dstrike w:val="false"/>
                                        <w:color w:val="000000"/>
                                        <w:sz w:val="21"/>
                                        <w:u w:val="none"/>
                                        <w:effect w:val="none"/>
                                      </w:rPr>
                                      <w:t>70</w:t>
                                    </w:r>
                                  </w:hyperlink>
                                  <w:r>
                                    <w:rPr>
                                      <w:rFonts w:ascii="Arial" w:hAnsi="Arial"/>
                                      <w:color w:val="000000"/>
                                      <w:sz w:val="21"/>
                                    </w:rPr>
                                    <w:t xml:space="preserve"> </w:t>
                                  </w:r>
                                </w:p>
                              </w:tc>
                            </w:tr>
                          </w:tbl>
                          <w:tbl>
                            <w:tblPr>
                              <w:tblW w:w="3160" w:type="dxa"/>
                              <w:jc w:val="left"/>
                              <w:tblInd w:w="0" w:type="dxa"/>
                              <w:tblCellMar>
                                <w:top w:w="0" w:type="dxa"/>
                                <w:left w:w="0" w:type="dxa"/>
                                <w:bottom w:w="0" w:type="dxa"/>
                                <w:right w:w="0" w:type="dxa"/>
                              </w:tblCellMar>
                            </w:tblPr>
                            <w:tblGrid>
                              <w:gridCol w:w="2825"/>
                              <w:gridCol w:w="335"/>
                            </w:tblGrid>
                            <w:tr>
                              <w:trPr/>
                              <w:tc>
                                <w:tcPr>
                                  <w:tcW w:w="2825" w:type="dxa"/>
                                  <w:tcBorders/>
                                  <w:shd w:fill="auto" w:val="clear"/>
                                  <w:vAlign w:val="center"/>
                                </w:tcPr>
                                <w:p>
                                  <w:pPr>
                                    <w:pStyle w:val="TableContents"/>
                                    <w:pBdr/>
                                    <w:spacing w:before="0" w:after="60"/>
                                    <w:ind w:left="0" w:right="105" w:hanging="0"/>
                                    <w:rPr/>
                                  </w:pPr>
                                  <w:hyperlink w:anchor="new_id-125">
                                    <w:r>
                                      <w:rPr>
                                        <w:rStyle w:val="InternetLink"/>
                                        <w:rFonts w:ascii="Arial" w:hAnsi="Arial"/>
                                        <w:b/>
                                        <w:strike w:val="false"/>
                                        <w:dstrike w:val="false"/>
                                        <w:color w:val="245BA7"/>
                                        <w:sz w:val="21"/>
                                        <w:u w:val="none"/>
                                        <w:effect w:val="none"/>
                                      </w:rPr>
                                      <w:t>Compensation Processes</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5">
                                    <w:r>
                                      <w:rPr>
                                        <w:rStyle w:val="InternetLink"/>
                                        <w:rFonts w:ascii="Arial" w:hAnsi="Arial"/>
                                        <w:b/>
                                        <w:strike w:val="false"/>
                                        <w:dstrike w:val="false"/>
                                        <w:color w:val="245BA7"/>
                                        <w:sz w:val="21"/>
                                        <w:u w:val="none"/>
                                        <w:effect w:val="none"/>
                                      </w:rPr>
                                      <w:t>71</w:t>
                                    </w:r>
                                  </w:hyperlink>
                                  <w:r>
                                    <w:rPr>
                                      <w:rFonts w:ascii="Arial" w:hAnsi="Arial"/>
                                      <w:b/>
                                      <w:color w:val="245BA7"/>
                                      <w:sz w:val="21"/>
                                    </w:rPr>
                                    <w:t xml:space="preserve"> </w:t>
                                  </w:r>
                                </w:p>
                              </w:tc>
                            </w:tr>
                          </w:tbl>
                          <w:tbl>
                            <w:tblPr>
                              <w:tblW w:w="3010" w:type="dxa"/>
                              <w:jc w:val="left"/>
                              <w:tblInd w:w="0" w:type="dxa"/>
                              <w:tblCellMar>
                                <w:top w:w="0" w:type="dxa"/>
                                <w:left w:w="0" w:type="dxa"/>
                                <w:bottom w:w="0" w:type="dxa"/>
                                <w:right w:w="0" w:type="dxa"/>
                              </w:tblCellMar>
                            </w:tblPr>
                            <w:tblGrid>
                              <w:gridCol w:w="2675"/>
                              <w:gridCol w:w="335"/>
                            </w:tblGrid>
                            <w:tr>
                              <w:trPr/>
                              <w:tc>
                                <w:tcPr>
                                  <w:tcW w:w="2675" w:type="dxa"/>
                                  <w:tcBorders/>
                                  <w:shd w:fill="auto" w:val="clear"/>
                                  <w:vAlign w:val="center"/>
                                </w:tcPr>
                                <w:p>
                                  <w:pPr>
                                    <w:pStyle w:val="TableContents"/>
                                    <w:pBdr/>
                                    <w:spacing w:before="0" w:after="60"/>
                                    <w:ind w:left="300" w:right="105" w:hanging="0"/>
                                    <w:rPr/>
                                  </w:pPr>
                                  <w:hyperlink w:anchor="new_id-126">
                                    <w:r>
                                      <w:rPr>
                                        <w:rStyle w:val="InternetLink"/>
                                        <w:rFonts w:ascii="Arial" w:hAnsi="Arial"/>
                                        <w:strike w:val="false"/>
                                        <w:dstrike w:val="false"/>
                                        <w:color w:val="000000"/>
                                        <w:sz w:val="21"/>
                                        <w:u w:val="none"/>
                                        <w:effect w:val="none"/>
                                      </w:rPr>
                                      <w:t>Compensation Committee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6">
                                    <w:r>
                                      <w:rPr>
                                        <w:rStyle w:val="InternetLink"/>
                                        <w:rFonts w:ascii="Arial" w:hAnsi="Arial"/>
                                        <w:strike w:val="false"/>
                                        <w:dstrike w:val="false"/>
                                        <w:color w:val="000000"/>
                                        <w:sz w:val="21"/>
                                        <w:u w:val="none"/>
                                        <w:effect w:val="none"/>
                                      </w:rPr>
                                      <w:t>71</w:t>
                                    </w:r>
                                  </w:hyperlink>
                                  <w:r>
                                    <w:rPr>
                                      <w:rFonts w:ascii="Arial" w:hAnsi="Arial"/>
                                      <w:color w:val="000000"/>
                                      <w:sz w:val="21"/>
                                    </w:rPr>
                                    <w:t xml:space="preserve"> </w:t>
                                  </w:r>
                                </w:p>
                              </w:tc>
                            </w:tr>
                          </w:tbl>
                          <w:tbl>
                            <w:tblPr>
                              <w:tblW w:w="1795" w:type="dxa"/>
                              <w:jc w:val="left"/>
                              <w:tblInd w:w="0" w:type="dxa"/>
                              <w:tblCellMar>
                                <w:top w:w="0" w:type="dxa"/>
                                <w:left w:w="0" w:type="dxa"/>
                                <w:bottom w:w="0" w:type="dxa"/>
                                <w:right w:w="0" w:type="dxa"/>
                              </w:tblCellMar>
                            </w:tblPr>
                            <w:tblGrid>
                              <w:gridCol w:w="1460"/>
                              <w:gridCol w:w="335"/>
                            </w:tblGrid>
                            <w:tr>
                              <w:trPr/>
                              <w:tc>
                                <w:tcPr>
                                  <w:tcW w:w="1460" w:type="dxa"/>
                                  <w:tcBorders/>
                                  <w:shd w:fill="auto" w:val="clear"/>
                                  <w:vAlign w:val="center"/>
                                </w:tcPr>
                                <w:p>
                                  <w:pPr>
                                    <w:pStyle w:val="TableContents"/>
                                    <w:pBdr/>
                                    <w:spacing w:before="0" w:after="60"/>
                                    <w:ind w:left="300" w:right="105" w:hanging="0"/>
                                    <w:rPr/>
                                  </w:pPr>
                                  <w:hyperlink w:anchor="new_id-127">
                                    <w:r>
                                      <w:rPr>
                                        <w:rStyle w:val="InternetLink"/>
                                        <w:rFonts w:ascii="Arial" w:hAnsi="Arial"/>
                                        <w:strike w:val="false"/>
                                        <w:dstrike w:val="false"/>
                                        <w:color w:val="000000"/>
                                        <w:sz w:val="21"/>
                                        <w:u w:val="none"/>
                                        <w:effect w:val="none"/>
                                      </w:rPr>
                                      <w:t>Management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7">
                                    <w:r>
                                      <w:rPr>
                                        <w:rStyle w:val="InternetLink"/>
                                        <w:rFonts w:ascii="Arial" w:hAnsi="Arial"/>
                                        <w:strike w:val="false"/>
                                        <w:dstrike w:val="false"/>
                                        <w:color w:val="000000"/>
                                        <w:sz w:val="21"/>
                                        <w:u w:val="none"/>
                                        <w:effect w:val="none"/>
                                      </w:rPr>
                                      <w:t>71</w:t>
                                    </w:r>
                                  </w:hyperlink>
                                  <w:r>
                                    <w:rPr>
                                      <w:rFonts w:ascii="Arial" w:hAnsi="Arial"/>
                                      <w:color w:val="000000"/>
                                      <w:sz w:val="21"/>
                                    </w:rPr>
                                    <w:t xml:space="preserve"> </w:t>
                                  </w:r>
                                </w:p>
                              </w:tc>
                            </w:tr>
                          </w:tbl>
                          <w:tbl>
                            <w:tblPr>
                              <w:tblW w:w="7255" w:type="dxa"/>
                              <w:jc w:val="left"/>
                              <w:tblInd w:w="0" w:type="dxa"/>
                              <w:tblCellMar>
                                <w:top w:w="0" w:type="dxa"/>
                                <w:left w:w="0" w:type="dxa"/>
                                <w:bottom w:w="0" w:type="dxa"/>
                                <w:right w:w="0" w:type="dxa"/>
                              </w:tblCellMar>
                            </w:tblPr>
                            <w:tblGrid>
                              <w:gridCol w:w="6920"/>
                              <w:gridCol w:w="335"/>
                            </w:tblGrid>
                            <w:tr>
                              <w:trPr/>
                              <w:tc>
                                <w:tcPr>
                                  <w:tcW w:w="6920" w:type="dxa"/>
                                  <w:tcBorders/>
                                  <w:shd w:fill="auto" w:val="clear"/>
                                  <w:vAlign w:val="center"/>
                                </w:tcPr>
                                <w:p>
                                  <w:pPr>
                                    <w:pStyle w:val="TableContents"/>
                                    <w:pBdr/>
                                    <w:spacing w:before="0" w:after="60"/>
                                    <w:ind w:left="300" w:right="105" w:hanging="0"/>
                                    <w:rPr/>
                                  </w:pPr>
                                  <w:hyperlink w:anchor="new_id-128">
                                    <w:r>
                                      <w:rPr>
                                        <w:rStyle w:val="InternetLink"/>
                                        <w:rFonts w:ascii="Arial" w:hAnsi="Arial"/>
                                        <w:strike w:val="false"/>
                                        <w:dstrike w:val="false"/>
                                        <w:color w:val="000000"/>
                                        <w:sz w:val="21"/>
                                        <w:u w:val="none"/>
                                        <w:effect w:val="none"/>
                                      </w:rPr>
                                      <w:t>Shareholder Input and Outreach and the 2022 Say-on-Pay Vote Result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8">
                                    <w:r>
                                      <w:rPr>
                                        <w:rStyle w:val="InternetLink"/>
                                        <w:rFonts w:ascii="Arial" w:hAnsi="Arial"/>
                                        <w:strike w:val="false"/>
                                        <w:dstrike w:val="false"/>
                                        <w:color w:val="000000"/>
                                        <w:sz w:val="21"/>
                                        <w:u w:val="none"/>
                                        <w:effect w:val="none"/>
                                      </w:rPr>
                                      <w:t>72</w:t>
                                    </w:r>
                                  </w:hyperlink>
                                  <w:r>
                                    <w:rPr>
                                      <w:rFonts w:ascii="Arial" w:hAnsi="Arial"/>
                                      <w:color w:val="000000"/>
                                      <w:sz w:val="21"/>
                                    </w:rPr>
                                    <w:t xml:space="preserve"> </w:t>
                                  </w:r>
                                </w:p>
                              </w:tc>
                            </w:tr>
                          </w:tbl>
                          <w:tbl>
                            <w:tblPr>
                              <w:tblW w:w="4255" w:type="dxa"/>
                              <w:jc w:val="left"/>
                              <w:tblInd w:w="0" w:type="dxa"/>
                              <w:tblCellMar>
                                <w:top w:w="0" w:type="dxa"/>
                                <w:left w:w="0" w:type="dxa"/>
                                <w:bottom w:w="0" w:type="dxa"/>
                                <w:right w:w="0" w:type="dxa"/>
                              </w:tblCellMar>
                            </w:tblPr>
                            <w:tblGrid>
                              <w:gridCol w:w="3920"/>
                              <w:gridCol w:w="335"/>
                            </w:tblGrid>
                            <w:tr>
                              <w:trPr/>
                              <w:tc>
                                <w:tcPr>
                                  <w:tcW w:w="3920" w:type="dxa"/>
                                  <w:tcBorders/>
                                  <w:shd w:fill="auto" w:val="clear"/>
                                  <w:vAlign w:val="center"/>
                                </w:tcPr>
                                <w:p>
                                  <w:pPr>
                                    <w:pStyle w:val="TableContents"/>
                                    <w:pBdr/>
                                    <w:spacing w:before="0" w:after="60"/>
                                    <w:ind w:left="300" w:right="105" w:hanging="0"/>
                                    <w:rPr/>
                                  </w:pPr>
                                  <w:hyperlink w:anchor="new_id-130">
                                    <w:r>
                                      <w:rPr>
                                        <w:rStyle w:val="InternetLink"/>
                                        <w:rFonts w:ascii="Arial" w:hAnsi="Arial"/>
                                        <w:strike w:val="false"/>
                                        <w:dstrike w:val="false"/>
                                        <w:color w:val="000000"/>
                                        <w:sz w:val="21"/>
                                        <w:u w:val="none"/>
                                        <w:effect w:val="none"/>
                                      </w:rPr>
                                      <w:t>Independent Compensation Consultant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0">
                                    <w:r>
                                      <w:rPr>
                                        <w:rStyle w:val="InternetLink"/>
                                        <w:rFonts w:ascii="Arial" w:hAnsi="Arial"/>
                                        <w:strike w:val="false"/>
                                        <w:dstrike w:val="false"/>
                                        <w:color w:val="000000"/>
                                        <w:sz w:val="21"/>
                                        <w:u w:val="none"/>
                                        <w:effect w:val="none"/>
                                      </w:rPr>
                                      <w:t>74</w:t>
                                    </w:r>
                                  </w:hyperlink>
                                  <w:r>
                                    <w:rPr>
                                      <w:rFonts w:ascii="Arial" w:hAnsi="Arial"/>
                                      <w:color w:val="000000"/>
                                      <w:sz w:val="21"/>
                                    </w:rPr>
                                    <w:t xml:space="preserve"> </w:t>
                                  </w:r>
                                </w:p>
                              </w:tc>
                            </w:tr>
                          </w:tbl>
                          <w:tbl>
                            <w:tblPr>
                              <w:tblW w:w="1495" w:type="dxa"/>
                              <w:jc w:val="left"/>
                              <w:tblInd w:w="0" w:type="dxa"/>
                              <w:tblCellMar>
                                <w:top w:w="0" w:type="dxa"/>
                                <w:left w:w="0" w:type="dxa"/>
                                <w:bottom w:w="0" w:type="dxa"/>
                                <w:right w:w="0" w:type="dxa"/>
                              </w:tblCellMar>
                            </w:tblPr>
                            <w:tblGrid>
                              <w:gridCol w:w="1160"/>
                              <w:gridCol w:w="335"/>
                            </w:tblGrid>
                            <w:tr>
                              <w:trPr/>
                              <w:tc>
                                <w:tcPr>
                                  <w:tcW w:w="1160" w:type="dxa"/>
                                  <w:tcBorders/>
                                  <w:shd w:fill="auto" w:val="clear"/>
                                  <w:vAlign w:val="center"/>
                                </w:tcPr>
                                <w:p>
                                  <w:pPr>
                                    <w:pStyle w:val="TableContents"/>
                                    <w:pBdr/>
                                    <w:spacing w:before="0" w:after="60"/>
                                    <w:ind w:left="300" w:right="105" w:hanging="0"/>
                                    <w:rPr/>
                                  </w:pPr>
                                  <w:hyperlink w:anchor="new_id-131">
                                    <w:r>
                                      <w:rPr>
                                        <w:rStyle w:val="InternetLink"/>
                                        <w:rFonts w:ascii="Arial" w:hAnsi="Arial"/>
                                        <w:strike w:val="false"/>
                                        <w:dstrike w:val="false"/>
                                        <w:color w:val="000000"/>
                                        <w:sz w:val="21"/>
                                        <w:u w:val="none"/>
                                        <w:effect w:val="none"/>
                                      </w:rPr>
                                      <w:t>Peer Data</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1">
                                    <w:r>
                                      <w:rPr>
                                        <w:rStyle w:val="InternetLink"/>
                                        <w:rFonts w:ascii="Arial" w:hAnsi="Arial"/>
                                        <w:strike w:val="false"/>
                                        <w:dstrike w:val="false"/>
                                        <w:color w:val="000000"/>
                                        <w:sz w:val="21"/>
                                        <w:u w:val="none"/>
                                        <w:effect w:val="none"/>
                                      </w:rPr>
                                      <w:t>74</w:t>
                                    </w:r>
                                  </w:hyperlink>
                                  <w:r>
                                    <w:rPr>
                                      <w:rFonts w:ascii="Arial" w:hAnsi="Arial"/>
                                      <w:color w:val="000000"/>
                                      <w:sz w:val="21"/>
                                    </w:rPr>
                                    <w:t xml:space="preserve"> </w:t>
                                  </w:r>
                                </w:p>
                              </w:tc>
                            </w:tr>
                          </w:tbl>
                          <w:tbl>
                            <w:tblPr>
                              <w:tblW w:w="2155" w:type="dxa"/>
                              <w:jc w:val="left"/>
                              <w:tblInd w:w="0" w:type="dxa"/>
                              <w:tblCellMar>
                                <w:top w:w="0" w:type="dxa"/>
                                <w:left w:w="0" w:type="dxa"/>
                                <w:bottom w:w="0" w:type="dxa"/>
                                <w:right w:w="0" w:type="dxa"/>
                              </w:tblCellMar>
                            </w:tblPr>
                            <w:tblGrid>
                              <w:gridCol w:w="1820"/>
                              <w:gridCol w:w="335"/>
                            </w:tblGrid>
                            <w:tr>
                              <w:trPr/>
                              <w:tc>
                                <w:tcPr>
                                  <w:tcW w:w="1820" w:type="dxa"/>
                                  <w:tcBorders/>
                                  <w:shd w:fill="auto" w:val="clear"/>
                                  <w:vAlign w:val="center"/>
                                </w:tcPr>
                                <w:p>
                                  <w:pPr>
                                    <w:pStyle w:val="TableContents"/>
                                    <w:pBdr/>
                                    <w:spacing w:before="0" w:after="60"/>
                                    <w:ind w:left="300" w:right="105" w:hanging="0"/>
                                    <w:rPr/>
                                  </w:pPr>
                                  <w:hyperlink w:anchor="new_id-133">
                                    <w:r>
                                      <w:rPr>
                                        <w:rStyle w:val="InternetLink"/>
                                        <w:rFonts w:ascii="Arial" w:hAnsi="Arial"/>
                                        <w:strike w:val="false"/>
                                        <w:dstrike w:val="false"/>
                                        <w:color w:val="000000"/>
                                        <w:sz w:val="21"/>
                                        <w:u w:val="none"/>
                                        <w:effect w:val="none"/>
                                      </w:rPr>
                                      <w:t>Risk Assessment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3">
                                    <w:r>
                                      <w:rPr>
                                        <w:rStyle w:val="InternetLink"/>
                                        <w:rFonts w:ascii="Arial" w:hAnsi="Arial"/>
                                        <w:strike w:val="false"/>
                                        <w:dstrike w:val="false"/>
                                        <w:color w:val="000000"/>
                                        <w:sz w:val="21"/>
                                        <w:u w:val="none"/>
                                        <w:effect w:val="none"/>
                                      </w:rPr>
                                      <w:t>76</w:t>
                                    </w:r>
                                  </w:hyperlink>
                                  <w:r>
                                    <w:rPr>
                                      <w:rFonts w:ascii="Arial" w:hAnsi="Arial"/>
                                      <w:color w:val="000000"/>
                                      <w:sz w:val="21"/>
                                    </w:rPr>
                                    <w:t xml:space="preserve"> </w:t>
                                  </w:r>
                                </w:p>
                              </w:tc>
                            </w:tr>
                          </w:tbl>
                          <w:tbl>
                            <w:tblPr>
                              <w:tblW w:w="2080" w:type="dxa"/>
                              <w:jc w:val="left"/>
                              <w:tblInd w:w="0" w:type="dxa"/>
                              <w:tblCellMar>
                                <w:top w:w="0" w:type="dxa"/>
                                <w:left w:w="0" w:type="dxa"/>
                                <w:bottom w:w="0" w:type="dxa"/>
                                <w:right w:w="0" w:type="dxa"/>
                              </w:tblCellMar>
                            </w:tblPr>
                            <w:tblGrid>
                              <w:gridCol w:w="1745"/>
                              <w:gridCol w:w="335"/>
                            </w:tblGrid>
                            <w:tr>
                              <w:trPr/>
                              <w:tc>
                                <w:tcPr>
                                  <w:tcW w:w="1745" w:type="dxa"/>
                                  <w:tcBorders/>
                                  <w:shd w:fill="auto" w:val="clear"/>
                                  <w:vAlign w:val="center"/>
                                </w:tcPr>
                                <w:p>
                                  <w:pPr>
                                    <w:pStyle w:val="TableContents"/>
                                    <w:pBdr/>
                                    <w:spacing w:before="0" w:after="60"/>
                                    <w:ind w:left="300" w:right="105" w:hanging="0"/>
                                    <w:rPr/>
                                  </w:pPr>
                                  <w:hyperlink w:anchor="new_id-134">
                                    <w:r>
                                      <w:rPr>
                                        <w:rStyle w:val="InternetLink"/>
                                        <w:rFonts w:ascii="Arial" w:hAnsi="Arial"/>
                                        <w:strike w:val="false"/>
                                        <w:dstrike w:val="false"/>
                                        <w:color w:val="000000"/>
                                        <w:sz w:val="21"/>
                                        <w:u w:val="none"/>
                                        <w:effect w:val="none"/>
                                      </w:rPr>
                                      <w:t>Tax Implications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4">
                                    <w:r>
                                      <w:rPr>
                                        <w:rStyle w:val="InternetLink"/>
                                        <w:rFonts w:ascii="Arial" w:hAnsi="Arial"/>
                                        <w:strike w:val="false"/>
                                        <w:dstrike w:val="false"/>
                                        <w:color w:val="000000"/>
                                        <w:sz w:val="21"/>
                                        <w:u w:val="none"/>
                                        <w:effect w:val="none"/>
                                      </w:rPr>
                                      <w:t>76</w:t>
                                    </w:r>
                                  </w:hyperlink>
                                  <w:r>
                                    <w:rPr>
                                      <w:rFonts w:ascii="Arial" w:hAnsi="Arial"/>
                                      <w:color w:val="000000"/>
                                      <w:sz w:val="21"/>
                                    </w:rPr>
                                    <w:t xml:space="preserve"> </w:t>
                                  </w:r>
                                </w:p>
                              </w:tc>
                            </w:tr>
                          </w:tbl>
                          <w:tbl>
                            <w:tblPr>
                              <w:tblW w:w="3940" w:type="dxa"/>
                              <w:jc w:val="left"/>
                              <w:tblInd w:w="0" w:type="dxa"/>
                              <w:tblCellMar>
                                <w:top w:w="0" w:type="dxa"/>
                                <w:left w:w="0" w:type="dxa"/>
                                <w:bottom w:w="0" w:type="dxa"/>
                                <w:right w:w="0" w:type="dxa"/>
                              </w:tblCellMar>
                            </w:tblPr>
                            <w:tblGrid>
                              <w:gridCol w:w="3605"/>
                              <w:gridCol w:w="335"/>
                            </w:tblGrid>
                            <w:tr>
                              <w:trPr/>
                              <w:tc>
                                <w:tcPr>
                                  <w:tcW w:w="3605" w:type="dxa"/>
                                  <w:tcBorders/>
                                  <w:shd w:fill="auto" w:val="clear"/>
                                  <w:vAlign w:val="center"/>
                                </w:tcPr>
                                <w:p>
                                  <w:pPr>
                                    <w:pStyle w:val="TableContents"/>
                                    <w:pBdr/>
                                    <w:spacing w:before="0" w:after="60"/>
                                    <w:ind w:left="0" w:right="105" w:hanging="0"/>
                                    <w:rPr/>
                                  </w:pPr>
                                  <w:hyperlink w:anchor="new_id-135">
                                    <w:r>
                                      <w:rPr>
                                        <w:rStyle w:val="InternetLink"/>
                                        <w:rFonts w:ascii="Arial" w:hAnsi="Arial"/>
                                        <w:b/>
                                        <w:strike w:val="false"/>
                                        <w:dstrike w:val="false"/>
                                        <w:color w:val="000000"/>
                                        <w:sz w:val="21"/>
                                        <w:u w:val="none"/>
                                        <w:effect w:val="none"/>
                                      </w:rPr>
                                      <w:t>Compensation Committee Report</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5">
                                    <w:r>
                                      <w:rPr>
                                        <w:rStyle w:val="InternetLink"/>
                                        <w:rFonts w:ascii="Arial" w:hAnsi="Arial"/>
                                        <w:b/>
                                        <w:strike w:val="false"/>
                                        <w:dstrike w:val="false"/>
                                        <w:color w:val="000000"/>
                                        <w:sz w:val="21"/>
                                        <w:u w:val="none"/>
                                        <w:effect w:val="none"/>
                                      </w:rPr>
                                      <w:t>78</w:t>
                                    </w:r>
                                  </w:hyperlink>
                                  <w:r>
                                    <w:rPr>
                                      <w:rFonts w:ascii="Arial" w:hAnsi="Arial"/>
                                      <w:b/>
                                      <w:color w:val="000000"/>
                                      <w:sz w:val="21"/>
                                    </w:rPr>
                                    <w:t xml:space="preserve"> </w:t>
                                  </w:r>
                                </w:p>
                              </w:tc>
                            </w:tr>
                          </w:tbl>
                          <w:tbl>
                            <w:tblPr>
                              <w:tblW w:w="6850" w:type="dxa"/>
                              <w:jc w:val="left"/>
                              <w:tblInd w:w="0" w:type="dxa"/>
                              <w:tblCellMar>
                                <w:top w:w="0" w:type="dxa"/>
                                <w:left w:w="0" w:type="dxa"/>
                                <w:bottom w:w="0" w:type="dxa"/>
                                <w:right w:w="0" w:type="dxa"/>
                              </w:tblCellMar>
                            </w:tblPr>
                            <w:tblGrid>
                              <w:gridCol w:w="6515"/>
                              <w:gridCol w:w="335"/>
                            </w:tblGrid>
                            <w:tr>
                              <w:trPr/>
                              <w:tc>
                                <w:tcPr>
                                  <w:tcW w:w="6515" w:type="dxa"/>
                                  <w:tcBorders/>
                                  <w:shd w:fill="auto" w:val="clear"/>
                                  <w:vAlign w:val="center"/>
                                </w:tcPr>
                                <w:p>
                                  <w:pPr>
                                    <w:pStyle w:val="TableContents"/>
                                    <w:pBdr/>
                                    <w:spacing w:before="0" w:after="60"/>
                                    <w:ind w:left="0" w:right="105" w:hanging="0"/>
                                    <w:rPr/>
                                  </w:pPr>
                                  <w:hyperlink w:anchor="new_id-137">
                                    <w:r>
                                      <w:rPr>
                                        <w:rStyle w:val="InternetLink"/>
                                        <w:rFonts w:ascii="Arial" w:hAnsi="Arial"/>
                                        <w:b/>
                                        <w:strike w:val="false"/>
                                        <w:dstrike w:val="false"/>
                                        <w:color w:val="000000"/>
                                        <w:sz w:val="21"/>
                                        <w:u w:val="none"/>
                                        <w:effect w:val="none"/>
                                      </w:rPr>
                                      <w:t>Compensation Committee Interlocks and Insider Participation</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7">
                                    <w:r>
                                      <w:rPr>
                                        <w:rStyle w:val="InternetLink"/>
                                        <w:rFonts w:ascii="Arial" w:hAnsi="Arial"/>
                                        <w:b/>
                                        <w:strike w:val="false"/>
                                        <w:dstrike w:val="false"/>
                                        <w:color w:val="000000"/>
                                        <w:sz w:val="21"/>
                                        <w:u w:val="none"/>
                                        <w:effect w:val="none"/>
                                      </w:rPr>
                                      <w:t>78</w:t>
                                    </w:r>
                                  </w:hyperlink>
                                  <w:r>
                                    <w:rPr>
                                      <w:rFonts w:ascii="Arial" w:hAnsi="Arial"/>
                                      <w:b/>
                                      <w:color w:val="000000"/>
                                      <w:sz w:val="21"/>
                                    </w:rPr>
                                    <w:t xml:space="preserve"> </w:t>
                                  </w:r>
                                </w:p>
                              </w:tc>
                            </w:tr>
                          </w:tbl>
                          <w:tbl>
                            <w:tblPr>
                              <w:tblW w:w="3220" w:type="dxa"/>
                              <w:jc w:val="left"/>
                              <w:tblInd w:w="0" w:type="dxa"/>
                              <w:tblCellMar>
                                <w:top w:w="0" w:type="dxa"/>
                                <w:left w:w="0" w:type="dxa"/>
                                <w:bottom w:w="0" w:type="dxa"/>
                                <w:right w:w="0" w:type="dxa"/>
                              </w:tblCellMar>
                            </w:tblPr>
                            <w:tblGrid>
                              <w:gridCol w:w="2885"/>
                              <w:gridCol w:w="335"/>
                            </w:tblGrid>
                            <w:tr>
                              <w:trPr/>
                              <w:tc>
                                <w:tcPr>
                                  <w:tcW w:w="2885" w:type="dxa"/>
                                  <w:tcBorders/>
                                  <w:shd w:fill="auto" w:val="clear"/>
                                  <w:vAlign w:val="center"/>
                                </w:tcPr>
                                <w:p>
                                  <w:pPr>
                                    <w:pStyle w:val="TableContents"/>
                                    <w:pBdr/>
                                    <w:spacing w:before="0" w:after="60"/>
                                    <w:ind w:left="0" w:right="105" w:hanging="0"/>
                                    <w:rPr/>
                                  </w:pPr>
                                  <w:hyperlink w:anchor="new_id-138">
                                    <w:r>
                                      <w:rPr>
                                        <w:rStyle w:val="InternetLink"/>
                                        <w:rFonts w:ascii="Arial" w:hAnsi="Arial"/>
                                        <w:b/>
                                        <w:strike w:val="false"/>
                                        <w:dstrike w:val="false"/>
                                        <w:color w:val="000000"/>
                                        <w:sz w:val="21"/>
                                        <w:u w:val="none"/>
                                        <w:effect w:val="none"/>
                                      </w:rPr>
                                      <w:t>Compensation Dashboard</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8">
                                    <w:r>
                                      <w:rPr>
                                        <w:rStyle w:val="InternetLink"/>
                                        <w:rFonts w:ascii="Arial" w:hAnsi="Arial"/>
                                        <w:b/>
                                        <w:strike w:val="false"/>
                                        <w:dstrike w:val="false"/>
                                        <w:color w:val="000000"/>
                                        <w:sz w:val="21"/>
                                        <w:u w:val="none"/>
                                        <w:effect w:val="none"/>
                                      </w:rPr>
                                      <w:t>79</w:t>
                                    </w:r>
                                  </w:hyperlink>
                                  <w:r>
                                    <w:rPr>
                                      <w:rFonts w:ascii="Arial" w:hAnsi="Arial"/>
                                      <w:b/>
                                      <w:color w:val="000000"/>
                                      <w:sz w:val="21"/>
                                    </w:rPr>
                                    <w:t xml:space="preserve"> </w:t>
                                  </w:r>
                                </w:p>
                              </w:tc>
                            </w:tr>
                          </w:tbl>
                          <w:tbl>
                            <w:tblPr>
                              <w:tblW w:w="4390" w:type="dxa"/>
                              <w:jc w:val="left"/>
                              <w:tblInd w:w="0" w:type="dxa"/>
                              <w:tblCellMar>
                                <w:top w:w="0" w:type="dxa"/>
                                <w:left w:w="0" w:type="dxa"/>
                                <w:bottom w:w="0" w:type="dxa"/>
                                <w:right w:w="0" w:type="dxa"/>
                              </w:tblCellMar>
                            </w:tblPr>
                            <w:tblGrid>
                              <w:gridCol w:w="4055"/>
                              <w:gridCol w:w="335"/>
                            </w:tblGrid>
                            <w:tr>
                              <w:trPr/>
                              <w:tc>
                                <w:tcPr>
                                  <w:tcW w:w="4055" w:type="dxa"/>
                                  <w:tcBorders/>
                                  <w:shd w:fill="auto" w:val="clear"/>
                                  <w:vAlign w:val="center"/>
                                </w:tcPr>
                                <w:p>
                                  <w:pPr>
                                    <w:pStyle w:val="TableContents"/>
                                    <w:pBdr/>
                                    <w:spacing w:before="0" w:after="60"/>
                                    <w:ind w:left="0" w:right="105" w:hanging="0"/>
                                    <w:rPr/>
                                  </w:pPr>
                                  <w:hyperlink w:anchor="new_id-139">
                                    <w:r>
                                      <w:rPr>
                                        <w:rStyle w:val="InternetLink"/>
                                        <w:rFonts w:ascii="Arial" w:hAnsi="Arial"/>
                                        <w:b/>
                                        <w:strike w:val="false"/>
                                        <w:dstrike w:val="false"/>
                                        <w:color w:val="245BA7"/>
                                        <w:sz w:val="21"/>
                                        <w:u w:val="none"/>
                                        <w:effect w:val="none"/>
                                      </w:rPr>
                                      <w:t>2022 Executive Compensation Tables</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9">
                                    <w:r>
                                      <w:rPr>
                                        <w:rStyle w:val="InternetLink"/>
                                        <w:rFonts w:ascii="Arial" w:hAnsi="Arial"/>
                                        <w:b/>
                                        <w:strike w:val="false"/>
                                        <w:dstrike w:val="false"/>
                                        <w:color w:val="245BA7"/>
                                        <w:sz w:val="21"/>
                                        <w:u w:val="none"/>
                                        <w:effect w:val="none"/>
                                      </w:rPr>
                                      <w:t>79</w:t>
                                    </w:r>
                                  </w:hyperlink>
                                  <w:r>
                                    <w:rPr>
                                      <w:rFonts w:ascii="Arial" w:hAnsi="Arial"/>
                                      <w:b/>
                                      <w:color w:val="245BA7"/>
                                      <w:sz w:val="21"/>
                                    </w:rPr>
                                    <w:t xml:space="preserve"> </w:t>
                                  </w:r>
                                </w:p>
                              </w:tc>
                            </w:tr>
                          </w:tbl>
                          <w:tbl>
                            <w:tblPr>
                              <w:tblW w:w="4030" w:type="dxa"/>
                              <w:jc w:val="left"/>
                              <w:tblInd w:w="0" w:type="dxa"/>
                              <w:tblCellMar>
                                <w:top w:w="0" w:type="dxa"/>
                                <w:left w:w="0" w:type="dxa"/>
                                <w:bottom w:w="0" w:type="dxa"/>
                                <w:right w:w="0" w:type="dxa"/>
                              </w:tblCellMar>
                            </w:tblPr>
                            <w:tblGrid>
                              <w:gridCol w:w="3695"/>
                              <w:gridCol w:w="335"/>
                            </w:tblGrid>
                            <w:tr>
                              <w:trPr/>
                              <w:tc>
                                <w:tcPr>
                                  <w:tcW w:w="3695" w:type="dxa"/>
                                  <w:tcBorders/>
                                  <w:shd w:fill="auto" w:val="clear"/>
                                  <w:vAlign w:val="center"/>
                                </w:tcPr>
                                <w:p>
                                  <w:pPr>
                                    <w:pStyle w:val="TableContents"/>
                                    <w:pBdr/>
                                    <w:spacing w:before="0" w:after="60"/>
                                    <w:ind w:left="300" w:right="105" w:hanging="0"/>
                                    <w:rPr/>
                                  </w:pPr>
                                  <w:hyperlink w:anchor="new_id-140">
                                    <w:r>
                                      <w:rPr>
                                        <w:rStyle w:val="InternetLink"/>
                                        <w:rFonts w:ascii="Arial" w:hAnsi="Arial"/>
                                        <w:strike w:val="false"/>
                                        <w:dstrike w:val="false"/>
                                        <w:color w:val="000000"/>
                                        <w:sz w:val="21"/>
                                        <w:u w:val="none"/>
                                        <w:effect w:val="none"/>
                                      </w:rPr>
                                      <w:t>2022 Summary Compensation Table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40">
                                    <w:r>
                                      <w:rPr>
                                        <w:rStyle w:val="InternetLink"/>
                                        <w:rFonts w:ascii="Arial" w:hAnsi="Arial"/>
                                        <w:strike w:val="false"/>
                                        <w:dstrike w:val="false"/>
                                        <w:color w:val="000000"/>
                                        <w:sz w:val="21"/>
                                        <w:u w:val="none"/>
                                        <w:effect w:val="none"/>
                                      </w:rPr>
                                      <w:t>79</w:t>
                                    </w:r>
                                  </w:hyperlink>
                                  <w:r>
                                    <w:rPr>
                                      <w:rFonts w:ascii="Arial" w:hAnsi="Arial"/>
                                      <w:color w:val="000000"/>
                                      <w:sz w:val="21"/>
                                    </w:rPr>
                                    <w:t xml:space="preserve"> </w:t>
                                  </w:r>
                                </w:p>
                              </w:tc>
                            </w:tr>
                          </w:tbl>
                          <w:tbl>
                            <w:tblPr>
                              <w:tblW w:w="3880" w:type="dxa"/>
                              <w:jc w:val="left"/>
                              <w:tblInd w:w="0" w:type="dxa"/>
                              <w:tblCellMar>
                                <w:top w:w="0" w:type="dxa"/>
                                <w:left w:w="0" w:type="dxa"/>
                                <w:bottom w:w="0" w:type="dxa"/>
                                <w:right w:w="0" w:type="dxa"/>
                              </w:tblCellMar>
                            </w:tblPr>
                            <w:tblGrid>
                              <w:gridCol w:w="3545"/>
                              <w:gridCol w:w="335"/>
                            </w:tblGrid>
                            <w:tr>
                              <w:trPr/>
                              <w:tc>
                                <w:tcPr>
                                  <w:tcW w:w="3545" w:type="dxa"/>
                                  <w:tcBorders/>
                                  <w:shd w:fill="auto" w:val="clear"/>
                                  <w:vAlign w:val="center"/>
                                </w:tcPr>
                                <w:p>
                                  <w:pPr>
                                    <w:pStyle w:val="TableContents"/>
                                    <w:pBdr/>
                                    <w:spacing w:before="0" w:after="60"/>
                                    <w:ind w:left="300" w:right="105" w:hanging="0"/>
                                    <w:rPr/>
                                  </w:pPr>
                                  <w:hyperlink w:anchor="new_id-141">
                                    <w:r>
                                      <w:rPr>
                                        <w:rStyle w:val="InternetLink"/>
                                        <w:rFonts w:ascii="Arial" w:hAnsi="Arial"/>
                                        <w:strike w:val="false"/>
                                        <w:dstrike w:val="false"/>
                                        <w:color w:val="000000"/>
                                        <w:sz w:val="21"/>
                                        <w:u w:val="none"/>
                                        <w:effect w:val="none"/>
                                      </w:rPr>
                                      <w:t xml:space="preserve">2022 Grants of Plan-Based Awards </w:t>
                                    </w:r>
                                  </w:hyperlink>
                                </w:p>
                              </w:tc>
                              <w:tc>
                                <w:tcPr>
                                  <w:tcW w:w="335" w:type="dxa"/>
                                  <w:tcBorders/>
                                  <w:shd w:fill="auto" w:val="clear"/>
                                  <w:vAlign w:val="center"/>
                                </w:tcPr>
                                <w:p>
                                  <w:pPr>
                                    <w:pStyle w:val="TableContents"/>
                                    <w:pBdr/>
                                    <w:spacing w:before="0" w:after="60"/>
                                    <w:ind w:left="0" w:right="0" w:hanging="0"/>
                                    <w:jc w:val="right"/>
                                    <w:rPr/>
                                  </w:pPr>
                                  <w:hyperlink w:anchor="new_id-141">
                                    <w:r>
                                      <w:rPr>
                                        <w:rStyle w:val="InternetLink"/>
                                        <w:rFonts w:ascii="Arial" w:hAnsi="Arial"/>
                                        <w:strike w:val="false"/>
                                        <w:dstrike w:val="false"/>
                                        <w:color w:val="000000"/>
                                        <w:sz w:val="21"/>
                                        <w:u w:val="none"/>
                                        <w:effect w:val="none"/>
                                      </w:rPr>
                                      <w:t>80</w:t>
                                    </w:r>
                                  </w:hyperlink>
                                  <w:r>
                                    <w:rPr>
                                      <w:rFonts w:ascii="Arial" w:hAnsi="Arial"/>
                                      <w:color w:val="000000"/>
                                      <w:sz w:val="21"/>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21.2pt;mso-wrap-distance-left:0pt;mso-wrap-distance-right:0pt;mso-wrap-distance-top:0pt;mso-wrap-distance-bottom:0pt;margin-top:0pt;mso-position-vertical:top;mso-position-vertical-relative:text;margin-left:0pt;mso-position-horizontal:left;mso-position-horizontal-relative:text">
                <v:textbox>
                  <w:txbxContent>
                    <w:tbl>
                      <w:tblPr>
                        <w:tblW w:w="3445" w:type="dxa"/>
                        <w:jc w:val="left"/>
                        <w:tblInd w:w="0" w:type="dxa"/>
                        <w:tblCellMar>
                          <w:top w:w="0" w:type="dxa"/>
                          <w:left w:w="0" w:type="dxa"/>
                          <w:bottom w:w="0" w:type="dxa"/>
                          <w:right w:w="0" w:type="dxa"/>
                        </w:tblCellMar>
                      </w:tblPr>
                      <w:tblGrid>
                        <w:gridCol w:w="3110"/>
                        <w:gridCol w:w="335"/>
                      </w:tblGrid>
                      <w:tr>
                        <w:trPr/>
                        <w:tc>
                          <w:tcPr>
                            <w:tcW w:w="3110" w:type="dxa"/>
                            <w:tcBorders/>
                            <w:shd w:fill="auto" w:val="clear"/>
                            <w:vAlign w:val="center"/>
                          </w:tcPr>
                          <w:p>
                            <w:pPr>
                              <w:pStyle w:val="TableContents"/>
                              <w:pBdr/>
                              <w:spacing w:before="0" w:after="60"/>
                              <w:ind w:left="300" w:right="105" w:hanging="0"/>
                              <w:rPr/>
                            </w:pPr>
                            <w:hyperlink w:anchor="new_id-100">
                              <w:r>
                                <w:rPr>
                                  <w:rStyle w:val="InternetLink"/>
                                  <w:rFonts w:ascii="Arial" w:hAnsi="Arial"/>
                                  <w:strike w:val="false"/>
                                  <w:dstrike w:val="false"/>
                                  <w:color w:val="000000"/>
                                  <w:sz w:val="21"/>
                                  <w:u w:val="none"/>
                                  <w:effect w:val="none"/>
                                </w:rPr>
                                <w:t>2022 Compensation Highlights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0">
                              <w:r>
                                <w:rPr>
                                  <w:rStyle w:val="InternetLink"/>
                                  <w:rFonts w:ascii="Arial" w:hAnsi="Arial"/>
                                  <w:strike w:val="false"/>
                                  <w:dstrike w:val="false"/>
                                  <w:color w:val="000000"/>
                                  <w:sz w:val="21"/>
                                  <w:u w:val="none"/>
                                  <w:effect w:val="none"/>
                                </w:rPr>
                                <w:t>57</w:t>
                              </w:r>
                            </w:hyperlink>
                            <w:r>
                              <w:rPr>
                                <w:rFonts w:ascii="Arial" w:hAnsi="Arial"/>
                                <w:color w:val="000000"/>
                                <w:sz w:val="21"/>
                              </w:rPr>
                              <w:t xml:space="preserve"> </w:t>
                            </w:r>
                          </w:p>
                        </w:tc>
                      </w:tr>
                    </w:tbl>
                    <w:tbl>
                      <w:tblPr>
                        <w:tblW w:w="4405" w:type="dxa"/>
                        <w:jc w:val="left"/>
                        <w:tblInd w:w="0" w:type="dxa"/>
                        <w:tblCellMar>
                          <w:top w:w="0" w:type="dxa"/>
                          <w:left w:w="0" w:type="dxa"/>
                          <w:bottom w:w="0" w:type="dxa"/>
                          <w:right w:w="0" w:type="dxa"/>
                        </w:tblCellMar>
                      </w:tblPr>
                      <w:tblGrid>
                        <w:gridCol w:w="4070"/>
                        <w:gridCol w:w="335"/>
                      </w:tblGrid>
                      <w:tr>
                        <w:trPr/>
                        <w:tc>
                          <w:tcPr>
                            <w:tcW w:w="4070" w:type="dxa"/>
                            <w:tcBorders/>
                            <w:shd w:fill="auto" w:val="clear"/>
                            <w:vAlign w:val="center"/>
                          </w:tcPr>
                          <w:p>
                            <w:pPr>
                              <w:pStyle w:val="TableContents"/>
                              <w:pBdr/>
                              <w:spacing w:before="0" w:after="60"/>
                              <w:ind w:left="300" w:right="105" w:hanging="0"/>
                              <w:rPr/>
                            </w:pPr>
                            <w:hyperlink w:anchor="new_id-102">
                              <w:r>
                                <w:rPr>
                                  <w:rStyle w:val="InternetLink"/>
                                  <w:rFonts w:ascii="Arial" w:hAnsi="Arial"/>
                                  <w:strike w:val="false"/>
                                  <w:dstrike w:val="false"/>
                                  <w:color w:val="000000"/>
                                  <w:sz w:val="21"/>
                                  <w:u w:val="none"/>
                                  <w:effect w:val="none"/>
                                </w:rPr>
                                <w:t>Shareholder Engagement and Feedback</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2">
                              <w:r>
                                <w:rPr>
                                  <w:rStyle w:val="InternetLink"/>
                                  <w:rFonts w:ascii="Arial" w:hAnsi="Arial"/>
                                  <w:strike w:val="false"/>
                                  <w:dstrike w:val="false"/>
                                  <w:color w:val="000000"/>
                                  <w:sz w:val="21"/>
                                  <w:u w:val="none"/>
                                  <w:effect w:val="none"/>
                                </w:rPr>
                                <w:t>58</w:t>
                              </w:r>
                            </w:hyperlink>
                            <w:r>
                              <w:rPr>
                                <w:rFonts w:ascii="Arial" w:hAnsi="Arial"/>
                                <w:color w:val="000000"/>
                                <w:sz w:val="21"/>
                              </w:rPr>
                              <w:t xml:space="preserve"> </w:t>
                            </w:r>
                          </w:p>
                        </w:tc>
                      </w:tr>
                    </w:tbl>
                    <w:tbl>
                      <w:tblPr>
                        <w:tblW w:w="3340" w:type="dxa"/>
                        <w:jc w:val="left"/>
                        <w:tblInd w:w="0" w:type="dxa"/>
                        <w:tblCellMar>
                          <w:top w:w="0" w:type="dxa"/>
                          <w:left w:w="0" w:type="dxa"/>
                          <w:bottom w:w="0" w:type="dxa"/>
                          <w:right w:w="0" w:type="dxa"/>
                        </w:tblCellMar>
                      </w:tblPr>
                      <w:tblGrid>
                        <w:gridCol w:w="3005"/>
                        <w:gridCol w:w="335"/>
                      </w:tblGrid>
                      <w:tr>
                        <w:trPr/>
                        <w:tc>
                          <w:tcPr>
                            <w:tcW w:w="3005" w:type="dxa"/>
                            <w:tcBorders/>
                            <w:shd w:fill="auto" w:val="clear"/>
                            <w:vAlign w:val="center"/>
                          </w:tcPr>
                          <w:p>
                            <w:pPr>
                              <w:pStyle w:val="TableContents"/>
                              <w:pBdr/>
                              <w:spacing w:before="0" w:after="60"/>
                              <w:ind w:left="300" w:right="105" w:hanging="0"/>
                              <w:rPr/>
                            </w:pPr>
                            <w:hyperlink w:anchor="new_id-103">
                              <w:r>
                                <w:rPr>
                                  <w:rStyle w:val="InternetLink"/>
                                  <w:rFonts w:ascii="Arial" w:hAnsi="Arial"/>
                                  <w:strike w:val="false"/>
                                  <w:dstrike w:val="false"/>
                                  <w:color w:val="000000"/>
                                  <w:sz w:val="21"/>
                                  <w:u w:val="none"/>
                                  <w:effect w:val="none"/>
                                </w:rPr>
                                <w:t>How Our Pay Program Works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3">
                              <w:r>
                                <w:rPr>
                                  <w:rStyle w:val="InternetLink"/>
                                  <w:rFonts w:ascii="Arial" w:hAnsi="Arial"/>
                                  <w:strike w:val="false"/>
                                  <w:dstrike w:val="false"/>
                                  <w:color w:val="000000"/>
                                  <w:sz w:val="21"/>
                                  <w:u w:val="none"/>
                                  <w:effect w:val="none"/>
                                </w:rPr>
                                <w:t>59</w:t>
                              </w:r>
                            </w:hyperlink>
                            <w:r>
                              <w:rPr>
                                <w:rFonts w:ascii="Arial" w:hAnsi="Arial"/>
                                <w:color w:val="000000"/>
                                <w:sz w:val="21"/>
                              </w:rPr>
                              <w:t xml:space="preserve"> </w:t>
                            </w:r>
                          </w:p>
                        </w:tc>
                      </w:tr>
                    </w:tbl>
                    <w:tbl>
                      <w:tblPr>
                        <w:tblW w:w="3040" w:type="dxa"/>
                        <w:jc w:val="left"/>
                        <w:tblInd w:w="0" w:type="dxa"/>
                        <w:tblCellMar>
                          <w:top w:w="0" w:type="dxa"/>
                          <w:left w:w="0" w:type="dxa"/>
                          <w:bottom w:w="0" w:type="dxa"/>
                          <w:right w:w="0" w:type="dxa"/>
                        </w:tblCellMar>
                      </w:tblPr>
                      <w:tblGrid>
                        <w:gridCol w:w="2705"/>
                        <w:gridCol w:w="335"/>
                      </w:tblGrid>
                      <w:tr>
                        <w:trPr/>
                        <w:tc>
                          <w:tcPr>
                            <w:tcW w:w="2705" w:type="dxa"/>
                            <w:tcBorders/>
                            <w:shd w:fill="auto" w:val="clear"/>
                            <w:vAlign w:val="center"/>
                          </w:tcPr>
                          <w:p>
                            <w:pPr>
                              <w:pStyle w:val="TableContents"/>
                              <w:pBdr/>
                              <w:spacing w:before="0" w:after="60"/>
                              <w:ind w:left="300" w:right="105" w:hanging="0"/>
                              <w:rPr/>
                            </w:pPr>
                            <w:hyperlink w:anchor="new_id-104">
                              <w:r>
                                <w:rPr>
                                  <w:rStyle w:val="InternetLink"/>
                                  <w:rFonts w:ascii="Arial" w:hAnsi="Arial"/>
                                  <w:strike w:val="false"/>
                                  <w:dstrike w:val="false"/>
                                  <w:color w:val="000000"/>
                                  <w:sz w:val="21"/>
                                  <w:u w:val="none"/>
                                  <w:effect w:val="none"/>
                                </w:rPr>
                                <w:t>Key Governance Features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4">
                              <w:r>
                                <w:rPr>
                                  <w:rStyle w:val="InternetLink"/>
                                  <w:rFonts w:ascii="Arial" w:hAnsi="Arial"/>
                                  <w:strike w:val="false"/>
                                  <w:dstrike w:val="false"/>
                                  <w:color w:val="000000"/>
                                  <w:sz w:val="21"/>
                                  <w:u w:val="none"/>
                                  <w:effect w:val="none"/>
                                </w:rPr>
                                <w:t>60</w:t>
                              </w:r>
                            </w:hyperlink>
                            <w:r>
                              <w:rPr>
                                <w:rFonts w:ascii="Arial" w:hAnsi="Arial"/>
                                <w:color w:val="000000"/>
                                <w:sz w:val="21"/>
                              </w:rPr>
                              <w:t xml:space="preserve"> </w:t>
                            </w:r>
                          </w:p>
                        </w:tc>
                      </w:tr>
                    </w:tbl>
                    <w:tbl>
                      <w:tblPr>
                        <w:tblW w:w="4105" w:type="dxa"/>
                        <w:jc w:val="left"/>
                        <w:tblInd w:w="0" w:type="dxa"/>
                        <w:tblCellMar>
                          <w:top w:w="0" w:type="dxa"/>
                          <w:left w:w="0" w:type="dxa"/>
                          <w:bottom w:w="0" w:type="dxa"/>
                          <w:right w:w="0" w:type="dxa"/>
                        </w:tblCellMar>
                      </w:tblPr>
                      <w:tblGrid>
                        <w:gridCol w:w="3770"/>
                        <w:gridCol w:w="335"/>
                      </w:tblGrid>
                      <w:tr>
                        <w:trPr/>
                        <w:tc>
                          <w:tcPr>
                            <w:tcW w:w="3770" w:type="dxa"/>
                            <w:tcBorders/>
                            <w:shd w:fill="auto" w:val="clear"/>
                            <w:vAlign w:val="center"/>
                          </w:tcPr>
                          <w:p>
                            <w:pPr>
                              <w:pStyle w:val="TableContents"/>
                              <w:pBdr/>
                              <w:spacing w:before="0" w:after="60"/>
                              <w:ind w:left="0" w:right="105" w:hanging="0"/>
                              <w:rPr/>
                            </w:pPr>
                            <w:hyperlink w:anchor="new_id-107">
                              <w:r>
                                <w:rPr>
                                  <w:rStyle w:val="InternetLink"/>
                                  <w:rFonts w:ascii="Arial" w:hAnsi="Arial"/>
                                  <w:b/>
                                  <w:strike w:val="false"/>
                                  <w:dstrike w:val="false"/>
                                  <w:color w:val="245BA7"/>
                                  <w:sz w:val="21"/>
                                  <w:u w:val="none"/>
                                  <w:effect w:val="none"/>
                                </w:rPr>
                                <w:t>Compensation Program Objectives</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7">
                              <w:r>
                                <w:rPr>
                                  <w:rStyle w:val="InternetLink"/>
                                  <w:rFonts w:ascii="Arial" w:hAnsi="Arial"/>
                                  <w:b/>
                                  <w:strike w:val="false"/>
                                  <w:dstrike w:val="false"/>
                                  <w:color w:val="245BA7"/>
                                  <w:sz w:val="21"/>
                                  <w:u w:val="none"/>
                                  <w:effect w:val="none"/>
                                </w:rPr>
                                <w:t>61</w:t>
                              </w:r>
                            </w:hyperlink>
                            <w:r>
                              <w:rPr>
                                <w:rFonts w:ascii="Arial" w:hAnsi="Arial"/>
                                <w:b/>
                                <w:color w:val="245BA7"/>
                                <w:sz w:val="21"/>
                              </w:rPr>
                              <w:t xml:space="preserve"> </w:t>
                            </w:r>
                          </w:p>
                        </w:tc>
                      </w:tr>
                    </w:tbl>
                    <w:tbl>
                      <w:tblPr>
                        <w:tblW w:w="3835" w:type="dxa"/>
                        <w:jc w:val="left"/>
                        <w:tblInd w:w="0" w:type="dxa"/>
                        <w:tblCellMar>
                          <w:top w:w="0" w:type="dxa"/>
                          <w:left w:w="0" w:type="dxa"/>
                          <w:bottom w:w="0" w:type="dxa"/>
                          <w:right w:w="0" w:type="dxa"/>
                        </w:tblCellMar>
                      </w:tblPr>
                      <w:tblGrid>
                        <w:gridCol w:w="3500"/>
                        <w:gridCol w:w="335"/>
                      </w:tblGrid>
                      <w:tr>
                        <w:trPr/>
                        <w:tc>
                          <w:tcPr>
                            <w:tcW w:w="3500" w:type="dxa"/>
                            <w:tcBorders/>
                            <w:shd w:fill="auto" w:val="clear"/>
                            <w:vAlign w:val="center"/>
                          </w:tcPr>
                          <w:p>
                            <w:pPr>
                              <w:pStyle w:val="TableContents"/>
                              <w:pBdr/>
                              <w:spacing w:before="0" w:after="60"/>
                              <w:ind w:left="0" w:right="105" w:hanging="0"/>
                              <w:rPr/>
                            </w:pPr>
                            <w:hyperlink w:anchor="new_id-108">
                              <w:r>
                                <w:rPr>
                                  <w:rStyle w:val="InternetLink"/>
                                  <w:rFonts w:ascii="Arial" w:hAnsi="Arial"/>
                                  <w:b/>
                                  <w:strike w:val="false"/>
                                  <w:dstrike w:val="false"/>
                                  <w:color w:val="245BA7"/>
                                  <w:sz w:val="21"/>
                                  <w:u w:val="none"/>
                                  <w:effect w:val="none"/>
                                </w:rPr>
                                <w:t>Components of Executive Pay:</w:t>
                                <w:br/>
                                <w:t>What We Pay and Why We Pay It</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8">
                              <w:r>
                                <w:rPr>
                                  <w:rStyle w:val="InternetLink"/>
                                  <w:rFonts w:ascii="Arial" w:hAnsi="Arial"/>
                                  <w:b/>
                                  <w:strike w:val="false"/>
                                  <w:dstrike w:val="false"/>
                                  <w:color w:val="245BA7"/>
                                  <w:sz w:val="21"/>
                                  <w:u w:val="none"/>
                                  <w:effect w:val="none"/>
                                </w:rPr>
                                <w:t>62</w:t>
                              </w:r>
                            </w:hyperlink>
                            <w:r>
                              <w:rPr>
                                <w:rFonts w:ascii="Arial" w:hAnsi="Arial"/>
                                <w:b/>
                                <w:color w:val="245BA7"/>
                                <w:sz w:val="21"/>
                              </w:rPr>
                              <w:t xml:space="preserve"> </w:t>
                            </w:r>
                          </w:p>
                        </w:tc>
                      </w:tr>
                    </w:tbl>
                    <w:tbl>
                      <w:tblPr>
                        <w:tblW w:w="1840" w:type="dxa"/>
                        <w:jc w:val="left"/>
                        <w:tblInd w:w="0" w:type="dxa"/>
                        <w:tblCellMar>
                          <w:top w:w="0" w:type="dxa"/>
                          <w:left w:w="0" w:type="dxa"/>
                          <w:bottom w:w="0" w:type="dxa"/>
                          <w:right w:w="0" w:type="dxa"/>
                        </w:tblCellMar>
                      </w:tblPr>
                      <w:tblGrid>
                        <w:gridCol w:w="1505"/>
                        <w:gridCol w:w="335"/>
                      </w:tblGrid>
                      <w:tr>
                        <w:trPr/>
                        <w:tc>
                          <w:tcPr>
                            <w:tcW w:w="1505" w:type="dxa"/>
                            <w:tcBorders/>
                            <w:shd w:fill="auto" w:val="clear"/>
                            <w:vAlign w:val="center"/>
                          </w:tcPr>
                          <w:p>
                            <w:pPr>
                              <w:pStyle w:val="TableContents"/>
                              <w:pBdr/>
                              <w:spacing w:before="0" w:after="60"/>
                              <w:ind w:left="300" w:right="105" w:hanging="0"/>
                              <w:rPr/>
                            </w:pPr>
                            <w:hyperlink w:anchor="new_id-111">
                              <w:r>
                                <w:rPr>
                                  <w:rStyle w:val="InternetLink"/>
                                  <w:rFonts w:ascii="Arial" w:hAnsi="Arial"/>
                                  <w:strike w:val="false"/>
                                  <w:dstrike w:val="false"/>
                                  <w:color w:val="000000"/>
                                  <w:sz w:val="21"/>
                                  <w:u w:val="none"/>
                                  <w:effect w:val="none"/>
                                </w:rPr>
                                <w:t>Base Salaries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11">
                              <w:r>
                                <w:rPr>
                                  <w:rStyle w:val="InternetLink"/>
                                  <w:rFonts w:ascii="Arial" w:hAnsi="Arial"/>
                                  <w:strike w:val="false"/>
                                  <w:dstrike w:val="false"/>
                                  <w:color w:val="000000"/>
                                  <w:sz w:val="21"/>
                                  <w:u w:val="none"/>
                                  <w:effect w:val="none"/>
                                </w:rPr>
                                <w:t>63</w:t>
                              </w:r>
                            </w:hyperlink>
                            <w:r>
                              <w:rPr>
                                <w:rFonts w:ascii="Arial" w:hAnsi="Arial"/>
                                <w:color w:val="000000"/>
                                <w:sz w:val="21"/>
                              </w:rPr>
                              <w:t xml:space="preserve"> </w:t>
                            </w:r>
                          </w:p>
                        </w:tc>
                      </w:tr>
                    </w:tbl>
                    <w:tbl>
                      <w:tblPr>
                        <w:tblW w:w="2770" w:type="dxa"/>
                        <w:jc w:val="left"/>
                        <w:tblInd w:w="0" w:type="dxa"/>
                        <w:tblCellMar>
                          <w:top w:w="0" w:type="dxa"/>
                          <w:left w:w="0" w:type="dxa"/>
                          <w:bottom w:w="0" w:type="dxa"/>
                          <w:right w:w="0" w:type="dxa"/>
                        </w:tblCellMar>
                      </w:tblPr>
                      <w:tblGrid>
                        <w:gridCol w:w="2435"/>
                        <w:gridCol w:w="335"/>
                      </w:tblGrid>
                      <w:tr>
                        <w:trPr/>
                        <w:tc>
                          <w:tcPr>
                            <w:tcW w:w="2435" w:type="dxa"/>
                            <w:tcBorders/>
                            <w:shd w:fill="auto" w:val="clear"/>
                            <w:vAlign w:val="center"/>
                          </w:tcPr>
                          <w:p>
                            <w:pPr>
                              <w:pStyle w:val="TableContents"/>
                              <w:pBdr/>
                              <w:spacing w:before="0" w:after="60"/>
                              <w:ind w:left="300" w:right="105" w:hanging="0"/>
                              <w:rPr/>
                            </w:pPr>
                            <w:hyperlink w:anchor="new_id-113">
                              <w:r>
                                <w:rPr>
                                  <w:rStyle w:val="InternetLink"/>
                                  <w:rFonts w:ascii="Arial" w:hAnsi="Arial"/>
                                  <w:strike w:val="false"/>
                                  <w:dstrike w:val="false"/>
                                  <w:color w:val="000000"/>
                                  <w:sz w:val="21"/>
                                  <w:u w:val="none"/>
                                  <w:effect w:val="none"/>
                                </w:rPr>
                                <w:t>Annual Cash Incentives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13">
                              <w:r>
                                <w:rPr>
                                  <w:rStyle w:val="InternetLink"/>
                                  <w:rFonts w:ascii="Arial" w:hAnsi="Arial"/>
                                  <w:strike w:val="false"/>
                                  <w:dstrike w:val="false"/>
                                  <w:color w:val="000000"/>
                                  <w:sz w:val="21"/>
                                  <w:u w:val="none"/>
                                  <w:effect w:val="none"/>
                                </w:rPr>
                                <w:t>63</w:t>
                              </w:r>
                            </w:hyperlink>
                            <w:r>
                              <w:rPr>
                                <w:rFonts w:ascii="Arial" w:hAnsi="Arial"/>
                                <w:color w:val="000000"/>
                                <w:sz w:val="21"/>
                              </w:rPr>
                              <w:t xml:space="preserve"> </w:t>
                            </w:r>
                          </w:p>
                        </w:tc>
                      </w:tr>
                    </w:tbl>
                    <w:tbl>
                      <w:tblPr>
                        <w:tblW w:w="2605" w:type="dxa"/>
                        <w:jc w:val="left"/>
                        <w:tblInd w:w="0" w:type="dxa"/>
                        <w:tblCellMar>
                          <w:top w:w="0" w:type="dxa"/>
                          <w:left w:w="0" w:type="dxa"/>
                          <w:bottom w:w="0" w:type="dxa"/>
                          <w:right w:w="0" w:type="dxa"/>
                        </w:tblCellMar>
                      </w:tblPr>
                      <w:tblGrid>
                        <w:gridCol w:w="2270"/>
                        <w:gridCol w:w="335"/>
                      </w:tblGrid>
                      <w:tr>
                        <w:trPr/>
                        <w:tc>
                          <w:tcPr>
                            <w:tcW w:w="2270" w:type="dxa"/>
                            <w:tcBorders/>
                            <w:shd w:fill="auto" w:val="clear"/>
                            <w:vAlign w:val="center"/>
                          </w:tcPr>
                          <w:p>
                            <w:pPr>
                              <w:pStyle w:val="TableContents"/>
                              <w:pBdr/>
                              <w:spacing w:before="0" w:after="60"/>
                              <w:ind w:left="300" w:right="105" w:hanging="0"/>
                              <w:rPr/>
                            </w:pPr>
                            <w:hyperlink w:anchor="new_id-118">
                              <w:r>
                                <w:rPr>
                                  <w:rStyle w:val="InternetLink"/>
                                  <w:rFonts w:ascii="Arial" w:hAnsi="Arial"/>
                                  <w:strike w:val="false"/>
                                  <w:dstrike w:val="false"/>
                                  <w:color w:val="000000"/>
                                  <w:sz w:val="21"/>
                                  <w:u w:val="none"/>
                                  <w:effect w:val="none"/>
                                </w:rPr>
                                <w:t>Annual Equity Awards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18">
                              <w:r>
                                <w:rPr>
                                  <w:rStyle w:val="InternetLink"/>
                                  <w:rFonts w:ascii="Arial" w:hAnsi="Arial"/>
                                  <w:strike w:val="false"/>
                                  <w:dstrike w:val="false"/>
                                  <w:color w:val="000000"/>
                                  <w:sz w:val="21"/>
                                  <w:u w:val="none"/>
                                  <w:effect w:val="none"/>
                                </w:rPr>
                                <w:t>67</w:t>
                              </w:r>
                            </w:hyperlink>
                            <w:r>
                              <w:rPr>
                                <w:rFonts w:ascii="Arial" w:hAnsi="Arial"/>
                                <w:color w:val="000000"/>
                                <w:sz w:val="21"/>
                              </w:rPr>
                              <w:t xml:space="preserve"> </w:t>
                            </w:r>
                          </w:p>
                        </w:tc>
                      </w:tr>
                    </w:tbl>
                    <w:tbl>
                      <w:tblPr>
                        <w:tblW w:w="3730" w:type="dxa"/>
                        <w:jc w:val="left"/>
                        <w:tblInd w:w="0" w:type="dxa"/>
                        <w:tblCellMar>
                          <w:top w:w="0" w:type="dxa"/>
                          <w:left w:w="0" w:type="dxa"/>
                          <w:bottom w:w="0" w:type="dxa"/>
                          <w:right w:w="0" w:type="dxa"/>
                        </w:tblCellMar>
                      </w:tblPr>
                      <w:tblGrid>
                        <w:gridCol w:w="3395"/>
                        <w:gridCol w:w="335"/>
                      </w:tblGrid>
                      <w:tr>
                        <w:trPr/>
                        <w:tc>
                          <w:tcPr>
                            <w:tcW w:w="3395" w:type="dxa"/>
                            <w:tcBorders/>
                            <w:shd w:fill="auto" w:val="clear"/>
                            <w:vAlign w:val="center"/>
                          </w:tcPr>
                          <w:p>
                            <w:pPr>
                              <w:pStyle w:val="TableContents"/>
                              <w:pBdr/>
                              <w:spacing w:before="0" w:after="60"/>
                              <w:ind w:left="300" w:right="105" w:hanging="0"/>
                              <w:rPr/>
                            </w:pPr>
                            <w:hyperlink w:anchor="new_id-123">
                              <w:r>
                                <w:rPr>
                                  <w:rStyle w:val="InternetLink"/>
                                  <w:rFonts w:ascii="Arial" w:hAnsi="Arial"/>
                                  <w:strike w:val="false"/>
                                  <w:dstrike w:val="false"/>
                                  <w:color w:val="000000"/>
                                  <w:sz w:val="21"/>
                                  <w:u w:val="none"/>
                                  <w:effect w:val="none"/>
                                </w:rPr>
                                <w:t>Perquisites and Personal Benefits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3">
                              <w:r>
                                <w:rPr>
                                  <w:rStyle w:val="InternetLink"/>
                                  <w:rFonts w:ascii="Arial" w:hAnsi="Arial"/>
                                  <w:strike w:val="false"/>
                                  <w:dstrike w:val="false"/>
                                  <w:color w:val="000000"/>
                                  <w:sz w:val="21"/>
                                  <w:u w:val="none"/>
                                  <w:effect w:val="none"/>
                                </w:rPr>
                                <w:t>70</w:t>
                              </w:r>
                            </w:hyperlink>
                            <w:r>
                              <w:rPr>
                                <w:rFonts w:ascii="Arial" w:hAnsi="Arial"/>
                                <w:color w:val="000000"/>
                                <w:sz w:val="21"/>
                              </w:rPr>
                              <w:t xml:space="preserve"> </w:t>
                            </w:r>
                          </w:p>
                        </w:tc>
                      </w:tr>
                    </w:tbl>
                    <w:tbl>
                      <w:tblPr>
                        <w:tblW w:w="3445" w:type="dxa"/>
                        <w:jc w:val="left"/>
                        <w:tblInd w:w="0" w:type="dxa"/>
                        <w:tblCellMar>
                          <w:top w:w="0" w:type="dxa"/>
                          <w:left w:w="0" w:type="dxa"/>
                          <w:bottom w:w="0" w:type="dxa"/>
                          <w:right w:w="0" w:type="dxa"/>
                        </w:tblCellMar>
                      </w:tblPr>
                      <w:tblGrid>
                        <w:gridCol w:w="3110"/>
                        <w:gridCol w:w="335"/>
                      </w:tblGrid>
                      <w:tr>
                        <w:trPr/>
                        <w:tc>
                          <w:tcPr>
                            <w:tcW w:w="3110" w:type="dxa"/>
                            <w:tcBorders/>
                            <w:shd w:fill="auto" w:val="clear"/>
                            <w:vAlign w:val="center"/>
                          </w:tcPr>
                          <w:p>
                            <w:pPr>
                              <w:pStyle w:val="TableContents"/>
                              <w:pBdr/>
                              <w:spacing w:before="0" w:after="60"/>
                              <w:ind w:left="300" w:right="105" w:hanging="0"/>
                              <w:rPr/>
                            </w:pPr>
                            <w:hyperlink w:anchor="new_id-124">
                              <w:r>
                                <w:rPr>
                                  <w:rStyle w:val="InternetLink"/>
                                  <w:rFonts w:ascii="Arial" w:hAnsi="Arial"/>
                                  <w:strike w:val="false"/>
                                  <w:dstrike w:val="false"/>
                                  <w:color w:val="000000"/>
                                  <w:sz w:val="21"/>
                                  <w:u w:val="none"/>
                                  <w:effect w:val="none"/>
                                </w:rPr>
                                <w:t>Potential Severance Payments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4">
                              <w:r>
                                <w:rPr>
                                  <w:rStyle w:val="InternetLink"/>
                                  <w:rFonts w:ascii="Arial" w:hAnsi="Arial"/>
                                  <w:strike w:val="false"/>
                                  <w:dstrike w:val="false"/>
                                  <w:color w:val="000000"/>
                                  <w:sz w:val="21"/>
                                  <w:u w:val="none"/>
                                  <w:effect w:val="none"/>
                                </w:rPr>
                                <w:t>70</w:t>
                              </w:r>
                            </w:hyperlink>
                            <w:r>
                              <w:rPr>
                                <w:rFonts w:ascii="Arial" w:hAnsi="Arial"/>
                                <w:color w:val="000000"/>
                                <w:sz w:val="21"/>
                              </w:rPr>
                              <w:t xml:space="preserve"> </w:t>
                            </w:r>
                          </w:p>
                        </w:tc>
                      </w:tr>
                    </w:tbl>
                    <w:tbl>
                      <w:tblPr>
                        <w:tblW w:w="3160" w:type="dxa"/>
                        <w:jc w:val="left"/>
                        <w:tblInd w:w="0" w:type="dxa"/>
                        <w:tblCellMar>
                          <w:top w:w="0" w:type="dxa"/>
                          <w:left w:w="0" w:type="dxa"/>
                          <w:bottom w:w="0" w:type="dxa"/>
                          <w:right w:w="0" w:type="dxa"/>
                        </w:tblCellMar>
                      </w:tblPr>
                      <w:tblGrid>
                        <w:gridCol w:w="2825"/>
                        <w:gridCol w:w="335"/>
                      </w:tblGrid>
                      <w:tr>
                        <w:trPr/>
                        <w:tc>
                          <w:tcPr>
                            <w:tcW w:w="2825" w:type="dxa"/>
                            <w:tcBorders/>
                            <w:shd w:fill="auto" w:val="clear"/>
                            <w:vAlign w:val="center"/>
                          </w:tcPr>
                          <w:p>
                            <w:pPr>
                              <w:pStyle w:val="TableContents"/>
                              <w:pBdr/>
                              <w:spacing w:before="0" w:after="60"/>
                              <w:ind w:left="0" w:right="105" w:hanging="0"/>
                              <w:rPr/>
                            </w:pPr>
                            <w:hyperlink w:anchor="new_id-125">
                              <w:r>
                                <w:rPr>
                                  <w:rStyle w:val="InternetLink"/>
                                  <w:rFonts w:ascii="Arial" w:hAnsi="Arial"/>
                                  <w:b/>
                                  <w:strike w:val="false"/>
                                  <w:dstrike w:val="false"/>
                                  <w:color w:val="245BA7"/>
                                  <w:sz w:val="21"/>
                                  <w:u w:val="none"/>
                                  <w:effect w:val="none"/>
                                </w:rPr>
                                <w:t>Compensation Processes</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5">
                              <w:r>
                                <w:rPr>
                                  <w:rStyle w:val="InternetLink"/>
                                  <w:rFonts w:ascii="Arial" w:hAnsi="Arial"/>
                                  <w:b/>
                                  <w:strike w:val="false"/>
                                  <w:dstrike w:val="false"/>
                                  <w:color w:val="245BA7"/>
                                  <w:sz w:val="21"/>
                                  <w:u w:val="none"/>
                                  <w:effect w:val="none"/>
                                </w:rPr>
                                <w:t>71</w:t>
                              </w:r>
                            </w:hyperlink>
                            <w:r>
                              <w:rPr>
                                <w:rFonts w:ascii="Arial" w:hAnsi="Arial"/>
                                <w:b/>
                                <w:color w:val="245BA7"/>
                                <w:sz w:val="21"/>
                              </w:rPr>
                              <w:t xml:space="preserve"> </w:t>
                            </w:r>
                          </w:p>
                        </w:tc>
                      </w:tr>
                    </w:tbl>
                    <w:tbl>
                      <w:tblPr>
                        <w:tblW w:w="3010" w:type="dxa"/>
                        <w:jc w:val="left"/>
                        <w:tblInd w:w="0" w:type="dxa"/>
                        <w:tblCellMar>
                          <w:top w:w="0" w:type="dxa"/>
                          <w:left w:w="0" w:type="dxa"/>
                          <w:bottom w:w="0" w:type="dxa"/>
                          <w:right w:w="0" w:type="dxa"/>
                        </w:tblCellMar>
                      </w:tblPr>
                      <w:tblGrid>
                        <w:gridCol w:w="2675"/>
                        <w:gridCol w:w="335"/>
                      </w:tblGrid>
                      <w:tr>
                        <w:trPr/>
                        <w:tc>
                          <w:tcPr>
                            <w:tcW w:w="2675" w:type="dxa"/>
                            <w:tcBorders/>
                            <w:shd w:fill="auto" w:val="clear"/>
                            <w:vAlign w:val="center"/>
                          </w:tcPr>
                          <w:p>
                            <w:pPr>
                              <w:pStyle w:val="TableContents"/>
                              <w:pBdr/>
                              <w:spacing w:before="0" w:after="60"/>
                              <w:ind w:left="300" w:right="105" w:hanging="0"/>
                              <w:rPr/>
                            </w:pPr>
                            <w:hyperlink w:anchor="new_id-126">
                              <w:r>
                                <w:rPr>
                                  <w:rStyle w:val="InternetLink"/>
                                  <w:rFonts w:ascii="Arial" w:hAnsi="Arial"/>
                                  <w:strike w:val="false"/>
                                  <w:dstrike w:val="false"/>
                                  <w:color w:val="000000"/>
                                  <w:sz w:val="21"/>
                                  <w:u w:val="none"/>
                                  <w:effect w:val="none"/>
                                </w:rPr>
                                <w:t>Compensation Committee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6">
                              <w:r>
                                <w:rPr>
                                  <w:rStyle w:val="InternetLink"/>
                                  <w:rFonts w:ascii="Arial" w:hAnsi="Arial"/>
                                  <w:strike w:val="false"/>
                                  <w:dstrike w:val="false"/>
                                  <w:color w:val="000000"/>
                                  <w:sz w:val="21"/>
                                  <w:u w:val="none"/>
                                  <w:effect w:val="none"/>
                                </w:rPr>
                                <w:t>71</w:t>
                              </w:r>
                            </w:hyperlink>
                            <w:r>
                              <w:rPr>
                                <w:rFonts w:ascii="Arial" w:hAnsi="Arial"/>
                                <w:color w:val="000000"/>
                                <w:sz w:val="21"/>
                              </w:rPr>
                              <w:t xml:space="preserve"> </w:t>
                            </w:r>
                          </w:p>
                        </w:tc>
                      </w:tr>
                    </w:tbl>
                    <w:tbl>
                      <w:tblPr>
                        <w:tblW w:w="1795" w:type="dxa"/>
                        <w:jc w:val="left"/>
                        <w:tblInd w:w="0" w:type="dxa"/>
                        <w:tblCellMar>
                          <w:top w:w="0" w:type="dxa"/>
                          <w:left w:w="0" w:type="dxa"/>
                          <w:bottom w:w="0" w:type="dxa"/>
                          <w:right w:w="0" w:type="dxa"/>
                        </w:tblCellMar>
                      </w:tblPr>
                      <w:tblGrid>
                        <w:gridCol w:w="1460"/>
                        <w:gridCol w:w="335"/>
                      </w:tblGrid>
                      <w:tr>
                        <w:trPr/>
                        <w:tc>
                          <w:tcPr>
                            <w:tcW w:w="1460" w:type="dxa"/>
                            <w:tcBorders/>
                            <w:shd w:fill="auto" w:val="clear"/>
                            <w:vAlign w:val="center"/>
                          </w:tcPr>
                          <w:p>
                            <w:pPr>
                              <w:pStyle w:val="TableContents"/>
                              <w:pBdr/>
                              <w:spacing w:before="0" w:after="60"/>
                              <w:ind w:left="300" w:right="105" w:hanging="0"/>
                              <w:rPr/>
                            </w:pPr>
                            <w:hyperlink w:anchor="new_id-127">
                              <w:r>
                                <w:rPr>
                                  <w:rStyle w:val="InternetLink"/>
                                  <w:rFonts w:ascii="Arial" w:hAnsi="Arial"/>
                                  <w:strike w:val="false"/>
                                  <w:dstrike w:val="false"/>
                                  <w:color w:val="000000"/>
                                  <w:sz w:val="21"/>
                                  <w:u w:val="none"/>
                                  <w:effect w:val="none"/>
                                </w:rPr>
                                <w:t>Management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7">
                              <w:r>
                                <w:rPr>
                                  <w:rStyle w:val="InternetLink"/>
                                  <w:rFonts w:ascii="Arial" w:hAnsi="Arial"/>
                                  <w:strike w:val="false"/>
                                  <w:dstrike w:val="false"/>
                                  <w:color w:val="000000"/>
                                  <w:sz w:val="21"/>
                                  <w:u w:val="none"/>
                                  <w:effect w:val="none"/>
                                </w:rPr>
                                <w:t>71</w:t>
                              </w:r>
                            </w:hyperlink>
                            <w:r>
                              <w:rPr>
                                <w:rFonts w:ascii="Arial" w:hAnsi="Arial"/>
                                <w:color w:val="000000"/>
                                <w:sz w:val="21"/>
                              </w:rPr>
                              <w:t xml:space="preserve"> </w:t>
                            </w:r>
                          </w:p>
                        </w:tc>
                      </w:tr>
                    </w:tbl>
                    <w:tbl>
                      <w:tblPr>
                        <w:tblW w:w="7255" w:type="dxa"/>
                        <w:jc w:val="left"/>
                        <w:tblInd w:w="0" w:type="dxa"/>
                        <w:tblCellMar>
                          <w:top w:w="0" w:type="dxa"/>
                          <w:left w:w="0" w:type="dxa"/>
                          <w:bottom w:w="0" w:type="dxa"/>
                          <w:right w:w="0" w:type="dxa"/>
                        </w:tblCellMar>
                      </w:tblPr>
                      <w:tblGrid>
                        <w:gridCol w:w="6920"/>
                        <w:gridCol w:w="335"/>
                      </w:tblGrid>
                      <w:tr>
                        <w:trPr/>
                        <w:tc>
                          <w:tcPr>
                            <w:tcW w:w="6920" w:type="dxa"/>
                            <w:tcBorders/>
                            <w:shd w:fill="auto" w:val="clear"/>
                            <w:vAlign w:val="center"/>
                          </w:tcPr>
                          <w:p>
                            <w:pPr>
                              <w:pStyle w:val="TableContents"/>
                              <w:pBdr/>
                              <w:spacing w:before="0" w:after="60"/>
                              <w:ind w:left="300" w:right="105" w:hanging="0"/>
                              <w:rPr/>
                            </w:pPr>
                            <w:hyperlink w:anchor="new_id-128">
                              <w:r>
                                <w:rPr>
                                  <w:rStyle w:val="InternetLink"/>
                                  <w:rFonts w:ascii="Arial" w:hAnsi="Arial"/>
                                  <w:strike w:val="false"/>
                                  <w:dstrike w:val="false"/>
                                  <w:color w:val="000000"/>
                                  <w:sz w:val="21"/>
                                  <w:u w:val="none"/>
                                  <w:effect w:val="none"/>
                                </w:rPr>
                                <w:t>Shareholder Input and Outreach and the 2022 Say-on-Pay Vote Result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8">
                              <w:r>
                                <w:rPr>
                                  <w:rStyle w:val="InternetLink"/>
                                  <w:rFonts w:ascii="Arial" w:hAnsi="Arial"/>
                                  <w:strike w:val="false"/>
                                  <w:dstrike w:val="false"/>
                                  <w:color w:val="000000"/>
                                  <w:sz w:val="21"/>
                                  <w:u w:val="none"/>
                                  <w:effect w:val="none"/>
                                </w:rPr>
                                <w:t>72</w:t>
                              </w:r>
                            </w:hyperlink>
                            <w:r>
                              <w:rPr>
                                <w:rFonts w:ascii="Arial" w:hAnsi="Arial"/>
                                <w:color w:val="000000"/>
                                <w:sz w:val="21"/>
                              </w:rPr>
                              <w:t xml:space="preserve"> </w:t>
                            </w:r>
                          </w:p>
                        </w:tc>
                      </w:tr>
                    </w:tbl>
                    <w:tbl>
                      <w:tblPr>
                        <w:tblW w:w="4255" w:type="dxa"/>
                        <w:jc w:val="left"/>
                        <w:tblInd w:w="0" w:type="dxa"/>
                        <w:tblCellMar>
                          <w:top w:w="0" w:type="dxa"/>
                          <w:left w:w="0" w:type="dxa"/>
                          <w:bottom w:w="0" w:type="dxa"/>
                          <w:right w:w="0" w:type="dxa"/>
                        </w:tblCellMar>
                      </w:tblPr>
                      <w:tblGrid>
                        <w:gridCol w:w="3920"/>
                        <w:gridCol w:w="335"/>
                      </w:tblGrid>
                      <w:tr>
                        <w:trPr/>
                        <w:tc>
                          <w:tcPr>
                            <w:tcW w:w="3920" w:type="dxa"/>
                            <w:tcBorders/>
                            <w:shd w:fill="auto" w:val="clear"/>
                            <w:vAlign w:val="center"/>
                          </w:tcPr>
                          <w:p>
                            <w:pPr>
                              <w:pStyle w:val="TableContents"/>
                              <w:pBdr/>
                              <w:spacing w:before="0" w:after="60"/>
                              <w:ind w:left="300" w:right="105" w:hanging="0"/>
                              <w:rPr/>
                            </w:pPr>
                            <w:hyperlink w:anchor="new_id-130">
                              <w:r>
                                <w:rPr>
                                  <w:rStyle w:val="InternetLink"/>
                                  <w:rFonts w:ascii="Arial" w:hAnsi="Arial"/>
                                  <w:strike w:val="false"/>
                                  <w:dstrike w:val="false"/>
                                  <w:color w:val="000000"/>
                                  <w:sz w:val="21"/>
                                  <w:u w:val="none"/>
                                  <w:effect w:val="none"/>
                                </w:rPr>
                                <w:t>Independent Compensation Consultant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0">
                              <w:r>
                                <w:rPr>
                                  <w:rStyle w:val="InternetLink"/>
                                  <w:rFonts w:ascii="Arial" w:hAnsi="Arial"/>
                                  <w:strike w:val="false"/>
                                  <w:dstrike w:val="false"/>
                                  <w:color w:val="000000"/>
                                  <w:sz w:val="21"/>
                                  <w:u w:val="none"/>
                                  <w:effect w:val="none"/>
                                </w:rPr>
                                <w:t>74</w:t>
                              </w:r>
                            </w:hyperlink>
                            <w:r>
                              <w:rPr>
                                <w:rFonts w:ascii="Arial" w:hAnsi="Arial"/>
                                <w:color w:val="000000"/>
                                <w:sz w:val="21"/>
                              </w:rPr>
                              <w:t xml:space="preserve"> </w:t>
                            </w:r>
                          </w:p>
                        </w:tc>
                      </w:tr>
                    </w:tbl>
                    <w:tbl>
                      <w:tblPr>
                        <w:tblW w:w="1495" w:type="dxa"/>
                        <w:jc w:val="left"/>
                        <w:tblInd w:w="0" w:type="dxa"/>
                        <w:tblCellMar>
                          <w:top w:w="0" w:type="dxa"/>
                          <w:left w:w="0" w:type="dxa"/>
                          <w:bottom w:w="0" w:type="dxa"/>
                          <w:right w:w="0" w:type="dxa"/>
                        </w:tblCellMar>
                      </w:tblPr>
                      <w:tblGrid>
                        <w:gridCol w:w="1160"/>
                        <w:gridCol w:w="335"/>
                      </w:tblGrid>
                      <w:tr>
                        <w:trPr/>
                        <w:tc>
                          <w:tcPr>
                            <w:tcW w:w="1160" w:type="dxa"/>
                            <w:tcBorders/>
                            <w:shd w:fill="auto" w:val="clear"/>
                            <w:vAlign w:val="center"/>
                          </w:tcPr>
                          <w:p>
                            <w:pPr>
                              <w:pStyle w:val="TableContents"/>
                              <w:pBdr/>
                              <w:spacing w:before="0" w:after="60"/>
                              <w:ind w:left="300" w:right="105" w:hanging="0"/>
                              <w:rPr/>
                            </w:pPr>
                            <w:hyperlink w:anchor="new_id-131">
                              <w:r>
                                <w:rPr>
                                  <w:rStyle w:val="InternetLink"/>
                                  <w:rFonts w:ascii="Arial" w:hAnsi="Arial"/>
                                  <w:strike w:val="false"/>
                                  <w:dstrike w:val="false"/>
                                  <w:color w:val="000000"/>
                                  <w:sz w:val="21"/>
                                  <w:u w:val="none"/>
                                  <w:effect w:val="none"/>
                                </w:rPr>
                                <w:t>Peer Data</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1">
                              <w:r>
                                <w:rPr>
                                  <w:rStyle w:val="InternetLink"/>
                                  <w:rFonts w:ascii="Arial" w:hAnsi="Arial"/>
                                  <w:strike w:val="false"/>
                                  <w:dstrike w:val="false"/>
                                  <w:color w:val="000000"/>
                                  <w:sz w:val="21"/>
                                  <w:u w:val="none"/>
                                  <w:effect w:val="none"/>
                                </w:rPr>
                                <w:t>74</w:t>
                              </w:r>
                            </w:hyperlink>
                            <w:r>
                              <w:rPr>
                                <w:rFonts w:ascii="Arial" w:hAnsi="Arial"/>
                                <w:color w:val="000000"/>
                                <w:sz w:val="21"/>
                              </w:rPr>
                              <w:t xml:space="preserve"> </w:t>
                            </w:r>
                          </w:p>
                        </w:tc>
                      </w:tr>
                    </w:tbl>
                    <w:tbl>
                      <w:tblPr>
                        <w:tblW w:w="2155" w:type="dxa"/>
                        <w:jc w:val="left"/>
                        <w:tblInd w:w="0" w:type="dxa"/>
                        <w:tblCellMar>
                          <w:top w:w="0" w:type="dxa"/>
                          <w:left w:w="0" w:type="dxa"/>
                          <w:bottom w:w="0" w:type="dxa"/>
                          <w:right w:w="0" w:type="dxa"/>
                        </w:tblCellMar>
                      </w:tblPr>
                      <w:tblGrid>
                        <w:gridCol w:w="1820"/>
                        <w:gridCol w:w="335"/>
                      </w:tblGrid>
                      <w:tr>
                        <w:trPr/>
                        <w:tc>
                          <w:tcPr>
                            <w:tcW w:w="1820" w:type="dxa"/>
                            <w:tcBorders/>
                            <w:shd w:fill="auto" w:val="clear"/>
                            <w:vAlign w:val="center"/>
                          </w:tcPr>
                          <w:p>
                            <w:pPr>
                              <w:pStyle w:val="TableContents"/>
                              <w:pBdr/>
                              <w:spacing w:before="0" w:after="60"/>
                              <w:ind w:left="300" w:right="105" w:hanging="0"/>
                              <w:rPr/>
                            </w:pPr>
                            <w:hyperlink w:anchor="new_id-133">
                              <w:r>
                                <w:rPr>
                                  <w:rStyle w:val="InternetLink"/>
                                  <w:rFonts w:ascii="Arial" w:hAnsi="Arial"/>
                                  <w:strike w:val="false"/>
                                  <w:dstrike w:val="false"/>
                                  <w:color w:val="000000"/>
                                  <w:sz w:val="21"/>
                                  <w:u w:val="none"/>
                                  <w:effect w:val="none"/>
                                </w:rPr>
                                <w:t>Risk Assessment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3">
                              <w:r>
                                <w:rPr>
                                  <w:rStyle w:val="InternetLink"/>
                                  <w:rFonts w:ascii="Arial" w:hAnsi="Arial"/>
                                  <w:strike w:val="false"/>
                                  <w:dstrike w:val="false"/>
                                  <w:color w:val="000000"/>
                                  <w:sz w:val="21"/>
                                  <w:u w:val="none"/>
                                  <w:effect w:val="none"/>
                                </w:rPr>
                                <w:t>76</w:t>
                              </w:r>
                            </w:hyperlink>
                            <w:r>
                              <w:rPr>
                                <w:rFonts w:ascii="Arial" w:hAnsi="Arial"/>
                                <w:color w:val="000000"/>
                                <w:sz w:val="21"/>
                              </w:rPr>
                              <w:t xml:space="preserve"> </w:t>
                            </w:r>
                          </w:p>
                        </w:tc>
                      </w:tr>
                    </w:tbl>
                    <w:tbl>
                      <w:tblPr>
                        <w:tblW w:w="2080" w:type="dxa"/>
                        <w:jc w:val="left"/>
                        <w:tblInd w:w="0" w:type="dxa"/>
                        <w:tblCellMar>
                          <w:top w:w="0" w:type="dxa"/>
                          <w:left w:w="0" w:type="dxa"/>
                          <w:bottom w:w="0" w:type="dxa"/>
                          <w:right w:w="0" w:type="dxa"/>
                        </w:tblCellMar>
                      </w:tblPr>
                      <w:tblGrid>
                        <w:gridCol w:w="1745"/>
                        <w:gridCol w:w="335"/>
                      </w:tblGrid>
                      <w:tr>
                        <w:trPr/>
                        <w:tc>
                          <w:tcPr>
                            <w:tcW w:w="1745" w:type="dxa"/>
                            <w:tcBorders/>
                            <w:shd w:fill="auto" w:val="clear"/>
                            <w:vAlign w:val="center"/>
                          </w:tcPr>
                          <w:p>
                            <w:pPr>
                              <w:pStyle w:val="TableContents"/>
                              <w:pBdr/>
                              <w:spacing w:before="0" w:after="60"/>
                              <w:ind w:left="300" w:right="105" w:hanging="0"/>
                              <w:rPr/>
                            </w:pPr>
                            <w:hyperlink w:anchor="new_id-134">
                              <w:r>
                                <w:rPr>
                                  <w:rStyle w:val="InternetLink"/>
                                  <w:rFonts w:ascii="Arial" w:hAnsi="Arial"/>
                                  <w:strike w:val="false"/>
                                  <w:dstrike w:val="false"/>
                                  <w:color w:val="000000"/>
                                  <w:sz w:val="21"/>
                                  <w:u w:val="none"/>
                                  <w:effect w:val="none"/>
                                </w:rPr>
                                <w:t>Tax Implications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4">
                              <w:r>
                                <w:rPr>
                                  <w:rStyle w:val="InternetLink"/>
                                  <w:rFonts w:ascii="Arial" w:hAnsi="Arial"/>
                                  <w:strike w:val="false"/>
                                  <w:dstrike w:val="false"/>
                                  <w:color w:val="000000"/>
                                  <w:sz w:val="21"/>
                                  <w:u w:val="none"/>
                                  <w:effect w:val="none"/>
                                </w:rPr>
                                <w:t>76</w:t>
                              </w:r>
                            </w:hyperlink>
                            <w:r>
                              <w:rPr>
                                <w:rFonts w:ascii="Arial" w:hAnsi="Arial"/>
                                <w:color w:val="000000"/>
                                <w:sz w:val="21"/>
                              </w:rPr>
                              <w:t xml:space="preserve"> </w:t>
                            </w:r>
                          </w:p>
                        </w:tc>
                      </w:tr>
                    </w:tbl>
                    <w:tbl>
                      <w:tblPr>
                        <w:tblW w:w="3940" w:type="dxa"/>
                        <w:jc w:val="left"/>
                        <w:tblInd w:w="0" w:type="dxa"/>
                        <w:tblCellMar>
                          <w:top w:w="0" w:type="dxa"/>
                          <w:left w:w="0" w:type="dxa"/>
                          <w:bottom w:w="0" w:type="dxa"/>
                          <w:right w:w="0" w:type="dxa"/>
                        </w:tblCellMar>
                      </w:tblPr>
                      <w:tblGrid>
                        <w:gridCol w:w="3605"/>
                        <w:gridCol w:w="335"/>
                      </w:tblGrid>
                      <w:tr>
                        <w:trPr/>
                        <w:tc>
                          <w:tcPr>
                            <w:tcW w:w="3605" w:type="dxa"/>
                            <w:tcBorders/>
                            <w:shd w:fill="auto" w:val="clear"/>
                            <w:vAlign w:val="center"/>
                          </w:tcPr>
                          <w:p>
                            <w:pPr>
                              <w:pStyle w:val="TableContents"/>
                              <w:pBdr/>
                              <w:spacing w:before="0" w:after="60"/>
                              <w:ind w:left="0" w:right="105" w:hanging="0"/>
                              <w:rPr/>
                            </w:pPr>
                            <w:hyperlink w:anchor="new_id-135">
                              <w:r>
                                <w:rPr>
                                  <w:rStyle w:val="InternetLink"/>
                                  <w:rFonts w:ascii="Arial" w:hAnsi="Arial"/>
                                  <w:b/>
                                  <w:strike w:val="false"/>
                                  <w:dstrike w:val="false"/>
                                  <w:color w:val="000000"/>
                                  <w:sz w:val="21"/>
                                  <w:u w:val="none"/>
                                  <w:effect w:val="none"/>
                                </w:rPr>
                                <w:t>Compensation Committee Report</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5">
                              <w:r>
                                <w:rPr>
                                  <w:rStyle w:val="InternetLink"/>
                                  <w:rFonts w:ascii="Arial" w:hAnsi="Arial"/>
                                  <w:b/>
                                  <w:strike w:val="false"/>
                                  <w:dstrike w:val="false"/>
                                  <w:color w:val="000000"/>
                                  <w:sz w:val="21"/>
                                  <w:u w:val="none"/>
                                  <w:effect w:val="none"/>
                                </w:rPr>
                                <w:t>78</w:t>
                              </w:r>
                            </w:hyperlink>
                            <w:r>
                              <w:rPr>
                                <w:rFonts w:ascii="Arial" w:hAnsi="Arial"/>
                                <w:b/>
                                <w:color w:val="000000"/>
                                <w:sz w:val="21"/>
                              </w:rPr>
                              <w:t xml:space="preserve"> </w:t>
                            </w:r>
                          </w:p>
                        </w:tc>
                      </w:tr>
                    </w:tbl>
                    <w:tbl>
                      <w:tblPr>
                        <w:tblW w:w="6850" w:type="dxa"/>
                        <w:jc w:val="left"/>
                        <w:tblInd w:w="0" w:type="dxa"/>
                        <w:tblCellMar>
                          <w:top w:w="0" w:type="dxa"/>
                          <w:left w:w="0" w:type="dxa"/>
                          <w:bottom w:w="0" w:type="dxa"/>
                          <w:right w:w="0" w:type="dxa"/>
                        </w:tblCellMar>
                      </w:tblPr>
                      <w:tblGrid>
                        <w:gridCol w:w="6515"/>
                        <w:gridCol w:w="335"/>
                      </w:tblGrid>
                      <w:tr>
                        <w:trPr/>
                        <w:tc>
                          <w:tcPr>
                            <w:tcW w:w="6515" w:type="dxa"/>
                            <w:tcBorders/>
                            <w:shd w:fill="auto" w:val="clear"/>
                            <w:vAlign w:val="center"/>
                          </w:tcPr>
                          <w:p>
                            <w:pPr>
                              <w:pStyle w:val="TableContents"/>
                              <w:pBdr/>
                              <w:spacing w:before="0" w:after="60"/>
                              <w:ind w:left="0" w:right="105" w:hanging="0"/>
                              <w:rPr/>
                            </w:pPr>
                            <w:hyperlink w:anchor="new_id-137">
                              <w:r>
                                <w:rPr>
                                  <w:rStyle w:val="InternetLink"/>
                                  <w:rFonts w:ascii="Arial" w:hAnsi="Arial"/>
                                  <w:b/>
                                  <w:strike w:val="false"/>
                                  <w:dstrike w:val="false"/>
                                  <w:color w:val="000000"/>
                                  <w:sz w:val="21"/>
                                  <w:u w:val="none"/>
                                  <w:effect w:val="none"/>
                                </w:rPr>
                                <w:t>Compensation Committee Interlocks and Insider Participation</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7">
                              <w:r>
                                <w:rPr>
                                  <w:rStyle w:val="InternetLink"/>
                                  <w:rFonts w:ascii="Arial" w:hAnsi="Arial"/>
                                  <w:b/>
                                  <w:strike w:val="false"/>
                                  <w:dstrike w:val="false"/>
                                  <w:color w:val="000000"/>
                                  <w:sz w:val="21"/>
                                  <w:u w:val="none"/>
                                  <w:effect w:val="none"/>
                                </w:rPr>
                                <w:t>78</w:t>
                              </w:r>
                            </w:hyperlink>
                            <w:r>
                              <w:rPr>
                                <w:rFonts w:ascii="Arial" w:hAnsi="Arial"/>
                                <w:b/>
                                <w:color w:val="000000"/>
                                <w:sz w:val="21"/>
                              </w:rPr>
                              <w:t xml:space="preserve"> </w:t>
                            </w:r>
                          </w:p>
                        </w:tc>
                      </w:tr>
                    </w:tbl>
                    <w:tbl>
                      <w:tblPr>
                        <w:tblW w:w="3220" w:type="dxa"/>
                        <w:jc w:val="left"/>
                        <w:tblInd w:w="0" w:type="dxa"/>
                        <w:tblCellMar>
                          <w:top w:w="0" w:type="dxa"/>
                          <w:left w:w="0" w:type="dxa"/>
                          <w:bottom w:w="0" w:type="dxa"/>
                          <w:right w:w="0" w:type="dxa"/>
                        </w:tblCellMar>
                      </w:tblPr>
                      <w:tblGrid>
                        <w:gridCol w:w="2885"/>
                        <w:gridCol w:w="335"/>
                      </w:tblGrid>
                      <w:tr>
                        <w:trPr/>
                        <w:tc>
                          <w:tcPr>
                            <w:tcW w:w="2885" w:type="dxa"/>
                            <w:tcBorders/>
                            <w:shd w:fill="auto" w:val="clear"/>
                            <w:vAlign w:val="center"/>
                          </w:tcPr>
                          <w:p>
                            <w:pPr>
                              <w:pStyle w:val="TableContents"/>
                              <w:pBdr/>
                              <w:spacing w:before="0" w:after="60"/>
                              <w:ind w:left="0" w:right="105" w:hanging="0"/>
                              <w:rPr/>
                            </w:pPr>
                            <w:hyperlink w:anchor="new_id-138">
                              <w:r>
                                <w:rPr>
                                  <w:rStyle w:val="InternetLink"/>
                                  <w:rFonts w:ascii="Arial" w:hAnsi="Arial"/>
                                  <w:b/>
                                  <w:strike w:val="false"/>
                                  <w:dstrike w:val="false"/>
                                  <w:color w:val="000000"/>
                                  <w:sz w:val="21"/>
                                  <w:u w:val="none"/>
                                  <w:effect w:val="none"/>
                                </w:rPr>
                                <w:t>Compensation Dashboard</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8">
                              <w:r>
                                <w:rPr>
                                  <w:rStyle w:val="InternetLink"/>
                                  <w:rFonts w:ascii="Arial" w:hAnsi="Arial"/>
                                  <w:b/>
                                  <w:strike w:val="false"/>
                                  <w:dstrike w:val="false"/>
                                  <w:color w:val="000000"/>
                                  <w:sz w:val="21"/>
                                  <w:u w:val="none"/>
                                  <w:effect w:val="none"/>
                                </w:rPr>
                                <w:t>79</w:t>
                              </w:r>
                            </w:hyperlink>
                            <w:r>
                              <w:rPr>
                                <w:rFonts w:ascii="Arial" w:hAnsi="Arial"/>
                                <w:b/>
                                <w:color w:val="000000"/>
                                <w:sz w:val="21"/>
                              </w:rPr>
                              <w:t xml:space="preserve"> </w:t>
                            </w:r>
                          </w:p>
                        </w:tc>
                      </w:tr>
                    </w:tbl>
                    <w:tbl>
                      <w:tblPr>
                        <w:tblW w:w="4390" w:type="dxa"/>
                        <w:jc w:val="left"/>
                        <w:tblInd w:w="0" w:type="dxa"/>
                        <w:tblCellMar>
                          <w:top w:w="0" w:type="dxa"/>
                          <w:left w:w="0" w:type="dxa"/>
                          <w:bottom w:w="0" w:type="dxa"/>
                          <w:right w:w="0" w:type="dxa"/>
                        </w:tblCellMar>
                      </w:tblPr>
                      <w:tblGrid>
                        <w:gridCol w:w="4055"/>
                        <w:gridCol w:w="335"/>
                      </w:tblGrid>
                      <w:tr>
                        <w:trPr/>
                        <w:tc>
                          <w:tcPr>
                            <w:tcW w:w="4055" w:type="dxa"/>
                            <w:tcBorders/>
                            <w:shd w:fill="auto" w:val="clear"/>
                            <w:vAlign w:val="center"/>
                          </w:tcPr>
                          <w:p>
                            <w:pPr>
                              <w:pStyle w:val="TableContents"/>
                              <w:pBdr/>
                              <w:spacing w:before="0" w:after="60"/>
                              <w:ind w:left="0" w:right="105" w:hanging="0"/>
                              <w:rPr/>
                            </w:pPr>
                            <w:hyperlink w:anchor="new_id-139">
                              <w:r>
                                <w:rPr>
                                  <w:rStyle w:val="InternetLink"/>
                                  <w:rFonts w:ascii="Arial" w:hAnsi="Arial"/>
                                  <w:b/>
                                  <w:strike w:val="false"/>
                                  <w:dstrike w:val="false"/>
                                  <w:color w:val="245BA7"/>
                                  <w:sz w:val="21"/>
                                  <w:u w:val="none"/>
                                  <w:effect w:val="none"/>
                                </w:rPr>
                                <w:t>2022 Executive Compensation Tables</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9">
                              <w:r>
                                <w:rPr>
                                  <w:rStyle w:val="InternetLink"/>
                                  <w:rFonts w:ascii="Arial" w:hAnsi="Arial"/>
                                  <w:b/>
                                  <w:strike w:val="false"/>
                                  <w:dstrike w:val="false"/>
                                  <w:color w:val="245BA7"/>
                                  <w:sz w:val="21"/>
                                  <w:u w:val="none"/>
                                  <w:effect w:val="none"/>
                                </w:rPr>
                                <w:t>79</w:t>
                              </w:r>
                            </w:hyperlink>
                            <w:r>
                              <w:rPr>
                                <w:rFonts w:ascii="Arial" w:hAnsi="Arial"/>
                                <w:b/>
                                <w:color w:val="245BA7"/>
                                <w:sz w:val="21"/>
                              </w:rPr>
                              <w:t xml:space="preserve"> </w:t>
                            </w:r>
                          </w:p>
                        </w:tc>
                      </w:tr>
                    </w:tbl>
                    <w:tbl>
                      <w:tblPr>
                        <w:tblW w:w="4030" w:type="dxa"/>
                        <w:jc w:val="left"/>
                        <w:tblInd w:w="0" w:type="dxa"/>
                        <w:tblCellMar>
                          <w:top w:w="0" w:type="dxa"/>
                          <w:left w:w="0" w:type="dxa"/>
                          <w:bottom w:w="0" w:type="dxa"/>
                          <w:right w:w="0" w:type="dxa"/>
                        </w:tblCellMar>
                      </w:tblPr>
                      <w:tblGrid>
                        <w:gridCol w:w="3695"/>
                        <w:gridCol w:w="335"/>
                      </w:tblGrid>
                      <w:tr>
                        <w:trPr/>
                        <w:tc>
                          <w:tcPr>
                            <w:tcW w:w="3695" w:type="dxa"/>
                            <w:tcBorders/>
                            <w:shd w:fill="auto" w:val="clear"/>
                            <w:vAlign w:val="center"/>
                          </w:tcPr>
                          <w:p>
                            <w:pPr>
                              <w:pStyle w:val="TableContents"/>
                              <w:pBdr/>
                              <w:spacing w:before="0" w:after="60"/>
                              <w:ind w:left="300" w:right="105" w:hanging="0"/>
                              <w:rPr/>
                            </w:pPr>
                            <w:hyperlink w:anchor="new_id-140">
                              <w:r>
                                <w:rPr>
                                  <w:rStyle w:val="InternetLink"/>
                                  <w:rFonts w:ascii="Arial" w:hAnsi="Arial"/>
                                  <w:strike w:val="false"/>
                                  <w:dstrike w:val="false"/>
                                  <w:color w:val="000000"/>
                                  <w:sz w:val="21"/>
                                  <w:u w:val="none"/>
                                  <w:effect w:val="none"/>
                                </w:rPr>
                                <w:t>2022 Summary Compensation Table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40">
                              <w:r>
                                <w:rPr>
                                  <w:rStyle w:val="InternetLink"/>
                                  <w:rFonts w:ascii="Arial" w:hAnsi="Arial"/>
                                  <w:strike w:val="false"/>
                                  <w:dstrike w:val="false"/>
                                  <w:color w:val="000000"/>
                                  <w:sz w:val="21"/>
                                  <w:u w:val="none"/>
                                  <w:effect w:val="none"/>
                                </w:rPr>
                                <w:t>79</w:t>
                              </w:r>
                            </w:hyperlink>
                            <w:r>
                              <w:rPr>
                                <w:rFonts w:ascii="Arial" w:hAnsi="Arial"/>
                                <w:color w:val="000000"/>
                                <w:sz w:val="21"/>
                              </w:rPr>
                              <w:t xml:space="preserve"> </w:t>
                            </w:r>
                          </w:p>
                        </w:tc>
                      </w:tr>
                    </w:tbl>
                    <w:tbl>
                      <w:tblPr>
                        <w:tblW w:w="3880" w:type="dxa"/>
                        <w:jc w:val="left"/>
                        <w:tblInd w:w="0" w:type="dxa"/>
                        <w:tblCellMar>
                          <w:top w:w="0" w:type="dxa"/>
                          <w:left w:w="0" w:type="dxa"/>
                          <w:bottom w:w="0" w:type="dxa"/>
                          <w:right w:w="0" w:type="dxa"/>
                        </w:tblCellMar>
                      </w:tblPr>
                      <w:tblGrid>
                        <w:gridCol w:w="3545"/>
                        <w:gridCol w:w="335"/>
                      </w:tblGrid>
                      <w:tr>
                        <w:trPr/>
                        <w:tc>
                          <w:tcPr>
                            <w:tcW w:w="3545" w:type="dxa"/>
                            <w:tcBorders/>
                            <w:shd w:fill="auto" w:val="clear"/>
                            <w:vAlign w:val="center"/>
                          </w:tcPr>
                          <w:p>
                            <w:pPr>
                              <w:pStyle w:val="TableContents"/>
                              <w:pBdr/>
                              <w:spacing w:before="0" w:after="60"/>
                              <w:ind w:left="300" w:right="105" w:hanging="0"/>
                              <w:rPr/>
                            </w:pPr>
                            <w:hyperlink w:anchor="new_id-141">
                              <w:r>
                                <w:rPr>
                                  <w:rStyle w:val="InternetLink"/>
                                  <w:rFonts w:ascii="Arial" w:hAnsi="Arial"/>
                                  <w:strike w:val="false"/>
                                  <w:dstrike w:val="false"/>
                                  <w:color w:val="000000"/>
                                  <w:sz w:val="21"/>
                                  <w:u w:val="none"/>
                                  <w:effect w:val="none"/>
                                </w:rPr>
                                <w:t xml:space="preserve">2022 Grants of Plan-Based Awards </w:t>
                              </w:r>
                            </w:hyperlink>
                          </w:p>
                        </w:tc>
                        <w:tc>
                          <w:tcPr>
                            <w:tcW w:w="335" w:type="dxa"/>
                            <w:tcBorders/>
                            <w:shd w:fill="auto" w:val="clear"/>
                            <w:vAlign w:val="center"/>
                          </w:tcPr>
                          <w:p>
                            <w:pPr>
                              <w:pStyle w:val="TableContents"/>
                              <w:pBdr/>
                              <w:spacing w:before="0" w:after="60"/>
                              <w:ind w:left="0" w:right="0" w:hanging="0"/>
                              <w:jc w:val="right"/>
                              <w:rPr/>
                            </w:pPr>
                            <w:hyperlink w:anchor="new_id-141">
                              <w:r>
                                <w:rPr>
                                  <w:rStyle w:val="InternetLink"/>
                                  <w:rFonts w:ascii="Arial" w:hAnsi="Arial"/>
                                  <w:strike w:val="false"/>
                                  <w:dstrike w:val="false"/>
                                  <w:color w:val="000000"/>
                                  <w:sz w:val="21"/>
                                  <w:u w:val="none"/>
                                  <w:effect w:val="none"/>
                                </w:rPr>
                                <w:t>80</w:t>
                              </w:r>
                            </w:hyperlink>
                            <w:r>
                              <w:rPr>
                                <w:rFonts w:ascii="Arial" w:hAnsi="Arial"/>
                                <w:color w:val="000000"/>
                                <w:sz w:val="21"/>
                              </w:rPr>
                              <w:t xml:space="preserve">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6">
                <wp:simplePos x="0" y="0"/>
                <wp:positionH relativeFrom="column">
                  <wp:align>right</wp:align>
                </wp:positionH>
                <wp:positionV relativeFrom="line">
                  <wp:posOffset>635</wp:posOffset>
                </wp:positionV>
                <wp:extent cx="3110230" cy="6367780"/>
                <wp:effectExtent l="0" t="0" r="0" b="0"/>
                <wp:wrapSquare wrapText="largest"/>
                <wp:docPr id="35" name="Frame4"/>
                <a:graphic xmlns:a="http://schemas.openxmlformats.org/drawingml/2006/main">
                  <a:graphicData uri="http://schemas.microsoft.com/office/word/2010/wordprocessingShape">
                    <wps:wsp>
                      <wps:cNvSpPr txBox="1"/>
                      <wps:spPr>
                        <a:xfrm>
                          <a:off x="0" y="0"/>
                          <a:ext cx="3110230" cy="6367780"/>
                        </a:xfrm>
                        <a:prstGeom prst="rect"/>
                      </wps:spPr>
                      <wps:txbx>
                        <w:txbxContent>
                          <w:tbl>
                            <w:tblPr>
                              <w:tblW w:w="5455" w:type="dxa"/>
                              <w:jc w:val="left"/>
                              <w:tblInd w:w="0" w:type="dxa"/>
                              <w:tblCellMar>
                                <w:top w:w="0" w:type="dxa"/>
                                <w:left w:w="0" w:type="dxa"/>
                                <w:bottom w:w="0" w:type="dxa"/>
                                <w:right w:w="0" w:type="dxa"/>
                              </w:tblCellMar>
                            </w:tblPr>
                            <w:tblGrid>
                              <w:gridCol w:w="5120"/>
                              <w:gridCol w:w="335"/>
                            </w:tblGrid>
                            <w:tr>
                              <w:trPr/>
                              <w:tc>
                                <w:tcPr>
                                  <w:tcW w:w="5120" w:type="dxa"/>
                                  <w:tcBorders/>
                                  <w:shd w:fill="auto" w:val="clear"/>
                                  <w:vAlign w:val="center"/>
                                </w:tcPr>
                                <w:p>
                                  <w:pPr>
                                    <w:pStyle w:val="TableContents"/>
                                    <w:pBdr/>
                                    <w:spacing w:before="0" w:after="60"/>
                                    <w:ind w:left="300" w:right="105" w:hanging="0"/>
                                    <w:rPr/>
                                  </w:pPr>
                                  <w:hyperlink w:anchor="new_id-142">
                                    <w:r>
                                      <w:rPr>
                                        <w:rStyle w:val="InternetLink"/>
                                        <w:rFonts w:ascii="Arial" w:hAnsi="Arial"/>
                                        <w:strike w:val="false"/>
                                        <w:dstrike w:val="false"/>
                                        <w:color w:val="000000"/>
                                        <w:sz w:val="21"/>
                                        <w:u w:val="none"/>
                                        <w:effect w:val="none"/>
                                      </w:rPr>
                                      <w:t>Outstanding Equity Awards at 2022 Fiscal Year-End</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42">
                                    <w:r>
                                      <w:rPr>
                                        <w:rStyle w:val="InternetLink"/>
                                        <w:rFonts w:ascii="Arial" w:hAnsi="Arial"/>
                                        <w:strike w:val="false"/>
                                        <w:dstrike w:val="false"/>
                                        <w:color w:val="000000"/>
                                        <w:sz w:val="21"/>
                                        <w:u w:val="none"/>
                                        <w:effect w:val="none"/>
                                      </w:rPr>
                                      <w:t>81</w:t>
                                    </w:r>
                                  </w:hyperlink>
                                  <w:r>
                                    <w:rPr>
                                      <w:rFonts w:ascii="Arial" w:hAnsi="Arial"/>
                                      <w:color w:val="000000"/>
                                      <w:sz w:val="21"/>
                                    </w:rPr>
                                    <w:t xml:space="preserve"> </w:t>
                                  </w:r>
                                </w:p>
                              </w:tc>
                            </w:tr>
                          </w:tbl>
                          <w:tbl>
                            <w:tblPr>
                              <w:tblW w:w="4405" w:type="dxa"/>
                              <w:jc w:val="left"/>
                              <w:tblInd w:w="0" w:type="dxa"/>
                              <w:tblCellMar>
                                <w:top w:w="0" w:type="dxa"/>
                                <w:left w:w="0" w:type="dxa"/>
                                <w:bottom w:w="0" w:type="dxa"/>
                                <w:right w:w="0" w:type="dxa"/>
                              </w:tblCellMar>
                            </w:tblPr>
                            <w:tblGrid>
                              <w:gridCol w:w="4070"/>
                              <w:gridCol w:w="335"/>
                            </w:tblGrid>
                            <w:tr>
                              <w:trPr/>
                              <w:tc>
                                <w:tcPr>
                                  <w:tcW w:w="4070" w:type="dxa"/>
                                  <w:tcBorders/>
                                  <w:shd w:fill="auto" w:val="clear"/>
                                  <w:vAlign w:val="center"/>
                                </w:tcPr>
                                <w:p>
                                  <w:pPr>
                                    <w:pStyle w:val="TableContents"/>
                                    <w:pBdr/>
                                    <w:spacing w:before="0" w:after="60"/>
                                    <w:ind w:left="300" w:right="105" w:hanging="0"/>
                                    <w:rPr/>
                                  </w:pPr>
                                  <w:hyperlink w:anchor="new_id-143">
                                    <w:r>
                                      <w:rPr>
                                        <w:rStyle w:val="InternetLink"/>
                                        <w:rFonts w:ascii="Arial" w:hAnsi="Arial"/>
                                        <w:strike w:val="false"/>
                                        <w:dstrike w:val="false"/>
                                        <w:color w:val="000000"/>
                                        <w:sz w:val="21"/>
                                        <w:u w:val="none"/>
                                        <w:effect w:val="none"/>
                                      </w:rPr>
                                      <w:t xml:space="preserve">2022 Option Exercises and Stock Vested </w:t>
                                    </w:r>
                                  </w:hyperlink>
                                </w:p>
                              </w:tc>
                              <w:tc>
                                <w:tcPr>
                                  <w:tcW w:w="335" w:type="dxa"/>
                                  <w:tcBorders/>
                                  <w:shd w:fill="auto" w:val="clear"/>
                                  <w:vAlign w:val="center"/>
                                </w:tcPr>
                                <w:p>
                                  <w:pPr>
                                    <w:pStyle w:val="TableContents"/>
                                    <w:pBdr/>
                                    <w:spacing w:before="0" w:after="60"/>
                                    <w:ind w:left="0" w:right="0" w:hanging="0"/>
                                    <w:jc w:val="right"/>
                                    <w:rPr/>
                                  </w:pPr>
                                  <w:hyperlink w:anchor="new_id-143">
                                    <w:r>
                                      <w:rPr>
                                        <w:rStyle w:val="InternetLink"/>
                                        <w:rFonts w:ascii="Arial" w:hAnsi="Arial"/>
                                        <w:strike w:val="false"/>
                                        <w:dstrike w:val="false"/>
                                        <w:color w:val="000000"/>
                                        <w:sz w:val="21"/>
                                        <w:u w:val="none"/>
                                        <w:effect w:val="none"/>
                                      </w:rPr>
                                      <w:t>84</w:t>
                                    </w:r>
                                  </w:hyperlink>
                                  <w:r>
                                    <w:rPr>
                                      <w:rFonts w:ascii="Arial" w:hAnsi="Arial"/>
                                      <w:color w:val="000000"/>
                                      <w:sz w:val="21"/>
                                    </w:rPr>
                                    <w:t xml:space="preserve"> </w:t>
                                  </w:r>
                                </w:p>
                              </w:tc>
                            </w:tr>
                          </w:tbl>
                          <w:tbl>
                            <w:tblPr>
                              <w:tblW w:w="3655" w:type="dxa"/>
                              <w:jc w:val="left"/>
                              <w:tblInd w:w="0" w:type="dxa"/>
                              <w:tblCellMar>
                                <w:top w:w="0" w:type="dxa"/>
                                <w:left w:w="0" w:type="dxa"/>
                                <w:bottom w:w="0" w:type="dxa"/>
                                <w:right w:w="0" w:type="dxa"/>
                              </w:tblCellMar>
                            </w:tblPr>
                            <w:tblGrid>
                              <w:gridCol w:w="3320"/>
                              <w:gridCol w:w="335"/>
                            </w:tblGrid>
                            <w:tr>
                              <w:trPr/>
                              <w:tc>
                                <w:tcPr>
                                  <w:tcW w:w="3320" w:type="dxa"/>
                                  <w:tcBorders/>
                                  <w:shd w:fill="auto" w:val="clear"/>
                                  <w:vAlign w:val="center"/>
                                </w:tcPr>
                                <w:p>
                                  <w:pPr>
                                    <w:pStyle w:val="TableContents"/>
                                    <w:pBdr/>
                                    <w:spacing w:before="0" w:after="60"/>
                                    <w:ind w:left="300" w:right="105" w:hanging="0"/>
                                    <w:rPr/>
                                  </w:pPr>
                                  <w:hyperlink w:anchor="new_id-144">
                                    <w:r>
                                      <w:rPr>
                                        <w:rStyle w:val="InternetLink"/>
                                        <w:rFonts w:ascii="Arial" w:hAnsi="Arial"/>
                                        <w:strike w:val="false"/>
                                        <w:dstrike w:val="false"/>
                                        <w:color w:val="000000"/>
                                        <w:sz w:val="21"/>
                                        <w:u w:val="none"/>
                                        <w:effect w:val="none"/>
                                      </w:rPr>
                                      <w:t xml:space="preserve">Post-Employment Compensation </w:t>
                                    </w:r>
                                  </w:hyperlink>
                                </w:p>
                              </w:tc>
                              <w:tc>
                                <w:tcPr>
                                  <w:tcW w:w="335" w:type="dxa"/>
                                  <w:tcBorders/>
                                  <w:shd w:fill="auto" w:val="clear"/>
                                  <w:vAlign w:val="center"/>
                                </w:tcPr>
                                <w:p>
                                  <w:pPr>
                                    <w:pStyle w:val="TableContents"/>
                                    <w:pBdr/>
                                    <w:spacing w:before="0" w:after="60"/>
                                    <w:ind w:left="0" w:right="0" w:hanging="0"/>
                                    <w:jc w:val="right"/>
                                    <w:rPr/>
                                  </w:pPr>
                                  <w:hyperlink w:anchor="new_id-144">
                                    <w:r>
                                      <w:rPr>
                                        <w:rStyle w:val="InternetLink"/>
                                        <w:rFonts w:ascii="Arial" w:hAnsi="Arial"/>
                                        <w:strike w:val="false"/>
                                        <w:dstrike w:val="false"/>
                                        <w:color w:val="000000"/>
                                        <w:sz w:val="21"/>
                                        <w:u w:val="none"/>
                                        <w:effect w:val="none"/>
                                      </w:rPr>
                                      <w:t>84</w:t>
                                    </w:r>
                                  </w:hyperlink>
                                  <w:r>
                                    <w:rPr>
                                      <w:rFonts w:ascii="Arial" w:hAnsi="Arial"/>
                                      <w:color w:val="000000"/>
                                      <w:sz w:val="21"/>
                                    </w:rPr>
                                    <w:t xml:space="preserve"> </w:t>
                                  </w:r>
                                </w:p>
                              </w:tc>
                            </w:tr>
                          </w:tbl>
                          <w:tbl>
                            <w:tblPr>
                              <w:tblW w:w="4405" w:type="dxa"/>
                              <w:jc w:val="left"/>
                              <w:tblInd w:w="0" w:type="dxa"/>
                              <w:tblCellMar>
                                <w:top w:w="0" w:type="dxa"/>
                                <w:left w:w="0" w:type="dxa"/>
                                <w:bottom w:w="0" w:type="dxa"/>
                                <w:right w:w="0" w:type="dxa"/>
                              </w:tblCellMar>
                            </w:tblPr>
                            <w:tblGrid>
                              <w:gridCol w:w="4070"/>
                              <w:gridCol w:w="335"/>
                            </w:tblGrid>
                            <w:tr>
                              <w:trPr/>
                              <w:tc>
                                <w:tcPr>
                                  <w:tcW w:w="4070" w:type="dxa"/>
                                  <w:tcBorders/>
                                  <w:shd w:fill="auto" w:val="clear"/>
                                  <w:vAlign w:val="center"/>
                                </w:tcPr>
                                <w:p>
                                  <w:pPr>
                                    <w:pStyle w:val="TableContents"/>
                                    <w:pBdr/>
                                    <w:spacing w:before="0" w:after="60"/>
                                    <w:ind w:left="0" w:right="105" w:hanging="0"/>
                                    <w:rPr/>
                                  </w:pPr>
                                  <w:hyperlink w:anchor="new_id-149">
                                    <w:r>
                                      <w:rPr>
                                        <w:rStyle w:val="InternetLink"/>
                                        <w:rFonts w:ascii="Arial" w:hAnsi="Arial"/>
                                        <w:b/>
                                        <w:strike w:val="false"/>
                                        <w:dstrike w:val="false"/>
                                        <w:color w:val="245BA7"/>
                                        <w:sz w:val="21"/>
                                        <w:u w:val="none"/>
                                        <w:effect w:val="none"/>
                                      </w:rPr>
                                      <w:t>Additional Compensation Information</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49">
                                    <w:r>
                                      <w:rPr>
                                        <w:rStyle w:val="InternetLink"/>
                                        <w:rFonts w:ascii="Arial" w:hAnsi="Arial"/>
                                        <w:b/>
                                        <w:strike w:val="false"/>
                                        <w:dstrike w:val="false"/>
                                        <w:color w:val="245BA7"/>
                                        <w:sz w:val="21"/>
                                        <w:u w:val="none"/>
                                        <w:effect w:val="none"/>
                                      </w:rPr>
                                      <w:t>88</w:t>
                                    </w:r>
                                  </w:hyperlink>
                                  <w:r>
                                    <w:rPr>
                                      <w:rFonts w:ascii="Arial" w:hAnsi="Arial"/>
                                      <w:b/>
                                      <w:color w:val="245BA7"/>
                                      <w:sz w:val="21"/>
                                    </w:rPr>
                                    <w:t xml:space="preserve"> </w:t>
                                  </w:r>
                                </w:p>
                              </w:tc>
                            </w:tr>
                          </w:tbl>
                          <w:tbl>
                            <w:tblPr>
                              <w:tblW w:w="2770" w:type="dxa"/>
                              <w:jc w:val="left"/>
                              <w:tblInd w:w="0" w:type="dxa"/>
                              <w:tblCellMar>
                                <w:top w:w="0" w:type="dxa"/>
                                <w:left w:w="0" w:type="dxa"/>
                                <w:bottom w:w="0" w:type="dxa"/>
                                <w:right w:w="0" w:type="dxa"/>
                              </w:tblCellMar>
                            </w:tblPr>
                            <w:tblGrid>
                              <w:gridCol w:w="2435"/>
                              <w:gridCol w:w="335"/>
                            </w:tblGrid>
                            <w:tr>
                              <w:trPr/>
                              <w:tc>
                                <w:tcPr>
                                  <w:tcW w:w="2435" w:type="dxa"/>
                                  <w:tcBorders/>
                                  <w:shd w:fill="auto" w:val="clear"/>
                                  <w:vAlign w:val="center"/>
                                </w:tcPr>
                                <w:p>
                                  <w:pPr>
                                    <w:pStyle w:val="TableContents"/>
                                    <w:pBdr/>
                                    <w:spacing w:before="0" w:after="60"/>
                                    <w:ind w:left="300" w:right="105" w:hanging="0"/>
                                    <w:rPr/>
                                  </w:pPr>
                                  <w:hyperlink w:anchor="new_id-150">
                                    <w:r>
                                      <w:rPr>
                                        <w:rStyle w:val="InternetLink"/>
                                        <w:rFonts w:ascii="Arial" w:hAnsi="Arial"/>
                                        <w:strike w:val="false"/>
                                        <w:dstrike w:val="false"/>
                                        <w:color w:val="000000"/>
                                        <w:sz w:val="21"/>
                                        <w:u w:val="none"/>
                                        <w:effect w:val="none"/>
                                      </w:rPr>
                                      <w:t xml:space="preserve">Annual Cash Incentives </w:t>
                                    </w:r>
                                  </w:hyperlink>
                                </w:p>
                              </w:tc>
                              <w:tc>
                                <w:tcPr>
                                  <w:tcW w:w="335" w:type="dxa"/>
                                  <w:tcBorders/>
                                  <w:shd w:fill="auto" w:val="clear"/>
                                  <w:vAlign w:val="center"/>
                                </w:tcPr>
                                <w:p>
                                  <w:pPr>
                                    <w:pStyle w:val="TableContents"/>
                                    <w:pBdr/>
                                    <w:spacing w:before="0" w:after="60"/>
                                    <w:ind w:left="0" w:right="0" w:hanging="0"/>
                                    <w:jc w:val="right"/>
                                    <w:rPr/>
                                  </w:pPr>
                                  <w:hyperlink w:anchor="new_id-150">
                                    <w:r>
                                      <w:rPr>
                                        <w:rStyle w:val="InternetLink"/>
                                        <w:rFonts w:ascii="Arial" w:hAnsi="Arial"/>
                                        <w:strike w:val="false"/>
                                        <w:dstrike w:val="false"/>
                                        <w:color w:val="000000"/>
                                        <w:sz w:val="21"/>
                                        <w:u w:val="none"/>
                                        <w:effect w:val="none"/>
                                      </w:rPr>
                                      <w:t>88</w:t>
                                    </w:r>
                                  </w:hyperlink>
                                  <w:r>
                                    <w:rPr>
                                      <w:rFonts w:ascii="Arial" w:hAnsi="Arial"/>
                                      <w:color w:val="000000"/>
                                      <w:sz w:val="21"/>
                                    </w:rPr>
                                    <w:t xml:space="preserve"> </w:t>
                                  </w:r>
                                </w:p>
                              </w:tc>
                            </w:tr>
                          </w:tbl>
                          <w:tbl>
                            <w:tblPr>
                              <w:tblW w:w="3730" w:type="dxa"/>
                              <w:jc w:val="left"/>
                              <w:tblInd w:w="0" w:type="dxa"/>
                              <w:tblCellMar>
                                <w:top w:w="0" w:type="dxa"/>
                                <w:left w:w="0" w:type="dxa"/>
                                <w:bottom w:w="0" w:type="dxa"/>
                                <w:right w:w="0" w:type="dxa"/>
                              </w:tblCellMar>
                            </w:tblPr>
                            <w:tblGrid>
                              <w:gridCol w:w="3395"/>
                              <w:gridCol w:w="335"/>
                            </w:tblGrid>
                            <w:tr>
                              <w:trPr/>
                              <w:tc>
                                <w:tcPr>
                                  <w:tcW w:w="3395" w:type="dxa"/>
                                  <w:tcBorders/>
                                  <w:shd w:fill="auto" w:val="clear"/>
                                  <w:vAlign w:val="center"/>
                                </w:tcPr>
                                <w:p>
                                  <w:pPr>
                                    <w:pStyle w:val="TableContents"/>
                                    <w:pBdr/>
                                    <w:spacing w:before="0" w:after="60"/>
                                    <w:ind w:left="300" w:right="105" w:hanging="0"/>
                                    <w:rPr/>
                                  </w:pPr>
                                  <w:hyperlink w:anchor="new_id-151">
                                    <w:r>
                                      <w:rPr>
                                        <w:rStyle w:val="InternetLink"/>
                                        <w:rFonts w:ascii="Arial" w:hAnsi="Arial"/>
                                        <w:strike w:val="false"/>
                                        <w:dstrike w:val="false"/>
                                        <w:color w:val="000000"/>
                                        <w:sz w:val="21"/>
                                        <w:u w:val="none"/>
                                        <w:effect w:val="none"/>
                                      </w:rPr>
                                      <w:t>Perquisites and Personal Benefits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51">
                                    <w:r>
                                      <w:rPr>
                                        <w:rStyle w:val="InternetLink"/>
                                        <w:rFonts w:ascii="Arial" w:hAnsi="Arial"/>
                                        <w:strike w:val="false"/>
                                        <w:dstrike w:val="false"/>
                                        <w:color w:val="000000"/>
                                        <w:sz w:val="21"/>
                                        <w:u w:val="none"/>
                                        <w:effect w:val="none"/>
                                      </w:rPr>
                                      <w:t>93</w:t>
                                    </w:r>
                                  </w:hyperlink>
                                  <w:r>
                                    <w:rPr>
                                      <w:rFonts w:ascii="Arial" w:hAnsi="Arial"/>
                                      <w:color w:val="000000"/>
                                      <w:sz w:val="21"/>
                                    </w:rPr>
                                    <w:t xml:space="preserve"> </w:t>
                                  </w:r>
                                </w:p>
                              </w:tc>
                            </w:tr>
                          </w:tbl>
                          <w:tbl>
                            <w:tblPr>
                              <w:tblW w:w="3445" w:type="dxa"/>
                              <w:jc w:val="left"/>
                              <w:tblInd w:w="0" w:type="dxa"/>
                              <w:tblCellMar>
                                <w:top w:w="0" w:type="dxa"/>
                                <w:left w:w="0" w:type="dxa"/>
                                <w:bottom w:w="0" w:type="dxa"/>
                                <w:right w:w="0" w:type="dxa"/>
                              </w:tblCellMar>
                            </w:tblPr>
                            <w:tblGrid>
                              <w:gridCol w:w="3110"/>
                              <w:gridCol w:w="335"/>
                            </w:tblGrid>
                            <w:tr>
                              <w:trPr/>
                              <w:tc>
                                <w:tcPr>
                                  <w:tcW w:w="3110" w:type="dxa"/>
                                  <w:tcBorders/>
                                  <w:shd w:fill="auto" w:val="clear"/>
                                  <w:vAlign w:val="center"/>
                                </w:tcPr>
                                <w:p>
                                  <w:pPr>
                                    <w:pStyle w:val="TableContents"/>
                                    <w:pBdr/>
                                    <w:spacing w:before="0" w:after="60"/>
                                    <w:ind w:left="300" w:right="105" w:hanging="0"/>
                                    <w:rPr/>
                                  </w:pPr>
                                  <w:hyperlink w:anchor="new_id-152">
                                    <w:r>
                                      <w:rPr>
                                        <w:rStyle w:val="InternetLink"/>
                                        <w:rFonts w:ascii="Arial" w:hAnsi="Arial"/>
                                        <w:strike w:val="false"/>
                                        <w:dstrike w:val="false"/>
                                        <w:color w:val="000000"/>
                                        <w:sz w:val="21"/>
                                        <w:u w:val="none"/>
                                        <w:effect w:val="none"/>
                                      </w:rPr>
                                      <w:t xml:space="preserve">Potential Severance Payments </w:t>
                                    </w:r>
                                  </w:hyperlink>
                                </w:p>
                              </w:tc>
                              <w:tc>
                                <w:tcPr>
                                  <w:tcW w:w="335" w:type="dxa"/>
                                  <w:tcBorders/>
                                  <w:shd w:fill="auto" w:val="clear"/>
                                  <w:vAlign w:val="center"/>
                                </w:tcPr>
                                <w:p>
                                  <w:pPr>
                                    <w:pStyle w:val="TableContents"/>
                                    <w:pBdr/>
                                    <w:spacing w:before="0" w:after="60"/>
                                    <w:ind w:left="0" w:right="0" w:hanging="0"/>
                                    <w:jc w:val="right"/>
                                    <w:rPr/>
                                  </w:pPr>
                                  <w:hyperlink w:anchor="new_id-152">
                                    <w:r>
                                      <w:rPr>
                                        <w:rStyle w:val="InternetLink"/>
                                        <w:rFonts w:ascii="Arial" w:hAnsi="Arial"/>
                                        <w:strike w:val="false"/>
                                        <w:dstrike w:val="false"/>
                                        <w:color w:val="000000"/>
                                        <w:sz w:val="21"/>
                                        <w:u w:val="none"/>
                                        <w:effect w:val="none"/>
                                      </w:rPr>
                                      <w:t>94</w:t>
                                    </w:r>
                                  </w:hyperlink>
                                  <w:r>
                                    <w:rPr>
                                      <w:rFonts w:ascii="Arial" w:hAnsi="Arial"/>
                                      <w:color w:val="000000"/>
                                      <w:sz w:val="21"/>
                                    </w:rPr>
                                    <w:t xml:space="preserve"> </w:t>
                                  </w:r>
                                </w:p>
                              </w:tc>
                            </w:tr>
                          </w:tbl>
                          <w:tbl>
                            <w:tblPr>
                              <w:tblW w:w="1450" w:type="dxa"/>
                              <w:jc w:val="left"/>
                              <w:tblInd w:w="0" w:type="dxa"/>
                              <w:tblCellMar>
                                <w:top w:w="0" w:type="dxa"/>
                                <w:left w:w="0" w:type="dxa"/>
                                <w:bottom w:w="0" w:type="dxa"/>
                                <w:right w:w="0" w:type="dxa"/>
                              </w:tblCellMar>
                            </w:tblPr>
                            <w:tblGrid>
                              <w:gridCol w:w="1115"/>
                              <w:gridCol w:w="335"/>
                            </w:tblGrid>
                            <w:tr>
                              <w:trPr/>
                              <w:tc>
                                <w:tcPr>
                                  <w:tcW w:w="1115" w:type="dxa"/>
                                  <w:tcBorders/>
                                  <w:shd w:fill="auto" w:val="clear"/>
                                  <w:vAlign w:val="center"/>
                                </w:tcPr>
                                <w:p>
                                  <w:pPr>
                                    <w:pStyle w:val="TableContents"/>
                                    <w:pBdr/>
                                    <w:spacing w:before="0" w:after="60"/>
                                    <w:ind w:left="300" w:right="105" w:hanging="0"/>
                                    <w:rPr/>
                                  </w:pPr>
                                  <w:hyperlink w:anchor="new_id-153">
                                    <w:r>
                                      <w:rPr>
                                        <w:rStyle w:val="InternetLink"/>
                                        <w:rFonts w:ascii="Arial" w:hAnsi="Arial"/>
                                        <w:strike w:val="false"/>
                                        <w:dstrike w:val="false"/>
                                        <w:color w:val="000000"/>
                                        <w:sz w:val="21"/>
                                        <w:u w:val="none"/>
                                        <w:effect w:val="none"/>
                                      </w:rPr>
                                      <w:t>Pay Ratio</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53">
                                    <w:r>
                                      <w:rPr>
                                        <w:rStyle w:val="InternetLink"/>
                                        <w:rFonts w:ascii="Arial" w:hAnsi="Arial"/>
                                        <w:strike w:val="false"/>
                                        <w:dstrike w:val="false"/>
                                        <w:color w:val="000000"/>
                                        <w:sz w:val="21"/>
                                        <w:u w:val="none"/>
                                        <w:effect w:val="none"/>
                                      </w:rPr>
                                      <w:t>95</w:t>
                                    </w:r>
                                  </w:hyperlink>
                                  <w:r>
                                    <w:rPr>
                                      <w:rFonts w:ascii="Arial" w:hAnsi="Arial"/>
                                      <w:color w:val="000000"/>
                                      <w:sz w:val="21"/>
                                    </w:rPr>
                                    <w:t xml:space="preserve"> </w:t>
                                  </w:r>
                                </w:p>
                              </w:tc>
                            </w:tr>
                          </w:tbl>
                          <w:tbl>
                            <w:tblPr>
                              <w:tblW w:w="2905" w:type="dxa"/>
                              <w:jc w:val="left"/>
                              <w:tblInd w:w="0" w:type="dxa"/>
                              <w:tblCellMar>
                                <w:top w:w="0" w:type="dxa"/>
                                <w:left w:w="0" w:type="dxa"/>
                                <w:bottom w:w="0" w:type="dxa"/>
                                <w:right w:w="0" w:type="dxa"/>
                              </w:tblCellMar>
                            </w:tblPr>
                            <w:tblGrid>
                              <w:gridCol w:w="2570"/>
                              <w:gridCol w:w="335"/>
                            </w:tblGrid>
                            <w:tr>
                              <w:trPr/>
                              <w:tc>
                                <w:tcPr>
                                  <w:tcW w:w="2570" w:type="dxa"/>
                                  <w:tcBorders/>
                                  <w:shd w:fill="auto" w:val="clear"/>
                                  <w:vAlign w:val="center"/>
                                </w:tcPr>
                                <w:p>
                                  <w:pPr>
                                    <w:pStyle w:val="TableContents"/>
                                    <w:pBdr/>
                                    <w:spacing w:before="0" w:after="60"/>
                                    <w:ind w:left="300" w:right="105" w:hanging="0"/>
                                    <w:rPr/>
                                  </w:pPr>
                                  <w:hyperlink w:anchor="new_id-154">
                                    <w:r>
                                      <w:rPr>
                                        <w:rStyle w:val="InternetLink"/>
                                        <w:rFonts w:ascii="Arial" w:hAnsi="Arial"/>
                                        <w:strike w:val="false"/>
                                        <w:dstrike w:val="false"/>
                                        <w:color w:val="000000"/>
                                        <w:sz w:val="21"/>
                                        <w:u w:val="none"/>
                                        <w:effect w:val="none"/>
                                      </w:rPr>
                                      <w:t>Pay Versus Performance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54">
                                    <w:r>
                                      <w:rPr>
                                        <w:rStyle w:val="InternetLink"/>
                                        <w:rFonts w:ascii="Arial" w:hAnsi="Arial"/>
                                        <w:strike w:val="false"/>
                                        <w:dstrike w:val="false"/>
                                        <w:color w:val="000000"/>
                                        <w:sz w:val="21"/>
                                        <w:u w:val="none"/>
                                        <w:effect w:val="none"/>
                                      </w:rPr>
                                      <w:t>96</w:t>
                                    </w:r>
                                  </w:hyperlink>
                                  <w:r>
                                    <w:rPr>
                                      <w:rFonts w:ascii="Arial" w:hAnsi="Arial"/>
                                      <w:color w:val="000000"/>
                                      <w:sz w:val="21"/>
                                    </w:rPr>
                                    <w:t xml:space="preserve"> </w:t>
                                  </w:r>
                                </w:p>
                              </w:tc>
                            </w:tr>
                          </w:tbl>
                          <w:tbl>
                            <w:tblPr>
                              <w:tblW w:w="3820" w:type="dxa"/>
                              <w:jc w:val="left"/>
                              <w:tblInd w:w="0" w:type="dxa"/>
                              <w:tblCellMar>
                                <w:top w:w="0" w:type="dxa"/>
                                <w:left w:w="0" w:type="dxa"/>
                                <w:bottom w:w="0" w:type="dxa"/>
                                <w:right w:w="0" w:type="dxa"/>
                              </w:tblCellMar>
                            </w:tblPr>
                            <w:tblGrid>
                              <w:gridCol w:w="3365"/>
                              <w:gridCol w:w="455"/>
                            </w:tblGrid>
                            <w:tr>
                              <w:trPr/>
                              <w:tc>
                                <w:tcPr>
                                  <w:tcW w:w="3365" w:type="dxa"/>
                                  <w:tcBorders/>
                                  <w:shd w:fill="auto" w:val="clear"/>
                                  <w:vAlign w:val="center"/>
                                </w:tcPr>
                                <w:p>
                                  <w:pPr>
                                    <w:pStyle w:val="TableContents"/>
                                    <w:pBdr/>
                                    <w:spacing w:before="0" w:after="0"/>
                                    <w:ind w:left="300" w:right="105" w:hanging="0"/>
                                    <w:rPr/>
                                  </w:pPr>
                                  <w:hyperlink w:anchor="new_id-164">
                                    <w:r>
                                      <w:rPr>
                                        <w:rStyle w:val="InternetLink"/>
                                        <w:rFonts w:ascii="Arial" w:hAnsi="Arial"/>
                                        <w:strike w:val="false"/>
                                        <w:dstrike w:val="false"/>
                                        <w:color w:val="000000"/>
                                        <w:sz w:val="21"/>
                                        <w:u w:val="none"/>
                                        <w:effect w:val="none"/>
                                      </w:rPr>
                                      <w:t>Equity Compensation Information</w:t>
                                    </w:r>
                                  </w:hyperlink>
                                  <w:r>
                                    <w:rPr>
                                      <w:rFonts w:ascii="Arial" w:hAnsi="Arial"/>
                                      <w:color w:val="000000"/>
                                      <w:sz w:val="21"/>
                                    </w:rPr>
                                    <w:t xml:space="preserve"> </w:t>
                                  </w:r>
                                </w:p>
                              </w:tc>
                              <w:tc>
                                <w:tcPr>
                                  <w:tcW w:w="455" w:type="dxa"/>
                                  <w:tcBorders/>
                                  <w:shd w:fill="auto" w:val="clear"/>
                                  <w:vAlign w:val="center"/>
                                </w:tcPr>
                                <w:p>
                                  <w:pPr>
                                    <w:pStyle w:val="TableContents"/>
                                    <w:pBdr/>
                                    <w:spacing w:before="0" w:after="60"/>
                                    <w:ind w:left="0" w:right="0" w:hanging="0"/>
                                    <w:jc w:val="right"/>
                                    <w:rPr/>
                                  </w:pPr>
                                  <w:hyperlink w:anchor="new_id-164">
                                    <w:r>
                                      <w:rPr>
                                        <w:rStyle w:val="InternetLink"/>
                                        <w:rFonts w:ascii="Arial" w:hAnsi="Arial"/>
                                        <w:strike w:val="false"/>
                                        <w:dstrike w:val="false"/>
                                        <w:color w:val="000000"/>
                                        <w:sz w:val="21"/>
                                        <w:u w:val="none"/>
                                        <w:effect w:val="none"/>
                                      </w:rPr>
                                      <w:t>100</w:t>
                                    </w:r>
                                  </w:hyperlink>
                                  <w:r>
                                    <w:rPr>
                                      <w:rFonts w:ascii="Arial" w:hAnsi="Arial"/>
                                      <w:color w:val="000000"/>
                                      <w:sz w:val="21"/>
                                    </w:rPr>
                                    <w:t xml:space="preserve"> </w:t>
                                  </w:r>
                                </w:p>
                              </w:tc>
                            </w:tr>
                          </w:tbl>
                          <w:tbl>
                            <w:tblPr>
                              <w:tblW w:w="10205" w:type="dxa"/>
                              <w:jc w:val="left"/>
                              <w:tblInd w:w="0" w:type="dxa"/>
                              <w:tblCellMar>
                                <w:top w:w="0" w:type="dxa"/>
                                <w:left w:w="0" w:type="dxa"/>
                                <w:bottom w:w="0" w:type="dxa"/>
                                <w:right w:w="0" w:type="dxa"/>
                              </w:tblCellMar>
                            </w:tblPr>
                            <w:tblGrid>
                              <w:gridCol w:w="9661"/>
                              <w:gridCol w:w="544"/>
                            </w:tblGrid>
                            <w:tr>
                              <w:trPr/>
                              <w:tc>
                                <w:tcPr>
                                  <w:tcW w:w="966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9661" w:type="dxa"/>
                                  <w:tcBorders>
                                    <w:bottom w:val="single" w:sz="12" w:space="0" w:color="245BA7"/>
                                  </w:tcBorders>
                                  <w:shd w:fill="auto" w:val="clear"/>
                                  <w:tcMar>
                                    <w:bottom w:w="28" w:type="dxa"/>
                                  </w:tcMar>
                                  <w:vAlign w:val="center"/>
                                </w:tcPr>
                                <w:p>
                                  <w:pPr>
                                    <w:pStyle w:val="TableContents"/>
                                    <w:pBdr/>
                                    <w:spacing w:before="0" w:after="0"/>
                                    <w:ind w:left="0" w:right="210" w:hanging="0"/>
                                    <w:rPr/>
                                  </w:pPr>
                                  <w:hyperlink w:anchor="new_id-168">
                                    <w:r>
                                      <w:rPr>
                                        <w:rStyle w:val="InternetLink"/>
                                        <w:rFonts w:ascii="Arial" w:hAnsi="Arial"/>
                                        <w:b/>
                                        <w:strike w:val="false"/>
                                        <w:dstrike w:val="false"/>
                                        <w:color w:val="000000"/>
                                        <w:sz w:val="18"/>
                                        <w:u w:val="none"/>
                                        <w:effect w:val="none"/>
                                      </w:rPr>
                                      <w:t>PROPOSAL NO. 3</w:t>
                                    </w:r>
                                  </w:hyperlink>
                                  <w:hyperlink w:anchor="new_id-168">
                                    <w:r>
                                      <w:rPr>
                                        <w:rStyle w:val="InternetLink"/>
                                        <w:rFonts w:ascii="Arial" w:hAnsi="Arial"/>
                                        <w:b/>
                                        <w:strike w:val="false"/>
                                        <w:dstrike w:val="false"/>
                                        <w:color w:val="D31B5D"/>
                                        <w:sz w:val="27"/>
                                        <w:u w:val="none"/>
                                        <w:effect w:val="none"/>
                                      </w:rPr>
                                      <w:br/>
                                      <w:t>ADVISORY VOTE ON COMPENSATION OF NAMED EXECUTIVE OFFICERS (SAY-ON-PAY)</w:t>
                                    </w:r>
                                  </w:hyperlink>
                                </w:p>
                              </w:tc>
                              <w:tc>
                                <w:tcPr>
                                  <w:tcW w:w="544" w:type="dxa"/>
                                  <w:tcBorders>
                                    <w:bottom w:val="single" w:sz="12" w:space="0" w:color="245BA7"/>
                                  </w:tcBorders>
                                  <w:shd w:fill="auto" w:val="clear"/>
                                  <w:tcMar>
                                    <w:bottom w:w="45" w:type="dxa"/>
                                  </w:tcMar>
                                  <w:vAlign w:val="center"/>
                                </w:tcPr>
                                <w:p>
                                  <w:pPr>
                                    <w:pStyle w:val="TableContents"/>
                                    <w:pBdr/>
                                    <w:spacing w:before="0" w:after="0"/>
                                    <w:ind w:left="0" w:right="0" w:hanging="0"/>
                                    <w:jc w:val="right"/>
                                    <w:rPr/>
                                  </w:pPr>
                                  <w:hyperlink w:anchor="new_id-168">
                                    <w:r>
                                      <w:rPr>
                                        <w:rStyle w:val="InternetLink"/>
                                        <w:rFonts w:ascii="Arial" w:hAnsi="Arial"/>
                                        <w:b/>
                                        <w:strike w:val="false"/>
                                        <w:dstrike w:val="false"/>
                                        <w:color w:val="D31B5D"/>
                                        <w:sz w:val="27"/>
                                        <w:u w:val="none"/>
                                        <w:effect w:val="none"/>
                                      </w:rPr>
                                      <w:t>102</w:t>
                                    </w:r>
                                  </w:hyperlink>
                                  <w:r>
                                    <w:rPr>
                                      <w:rFonts w:ascii="Arial" w:hAnsi="Arial"/>
                                      <w:b/>
                                      <w:color w:val="D31B5D"/>
                                      <w:sz w:val="27"/>
                                    </w:rPr>
                                    <w:t xml:space="preserve"> </w:t>
                                  </w:r>
                                </w:p>
                              </w:tc>
                            </w:tr>
                          </w:tbl>
                          <w:tbl>
                            <w:tblPr>
                              <w:tblW w:w="10205" w:type="dxa"/>
                              <w:jc w:val="left"/>
                              <w:tblInd w:w="0" w:type="dxa"/>
                              <w:tblCellMar>
                                <w:top w:w="0" w:type="dxa"/>
                                <w:left w:w="0" w:type="dxa"/>
                                <w:bottom w:w="0" w:type="dxa"/>
                                <w:right w:w="0" w:type="dxa"/>
                              </w:tblCellMar>
                            </w:tblPr>
                            <w:tblGrid>
                              <w:gridCol w:w="9669"/>
                              <w:gridCol w:w="536"/>
                            </w:tblGrid>
                            <w:tr>
                              <w:trPr/>
                              <w:tc>
                                <w:tcPr>
                                  <w:tcW w:w="966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9669" w:type="dxa"/>
                                  <w:tcBorders>
                                    <w:bottom w:val="single" w:sz="12" w:space="0" w:color="245BA7"/>
                                  </w:tcBorders>
                                  <w:shd w:fill="auto" w:val="clear"/>
                                  <w:tcMar>
                                    <w:bottom w:w="45" w:type="dxa"/>
                                  </w:tcMar>
                                  <w:vAlign w:val="center"/>
                                </w:tcPr>
                                <w:p>
                                  <w:pPr>
                                    <w:pStyle w:val="TableContents"/>
                                    <w:pBdr/>
                                    <w:spacing w:before="0" w:after="0"/>
                                    <w:ind w:left="0" w:right="210" w:hanging="0"/>
                                    <w:rPr/>
                                  </w:pPr>
                                  <w:hyperlink w:anchor="new_id-169">
                                    <w:r>
                                      <w:rPr>
                                        <w:rStyle w:val="InternetLink"/>
                                        <w:rFonts w:ascii="Arial" w:hAnsi="Arial"/>
                                        <w:b/>
                                        <w:strike w:val="false"/>
                                        <w:dstrike w:val="false"/>
                                        <w:color w:val="000000"/>
                                        <w:sz w:val="18"/>
                                        <w:u w:val="none"/>
                                        <w:effect w:val="none"/>
                                      </w:rPr>
                                      <w:t>PROPOSAL NO. 4</w:t>
                                    </w:r>
                                  </w:hyperlink>
                                  <w:hyperlink w:anchor="new_id-169">
                                    <w:r>
                                      <w:rPr>
                                        <w:rStyle w:val="InternetLink"/>
                                        <w:rFonts w:ascii="Arial" w:hAnsi="Arial"/>
                                        <w:b/>
                                        <w:strike w:val="false"/>
                                        <w:dstrike w:val="false"/>
                                        <w:color w:val="D31B5D"/>
                                        <w:sz w:val="27"/>
                                        <w:u w:val="none"/>
                                        <w:effect w:val="none"/>
                                      </w:rPr>
                                      <w:br/>
                                      <w:t>ADVISORY VOTE ON THE FREQUENCY OF FUTURE SAY-ON-PAY VOTES (SAY-ON-FREQUENCY)</w:t>
                                    </w:r>
                                  </w:hyperlink>
                                </w:p>
                              </w:tc>
                              <w:tc>
                                <w:tcPr>
                                  <w:tcW w:w="536" w:type="dxa"/>
                                  <w:tcBorders>
                                    <w:bottom w:val="single" w:sz="12" w:space="0" w:color="245BA7"/>
                                  </w:tcBorders>
                                  <w:shd w:fill="auto" w:val="clear"/>
                                  <w:tcMar>
                                    <w:bottom w:w="45" w:type="dxa"/>
                                  </w:tcMar>
                                  <w:vAlign w:val="center"/>
                                </w:tcPr>
                                <w:p>
                                  <w:pPr>
                                    <w:pStyle w:val="TableContents"/>
                                    <w:pBdr/>
                                    <w:spacing w:before="0" w:after="0"/>
                                    <w:ind w:left="0" w:right="0" w:hanging="0"/>
                                    <w:jc w:val="right"/>
                                    <w:rPr/>
                                  </w:pPr>
                                  <w:hyperlink w:anchor="new_id-169">
                                    <w:r>
                                      <w:rPr>
                                        <w:rStyle w:val="InternetLink"/>
                                        <w:rFonts w:ascii="Arial" w:hAnsi="Arial"/>
                                        <w:b/>
                                        <w:strike w:val="false"/>
                                        <w:dstrike w:val="false"/>
                                        <w:color w:val="D31B5D"/>
                                        <w:sz w:val="27"/>
                                        <w:u w:val="none"/>
                                        <w:effect w:val="none"/>
                                      </w:rPr>
                                      <w:t>104</w:t>
                                    </w:r>
                                  </w:hyperlink>
                                  <w:r>
                                    <w:rPr>
                                      <w:rFonts w:ascii="Arial" w:hAnsi="Arial"/>
                                      <w:b/>
                                      <w:color w:val="D31B5D"/>
                                      <w:sz w:val="27"/>
                                    </w:rPr>
                                    <w:t xml:space="preserve"> </w:t>
                                  </w:r>
                                </w:p>
                              </w:tc>
                            </w:tr>
                          </w:tbl>
                          <w:tbl>
                            <w:tblPr>
                              <w:tblW w:w="10205" w:type="dxa"/>
                              <w:jc w:val="left"/>
                              <w:tblInd w:w="0" w:type="dxa"/>
                              <w:tblCellMar>
                                <w:top w:w="0" w:type="dxa"/>
                                <w:left w:w="0" w:type="dxa"/>
                                <w:bottom w:w="0" w:type="dxa"/>
                                <w:right w:w="0" w:type="dxa"/>
                              </w:tblCellMar>
                            </w:tblPr>
                            <w:tblGrid>
                              <w:gridCol w:w="9697"/>
                              <w:gridCol w:w="508"/>
                            </w:tblGrid>
                            <w:tr>
                              <w:trPr/>
                              <w:tc>
                                <w:tcPr>
                                  <w:tcW w:w="9697"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9697" w:type="dxa"/>
                                  <w:tcBorders>
                                    <w:bottom w:val="single" w:sz="12" w:space="0" w:color="245BA7"/>
                                  </w:tcBorders>
                                  <w:shd w:fill="auto" w:val="clear"/>
                                  <w:tcMar>
                                    <w:bottom w:w="45" w:type="dxa"/>
                                  </w:tcMar>
                                  <w:vAlign w:val="center"/>
                                </w:tcPr>
                                <w:p>
                                  <w:pPr>
                                    <w:pStyle w:val="TableContents"/>
                                    <w:pBdr/>
                                    <w:spacing w:before="0" w:after="0"/>
                                    <w:ind w:left="0" w:right="210" w:hanging="0"/>
                                    <w:rPr/>
                                  </w:pPr>
                                  <w:hyperlink w:anchor="new_id-170">
                                    <w:r>
                                      <w:rPr>
                                        <w:rStyle w:val="InternetLink"/>
                                        <w:rFonts w:ascii="Arial" w:hAnsi="Arial"/>
                                        <w:b/>
                                        <w:strike w:val="false"/>
                                        <w:dstrike w:val="false"/>
                                        <w:color w:val="000000"/>
                                        <w:sz w:val="18"/>
                                        <w:u w:val="none"/>
                                        <w:effect w:val="none"/>
                                      </w:rPr>
                                      <w:t>PROPOSAL NO. 5</w:t>
                                    </w:r>
                                  </w:hyperlink>
                                  <w:hyperlink w:anchor="new_id-170">
                                    <w:r>
                                      <w:rPr>
                                        <w:rStyle w:val="InternetLink"/>
                                        <w:rFonts w:ascii="Arial" w:hAnsi="Arial"/>
                                        <w:b/>
                                        <w:strike w:val="false"/>
                                        <w:dstrike w:val="false"/>
                                        <w:color w:val="D31B5D"/>
                                        <w:sz w:val="27"/>
                                        <w:u w:val="none"/>
                                        <w:effect w:val="none"/>
                                      </w:rPr>
                                      <w:br/>
                                      <w:t>NON-BINDING SHAREHOLDER PROPOSAL REQUESTING REPORT ON A PROCESS BY WHICH ACCESS TO MEDICINE IS CONSIDERED IN MATTERS RELATED TO PROTECTING INTELLECTUAL PROPERTY</w:t>
                                    </w:r>
                                  </w:hyperlink>
                                </w:p>
                              </w:tc>
                              <w:tc>
                                <w:tcPr>
                                  <w:tcW w:w="508" w:type="dxa"/>
                                  <w:tcBorders>
                                    <w:bottom w:val="single" w:sz="12" w:space="0" w:color="245BA7"/>
                                  </w:tcBorders>
                                  <w:shd w:fill="auto" w:val="clear"/>
                                  <w:tcMar>
                                    <w:bottom w:w="45" w:type="dxa"/>
                                  </w:tcMar>
                                  <w:vAlign w:val="center"/>
                                </w:tcPr>
                                <w:p>
                                  <w:pPr>
                                    <w:pStyle w:val="TableContents"/>
                                    <w:pBdr/>
                                    <w:spacing w:before="0" w:after="0"/>
                                    <w:ind w:left="0" w:right="0" w:hanging="0"/>
                                    <w:jc w:val="right"/>
                                    <w:rPr/>
                                  </w:pPr>
                                  <w:hyperlink w:anchor="new_id-170">
                                    <w:r>
                                      <w:rPr>
                                        <w:rStyle w:val="InternetLink"/>
                                        <w:rFonts w:ascii="Arial" w:hAnsi="Arial"/>
                                        <w:b/>
                                        <w:strike w:val="false"/>
                                        <w:dstrike w:val="false"/>
                                        <w:color w:val="D31B5D"/>
                                        <w:sz w:val="27"/>
                                        <w:u w:val="none"/>
                                        <w:effect w:val="none"/>
                                      </w:rPr>
                                      <w:t>106</w:t>
                                    </w:r>
                                  </w:hyperlink>
                                  <w:r>
                                    <w:rPr>
                                      <w:rFonts w:ascii="Arial" w:hAnsi="Arial"/>
                                      <w:b/>
                                      <w:color w:val="D31B5D"/>
                                      <w:sz w:val="27"/>
                                    </w:rPr>
                                    <w:t xml:space="preserve"> </w:t>
                                  </w:r>
                                </w:p>
                              </w:tc>
                            </w:tr>
                          </w:tbl>
                          <w:tbl>
                            <w:tblPr>
                              <w:tblW w:w="6535" w:type="dxa"/>
                              <w:jc w:val="left"/>
                              <w:tblInd w:w="0" w:type="dxa"/>
                              <w:tblCellMar>
                                <w:top w:w="0" w:type="dxa"/>
                                <w:left w:w="0" w:type="dxa"/>
                                <w:bottom w:w="0" w:type="dxa"/>
                                <w:right w:w="0" w:type="dxa"/>
                              </w:tblCellMar>
                            </w:tblPr>
                            <w:tblGrid>
                              <w:gridCol w:w="6080"/>
                              <w:gridCol w:w="455"/>
                            </w:tblGrid>
                            <w:tr>
                              <w:trPr/>
                              <w:tc>
                                <w:tcPr>
                                  <w:tcW w:w="6080" w:type="dxa"/>
                                  <w:tcBorders/>
                                  <w:shd w:fill="auto" w:val="clear"/>
                                  <w:vAlign w:val="center"/>
                                </w:tcPr>
                                <w:p>
                                  <w:pPr>
                                    <w:pStyle w:val="TableContents"/>
                                    <w:pBdr/>
                                    <w:spacing w:before="0" w:after="60"/>
                                    <w:ind w:left="0" w:right="105" w:hanging="0"/>
                                    <w:rPr/>
                                  </w:pPr>
                                  <w:hyperlink w:anchor="new_id-171">
                                    <w:r>
                                      <w:rPr>
                                        <w:rStyle w:val="InternetLink"/>
                                        <w:rFonts w:ascii="Arial" w:hAnsi="Arial"/>
                                        <w:b/>
                                        <w:strike w:val="false"/>
                                        <w:dstrike w:val="false"/>
                                        <w:color w:val="245BA7"/>
                                        <w:sz w:val="21"/>
                                        <w:u w:val="none"/>
                                        <w:effect w:val="none"/>
                                      </w:rPr>
                                      <w:t>General Information about the Meeting and Other Matters</w:t>
                                    </w:r>
                                  </w:hyperlink>
                                  <w:r>
                                    <w:rPr>
                                      <w:rFonts w:ascii="Arial" w:hAnsi="Arial"/>
                                      <w:b/>
                                      <w:color w:val="245BA7"/>
                                      <w:sz w:val="21"/>
                                    </w:rPr>
                                    <w:t xml:space="preserve"> </w:t>
                                  </w:r>
                                </w:p>
                              </w:tc>
                              <w:tc>
                                <w:tcPr>
                                  <w:tcW w:w="455" w:type="dxa"/>
                                  <w:tcBorders/>
                                  <w:shd w:fill="auto" w:val="clear"/>
                                  <w:vAlign w:val="center"/>
                                </w:tcPr>
                                <w:p>
                                  <w:pPr>
                                    <w:pStyle w:val="TableContents"/>
                                    <w:pBdr/>
                                    <w:spacing w:before="0" w:after="60"/>
                                    <w:ind w:left="0" w:right="0" w:hanging="0"/>
                                    <w:jc w:val="right"/>
                                    <w:rPr/>
                                  </w:pPr>
                                  <w:hyperlink w:anchor="new_id-171">
                                    <w:r>
                                      <w:rPr>
                                        <w:rStyle w:val="InternetLink"/>
                                        <w:rFonts w:ascii="Arial" w:hAnsi="Arial"/>
                                        <w:b/>
                                        <w:strike w:val="false"/>
                                        <w:dstrike w:val="false"/>
                                        <w:color w:val="245BA7"/>
                                        <w:sz w:val="21"/>
                                        <w:u w:val="none"/>
                                        <w:effect w:val="none"/>
                                      </w:rPr>
                                      <w:t>110</w:t>
                                    </w:r>
                                  </w:hyperlink>
                                  <w:r>
                                    <w:rPr>
                                      <w:rFonts w:ascii="Arial" w:hAnsi="Arial"/>
                                      <w:b/>
                                      <w:color w:val="245BA7"/>
                                      <w:sz w:val="21"/>
                                    </w:rPr>
                                    <w:t xml:space="preserve"> </w:t>
                                  </w:r>
                                </w:p>
                              </w:tc>
                            </w:tr>
                          </w:tbl>
                          <w:tbl>
                            <w:tblPr>
                              <w:tblW w:w="10205" w:type="dxa"/>
                              <w:jc w:val="left"/>
                              <w:tblInd w:w="0" w:type="dxa"/>
                              <w:tblCellMar>
                                <w:top w:w="0" w:type="dxa"/>
                                <w:left w:w="0" w:type="dxa"/>
                                <w:bottom w:w="0" w:type="dxa"/>
                                <w:right w:w="0" w:type="dxa"/>
                              </w:tblCellMar>
                            </w:tblPr>
                            <w:tblGrid>
                              <w:gridCol w:w="9751"/>
                              <w:gridCol w:w="454"/>
                            </w:tblGrid>
                            <w:tr>
                              <w:trPr/>
                              <w:tc>
                                <w:tcPr>
                                  <w:tcW w:w="9751" w:type="dxa"/>
                                  <w:tcBorders/>
                                  <w:shd w:fill="auto" w:val="clear"/>
                                  <w:vAlign w:val="center"/>
                                </w:tcPr>
                                <w:p>
                                  <w:pPr>
                                    <w:pStyle w:val="TableContents"/>
                                    <w:pBdr/>
                                    <w:spacing w:before="0" w:after="60"/>
                                    <w:ind w:left="0" w:right="105" w:hanging="0"/>
                                    <w:rPr/>
                                  </w:pPr>
                                  <w:hyperlink w:anchor="new_id-199">
                                    <w:r>
                                      <w:rPr>
                                        <w:rStyle w:val="InternetLink"/>
                                        <w:rFonts w:ascii="Arial" w:hAnsi="Arial"/>
                                        <w:b/>
                                        <w:strike w:val="false"/>
                                        <w:dstrike w:val="false"/>
                                        <w:color w:val="245BA7"/>
                                        <w:sz w:val="21"/>
                                        <w:u w:val="none"/>
                                        <w:effect w:val="none"/>
                                      </w:rPr>
                                      <w:t>Appendix A – Note Regarding Forward-Looking Statements and Non-GAAP Financial Measures</w:t>
                                    </w:r>
                                  </w:hyperlink>
                                  <w:r>
                                    <w:rPr>
                                      <w:rFonts w:ascii="Arial" w:hAnsi="Arial"/>
                                      <w:b/>
                                      <w:color w:val="245BA7"/>
                                      <w:sz w:val="21"/>
                                    </w:rPr>
                                    <w:t xml:space="preserve"> </w:t>
                                  </w:r>
                                </w:p>
                              </w:tc>
                              <w:tc>
                                <w:tcPr>
                                  <w:tcW w:w="454" w:type="dxa"/>
                                  <w:tcBorders/>
                                  <w:shd w:fill="auto" w:val="clear"/>
                                  <w:vAlign w:val="center"/>
                                </w:tcPr>
                                <w:p>
                                  <w:pPr>
                                    <w:pStyle w:val="TableContents"/>
                                    <w:pBdr/>
                                    <w:spacing w:before="0" w:after="60"/>
                                    <w:ind w:left="0" w:right="0" w:hanging="0"/>
                                    <w:jc w:val="right"/>
                                    <w:rPr/>
                                  </w:pPr>
                                  <w:hyperlink w:anchor="new_id-199">
                                    <w:r>
                                      <w:rPr>
                                        <w:rStyle w:val="InternetLink"/>
                                        <w:rFonts w:ascii="Arial" w:hAnsi="Arial"/>
                                        <w:b/>
                                        <w:strike w:val="false"/>
                                        <w:dstrike w:val="false"/>
                                        <w:color w:val="245BA7"/>
                                        <w:sz w:val="21"/>
                                        <w:u w:val="none"/>
                                        <w:effect w:val="none"/>
                                      </w:rPr>
                                      <w:t>115</w:t>
                                    </w:r>
                                  </w:hyperlink>
                                  <w:r>
                                    <w:rPr>
                                      <w:rFonts w:ascii="Arial" w:hAnsi="Arial"/>
                                      <w:b/>
                                      <w:color w:val="245BA7"/>
                                      <w:sz w:val="21"/>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1.4pt;mso-wrap-distance-left:0pt;mso-wrap-distance-right:0pt;mso-wrap-distance-top:0pt;mso-wrap-distance-bottom:0pt;margin-top:0pt;mso-position-vertical:top;mso-position-vertical-relative:text;margin-left:265.35pt;mso-position-horizontal:right;mso-position-horizontal-relative:text">
                <v:textbox>
                  <w:txbxContent>
                    <w:tbl>
                      <w:tblPr>
                        <w:tblW w:w="5455" w:type="dxa"/>
                        <w:jc w:val="left"/>
                        <w:tblInd w:w="0" w:type="dxa"/>
                        <w:tblCellMar>
                          <w:top w:w="0" w:type="dxa"/>
                          <w:left w:w="0" w:type="dxa"/>
                          <w:bottom w:w="0" w:type="dxa"/>
                          <w:right w:w="0" w:type="dxa"/>
                        </w:tblCellMar>
                      </w:tblPr>
                      <w:tblGrid>
                        <w:gridCol w:w="5120"/>
                        <w:gridCol w:w="335"/>
                      </w:tblGrid>
                      <w:tr>
                        <w:trPr/>
                        <w:tc>
                          <w:tcPr>
                            <w:tcW w:w="5120" w:type="dxa"/>
                            <w:tcBorders/>
                            <w:shd w:fill="auto" w:val="clear"/>
                            <w:vAlign w:val="center"/>
                          </w:tcPr>
                          <w:p>
                            <w:pPr>
                              <w:pStyle w:val="TableContents"/>
                              <w:pBdr/>
                              <w:spacing w:before="0" w:after="60"/>
                              <w:ind w:left="300" w:right="105" w:hanging="0"/>
                              <w:rPr/>
                            </w:pPr>
                            <w:hyperlink w:anchor="new_id-142">
                              <w:r>
                                <w:rPr>
                                  <w:rStyle w:val="InternetLink"/>
                                  <w:rFonts w:ascii="Arial" w:hAnsi="Arial"/>
                                  <w:strike w:val="false"/>
                                  <w:dstrike w:val="false"/>
                                  <w:color w:val="000000"/>
                                  <w:sz w:val="21"/>
                                  <w:u w:val="none"/>
                                  <w:effect w:val="none"/>
                                </w:rPr>
                                <w:t>Outstanding Equity Awards at 2022 Fiscal Year-End</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42">
                              <w:r>
                                <w:rPr>
                                  <w:rStyle w:val="InternetLink"/>
                                  <w:rFonts w:ascii="Arial" w:hAnsi="Arial"/>
                                  <w:strike w:val="false"/>
                                  <w:dstrike w:val="false"/>
                                  <w:color w:val="000000"/>
                                  <w:sz w:val="21"/>
                                  <w:u w:val="none"/>
                                  <w:effect w:val="none"/>
                                </w:rPr>
                                <w:t>81</w:t>
                              </w:r>
                            </w:hyperlink>
                            <w:r>
                              <w:rPr>
                                <w:rFonts w:ascii="Arial" w:hAnsi="Arial"/>
                                <w:color w:val="000000"/>
                                <w:sz w:val="21"/>
                              </w:rPr>
                              <w:t xml:space="preserve"> </w:t>
                            </w:r>
                          </w:p>
                        </w:tc>
                      </w:tr>
                    </w:tbl>
                    <w:tbl>
                      <w:tblPr>
                        <w:tblW w:w="4405" w:type="dxa"/>
                        <w:jc w:val="left"/>
                        <w:tblInd w:w="0" w:type="dxa"/>
                        <w:tblCellMar>
                          <w:top w:w="0" w:type="dxa"/>
                          <w:left w:w="0" w:type="dxa"/>
                          <w:bottom w:w="0" w:type="dxa"/>
                          <w:right w:w="0" w:type="dxa"/>
                        </w:tblCellMar>
                      </w:tblPr>
                      <w:tblGrid>
                        <w:gridCol w:w="4070"/>
                        <w:gridCol w:w="335"/>
                      </w:tblGrid>
                      <w:tr>
                        <w:trPr/>
                        <w:tc>
                          <w:tcPr>
                            <w:tcW w:w="4070" w:type="dxa"/>
                            <w:tcBorders/>
                            <w:shd w:fill="auto" w:val="clear"/>
                            <w:vAlign w:val="center"/>
                          </w:tcPr>
                          <w:p>
                            <w:pPr>
                              <w:pStyle w:val="TableContents"/>
                              <w:pBdr/>
                              <w:spacing w:before="0" w:after="60"/>
                              <w:ind w:left="300" w:right="105" w:hanging="0"/>
                              <w:rPr/>
                            </w:pPr>
                            <w:hyperlink w:anchor="new_id-143">
                              <w:r>
                                <w:rPr>
                                  <w:rStyle w:val="InternetLink"/>
                                  <w:rFonts w:ascii="Arial" w:hAnsi="Arial"/>
                                  <w:strike w:val="false"/>
                                  <w:dstrike w:val="false"/>
                                  <w:color w:val="000000"/>
                                  <w:sz w:val="21"/>
                                  <w:u w:val="none"/>
                                  <w:effect w:val="none"/>
                                </w:rPr>
                                <w:t xml:space="preserve">2022 Option Exercises and Stock Vested </w:t>
                              </w:r>
                            </w:hyperlink>
                          </w:p>
                        </w:tc>
                        <w:tc>
                          <w:tcPr>
                            <w:tcW w:w="335" w:type="dxa"/>
                            <w:tcBorders/>
                            <w:shd w:fill="auto" w:val="clear"/>
                            <w:vAlign w:val="center"/>
                          </w:tcPr>
                          <w:p>
                            <w:pPr>
                              <w:pStyle w:val="TableContents"/>
                              <w:pBdr/>
                              <w:spacing w:before="0" w:after="60"/>
                              <w:ind w:left="0" w:right="0" w:hanging="0"/>
                              <w:jc w:val="right"/>
                              <w:rPr/>
                            </w:pPr>
                            <w:hyperlink w:anchor="new_id-143">
                              <w:r>
                                <w:rPr>
                                  <w:rStyle w:val="InternetLink"/>
                                  <w:rFonts w:ascii="Arial" w:hAnsi="Arial"/>
                                  <w:strike w:val="false"/>
                                  <w:dstrike w:val="false"/>
                                  <w:color w:val="000000"/>
                                  <w:sz w:val="21"/>
                                  <w:u w:val="none"/>
                                  <w:effect w:val="none"/>
                                </w:rPr>
                                <w:t>84</w:t>
                              </w:r>
                            </w:hyperlink>
                            <w:r>
                              <w:rPr>
                                <w:rFonts w:ascii="Arial" w:hAnsi="Arial"/>
                                <w:color w:val="000000"/>
                                <w:sz w:val="21"/>
                              </w:rPr>
                              <w:t xml:space="preserve"> </w:t>
                            </w:r>
                          </w:p>
                        </w:tc>
                      </w:tr>
                    </w:tbl>
                    <w:tbl>
                      <w:tblPr>
                        <w:tblW w:w="3655" w:type="dxa"/>
                        <w:jc w:val="left"/>
                        <w:tblInd w:w="0" w:type="dxa"/>
                        <w:tblCellMar>
                          <w:top w:w="0" w:type="dxa"/>
                          <w:left w:w="0" w:type="dxa"/>
                          <w:bottom w:w="0" w:type="dxa"/>
                          <w:right w:w="0" w:type="dxa"/>
                        </w:tblCellMar>
                      </w:tblPr>
                      <w:tblGrid>
                        <w:gridCol w:w="3320"/>
                        <w:gridCol w:w="335"/>
                      </w:tblGrid>
                      <w:tr>
                        <w:trPr/>
                        <w:tc>
                          <w:tcPr>
                            <w:tcW w:w="3320" w:type="dxa"/>
                            <w:tcBorders/>
                            <w:shd w:fill="auto" w:val="clear"/>
                            <w:vAlign w:val="center"/>
                          </w:tcPr>
                          <w:p>
                            <w:pPr>
                              <w:pStyle w:val="TableContents"/>
                              <w:pBdr/>
                              <w:spacing w:before="0" w:after="60"/>
                              <w:ind w:left="300" w:right="105" w:hanging="0"/>
                              <w:rPr/>
                            </w:pPr>
                            <w:hyperlink w:anchor="new_id-144">
                              <w:r>
                                <w:rPr>
                                  <w:rStyle w:val="InternetLink"/>
                                  <w:rFonts w:ascii="Arial" w:hAnsi="Arial"/>
                                  <w:strike w:val="false"/>
                                  <w:dstrike w:val="false"/>
                                  <w:color w:val="000000"/>
                                  <w:sz w:val="21"/>
                                  <w:u w:val="none"/>
                                  <w:effect w:val="none"/>
                                </w:rPr>
                                <w:t xml:space="preserve">Post-Employment Compensation </w:t>
                              </w:r>
                            </w:hyperlink>
                          </w:p>
                        </w:tc>
                        <w:tc>
                          <w:tcPr>
                            <w:tcW w:w="335" w:type="dxa"/>
                            <w:tcBorders/>
                            <w:shd w:fill="auto" w:val="clear"/>
                            <w:vAlign w:val="center"/>
                          </w:tcPr>
                          <w:p>
                            <w:pPr>
                              <w:pStyle w:val="TableContents"/>
                              <w:pBdr/>
                              <w:spacing w:before="0" w:after="60"/>
                              <w:ind w:left="0" w:right="0" w:hanging="0"/>
                              <w:jc w:val="right"/>
                              <w:rPr/>
                            </w:pPr>
                            <w:hyperlink w:anchor="new_id-144">
                              <w:r>
                                <w:rPr>
                                  <w:rStyle w:val="InternetLink"/>
                                  <w:rFonts w:ascii="Arial" w:hAnsi="Arial"/>
                                  <w:strike w:val="false"/>
                                  <w:dstrike w:val="false"/>
                                  <w:color w:val="000000"/>
                                  <w:sz w:val="21"/>
                                  <w:u w:val="none"/>
                                  <w:effect w:val="none"/>
                                </w:rPr>
                                <w:t>84</w:t>
                              </w:r>
                            </w:hyperlink>
                            <w:r>
                              <w:rPr>
                                <w:rFonts w:ascii="Arial" w:hAnsi="Arial"/>
                                <w:color w:val="000000"/>
                                <w:sz w:val="21"/>
                              </w:rPr>
                              <w:t xml:space="preserve"> </w:t>
                            </w:r>
                          </w:p>
                        </w:tc>
                      </w:tr>
                    </w:tbl>
                    <w:tbl>
                      <w:tblPr>
                        <w:tblW w:w="4405" w:type="dxa"/>
                        <w:jc w:val="left"/>
                        <w:tblInd w:w="0" w:type="dxa"/>
                        <w:tblCellMar>
                          <w:top w:w="0" w:type="dxa"/>
                          <w:left w:w="0" w:type="dxa"/>
                          <w:bottom w:w="0" w:type="dxa"/>
                          <w:right w:w="0" w:type="dxa"/>
                        </w:tblCellMar>
                      </w:tblPr>
                      <w:tblGrid>
                        <w:gridCol w:w="4070"/>
                        <w:gridCol w:w="335"/>
                      </w:tblGrid>
                      <w:tr>
                        <w:trPr/>
                        <w:tc>
                          <w:tcPr>
                            <w:tcW w:w="4070" w:type="dxa"/>
                            <w:tcBorders/>
                            <w:shd w:fill="auto" w:val="clear"/>
                            <w:vAlign w:val="center"/>
                          </w:tcPr>
                          <w:p>
                            <w:pPr>
                              <w:pStyle w:val="TableContents"/>
                              <w:pBdr/>
                              <w:spacing w:before="0" w:after="60"/>
                              <w:ind w:left="0" w:right="105" w:hanging="0"/>
                              <w:rPr/>
                            </w:pPr>
                            <w:hyperlink w:anchor="new_id-149">
                              <w:r>
                                <w:rPr>
                                  <w:rStyle w:val="InternetLink"/>
                                  <w:rFonts w:ascii="Arial" w:hAnsi="Arial"/>
                                  <w:b/>
                                  <w:strike w:val="false"/>
                                  <w:dstrike w:val="false"/>
                                  <w:color w:val="245BA7"/>
                                  <w:sz w:val="21"/>
                                  <w:u w:val="none"/>
                                  <w:effect w:val="none"/>
                                </w:rPr>
                                <w:t>Additional Compensation Information</w:t>
                              </w:r>
                            </w:hyperlink>
                            <w:r>
                              <w:rPr>
                                <w:rFonts w:ascii="Arial" w:hAnsi="Arial"/>
                                <w:b/>
                                <w:color w:val="245BA7"/>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49">
                              <w:r>
                                <w:rPr>
                                  <w:rStyle w:val="InternetLink"/>
                                  <w:rFonts w:ascii="Arial" w:hAnsi="Arial"/>
                                  <w:b/>
                                  <w:strike w:val="false"/>
                                  <w:dstrike w:val="false"/>
                                  <w:color w:val="245BA7"/>
                                  <w:sz w:val="21"/>
                                  <w:u w:val="none"/>
                                  <w:effect w:val="none"/>
                                </w:rPr>
                                <w:t>88</w:t>
                              </w:r>
                            </w:hyperlink>
                            <w:r>
                              <w:rPr>
                                <w:rFonts w:ascii="Arial" w:hAnsi="Arial"/>
                                <w:b/>
                                <w:color w:val="245BA7"/>
                                <w:sz w:val="21"/>
                              </w:rPr>
                              <w:t xml:space="preserve"> </w:t>
                            </w:r>
                          </w:p>
                        </w:tc>
                      </w:tr>
                    </w:tbl>
                    <w:tbl>
                      <w:tblPr>
                        <w:tblW w:w="2770" w:type="dxa"/>
                        <w:jc w:val="left"/>
                        <w:tblInd w:w="0" w:type="dxa"/>
                        <w:tblCellMar>
                          <w:top w:w="0" w:type="dxa"/>
                          <w:left w:w="0" w:type="dxa"/>
                          <w:bottom w:w="0" w:type="dxa"/>
                          <w:right w:w="0" w:type="dxa"/>
                        </w:tblCellMar>
                      </w:tblPr>
                      <w:tblGrid>
                        <w:gridCol w:w="2435"/>
                        <w:gridCol w:w="335"/>
                      </w:tblGrid>
                      <w:tr>
                        <w:trPr/>
                        <w:tc>
                          <w:tcPr>
                            <w:tcW w:w="2435" w:type="dxa"/>
                            <w:tcBorders/>
                            <w:shd w:fill="auto" w:val="clear"/>
                            <w:vAlign w:val="center"/>
                          </w:tcPr>
                          <w:p>
                            <w:pPr>
                              <w:pStyle w:val="TableContents"/>
                              <w:pBdr/>
                              <w:spacing w:before="0" w:after="60"/>
                              <w:ind w:left="300" w:right="105" w:hanging="0"/>
                              <w:rPr/>
                            </w:pPr>
                            <w:hyperlink w:anchor="new_id-150">
                              <w:r>
                                <w:rPr>
                                  <w:rStyle w:val="InternetLink"/>
                                  <w:rFonts w:ascii="Arial" w:hAnsi="Arial"/>
                                  <w:strike w:val="false"/>
                                  <w:dstrike w:val="false"/>
                                  <w:color w:val="000000"/>
                                  <w:sz w:val="21"/>
                                  <w:u w:val="none"/>
                                  <w:effect w:val="none"/>
                                </w:rPr>
                                <w:t xml:space="preserve">Annual Cash Incentives </w:t>
                              </w:r>
                            </w:hyperlink>
                          </w:p>
                        </w:tc>
                        <w:tc>
                          <w:tcPr>
                            <w:tcW w:w="335" w:type="dxa"/>
                            <w:tcBorders/>
                            <w:shd w:fill="auto" w:val="clear"/>
                            <w:vAlign w:val="center"/>
                          </w:tcPr>
                          <w:p>
                            <w:pPr>
                              <w:pStyle w:val="TableContents"/>
                              <w:pBdr/>
                              <w:spacing w:before="0" w:after="60"/>
                              <w:ind w:left="0" w:right="0" w:hanging="0"/>
                              <w:jc w:val="right"/>
                              <w:rPr/>
                            </w:pPr>
                            <w:hyperlink w:anchor="new_id-150">
                              <w:r>
                                <w:rPr>
                                  <w:rStyle w:val="InternetLink"/>
                                  <w:rFonts w:ascii="Arial" w:hAnsi="Arial"/>
                                  <w:strike w:val="false"/>
                                  <w:dstrike w:val="false"/>
                                  <w:color w:val="000000"/>
                                  <w:sz w:val="21"/>
                                  <w:u w:val="none"/>
                                  <w:effect w:val="none"/>
                                </w:rPr>
                                <w:t>88</w:t>
                              </w:r>
                            </w:hyperlink>
                            <w:r>
                              <w:rPr>
                                <w:rFonts w:ascii="Arial" w:hAnsi="Arial"/>
                                <w:color w:val="000000"/>
                                <w:sz w:val="21"/>
                              </w:rPr>
                              <w:t xml:space="preserve"> </w:t>
                            </w:r>
                          </w:p>
                        </w:tc>
                      </w:tr>
                    </w:tbl>
                    <w:tbl>
                      <w:tblPr>
                        <w:tblW w:w="3730" w:type="dxa"/>
                        <w:jc w:val="left"/>
                        <w:tblInd w:w="0" w:type="dxa"/>
                        <w:tblCellMar>
                          <w:top w:w="0" w:type="dxa"/>
                          <w:left w:w="0" w:type="dxa"/>
                          <w:bottom w:w="0" w:type="dxa"/>
                          <w:right w:w="0" w:type="dxa"/>
                        </w:tblCellMar>
                      </w:tblPr>
                      <w:tblGrid>
                        <w:gridCol w:w="3395"/>
                        <w:gridCol w:w="335"/>
                      </w:tblGrid>
                      <w:tr>
                        <w:trPr/>
                        <w:tc>
                          <w:tcPr>
                            <w:tcW w:w="3395" w:type="dxa"/>
                            <w:tcBorders/>
                            <w:shd w:fill="auto" w:val="clear"/>
                            <w:vAlign w:val="center"/>
                          </w:tcPr>
                          <w:p>
                            <w:pPr>
                              <w:pStyle w:val="TableContents"/>
                              <w:pBdr/>
                              <w:spacing w:before="0" w:after="60"/>
                              <w:ind w:left="300" w:right="105" w:hanging="0"/>
                              <w:rPr/>
                            </w:pPr>
                            <w:hyperlink w:anchor="new_id-151">
                              <w:r>
                                <w:rPr>
                                  <w:rStyle w:val="InternetLink"/>
                                  <w:rFonts w:ascii="Arial" w:hAnsi="Arial"/>
                                  <w:strike w:val="false"/>
                                  <w:dstrike w:val="false"/>
                                  <w:color w:val="000000"/>
                                  <w:sz w:val="21"/>
                                  <w:u w:val="none"/>
                                  <w:effect w:val="none"/>
                                </w:rPr>
                                <w:t>Perquisites and Personal Benefits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51">
                              <w:r>
                                <w:rPr>
                                  <w:rStyle w:val="InternetLink"/>
                                  <w:rFonts w:ascii="Arial" w:hAnsi="Arial"/>
                                  <w:strike w:val="false"/>
                                  <w:dstrike w:val="false"/>
                                  <w:color w:val="000000"/>
                                  <w:sz w:val="21"/>
                                  <w:u w:val="none"/>
                                  <w:effect w:val="none"/>
                                </w:rPr>
                                <w:t>93</w:t>
                              </w:r>
                            </w:hyperlink>
                            <w:r>
                              <w:rPr>
                                <w:rFonts w:ascii="Arial" w:hAnsi="Arial"/>
                                <w:color w:val="000000"/>
                                <w:sz w:val="21"/>
                              </w:rPr>
                              <w:t xml:space="preserve"> </w:t>
                            </w:r>
                          </w:p>
                        </w:tc>
                      </w:tr>
                    </w:tbl>
                    <w:tbl>
                      <w:tblPr>
                        <w:tblW w:w="3445" w:type="dxa"/>
                        <w:jc w:val="left"/>
                        <w:tblInd w:w="0" w:type="dxa"/>
                        <w:tblCellMar>
                          <w:top w:w="0" w:type="dxa"/>
                          <w:left w:w="0" w:type="dxa"/>
                          <w:bottom w:w="0" w:type="dxa"/>
                          <w:right w:w="0" w:type="dxa"/>
                        </w:tblCellMar>
                      </w:tblPr>
                      <w:tblGrid>
                        <w:gridCol w:w="3110"/>
                        <w:gridCol w:w="335"/>
                      </w:tblGrid>
                      <w:tr>
                        <w:trPr/>
                        <w:tc>
                          <w:tcPr>
                            <w:tcW w:w="3110" w:type="dxa"/>
                            <w:tcBorders/>
                            <w:shd w:fill="auto" w:val="clear"/>
                            <w:vAlign w:val="center"/>
                          </w:tcPr>
                          <w:p>
                            <w:pPr>
                              <w:pStyle w:val="TableContents"/>
                              <w:pBdr/>
                              <w:spacing w:before="0" w:after="60"/>
                              <w:ind w:left="300" w:right="105" w:hanging="0"/>
                              <w:rPr/>
                            </w:pPr>
                            <w:hyperlink w:anchor="new_id-152">
                              <w:r>
                                <w:rPr>
                                  <w:rStyle w:val="InternetLink"/>
                                  <w:rFonts w:ascii="Arial" w:hAnsi="Arial"/>
                                  <w:strike w:val="false"/>
                                  <w:dstrike w:val="false"/>
                                  <w:color w:val="000000"/>
                                  <w:sz w:val="21"/>
                                  <w:u w:val="none"/>
                                  <w:effect w:val="none"/>
                                </w:rPr>
                                <w:t xml:space="preserve">Potential Severance Payments </w:t>
                              </w:r>
                            </w:hyperlink>
                          </w:p>
                        </w:tc>
                        <w:tc>
                          <w:tcPr>
                            <w:tcW w:w="335" w:type="dxa"/>
                            <w:tcBorders/>
                            <w:shd w:fill="auto" w:val="clear"/>
                            <w:vAlign w:val="center"/>
                          </w:tcPr>
                          <w:p>
                            <w:pPr>
                              <w:pStyle w:val="TableContents"/>
                              <w:pBdr/>
                              <w:spacing w:before="0" w:after="60"/>
                              <w:ind w:left="0" w:right="0" w:hanging="0"/>
                              <w:jc w:val="right"/>
                              <w:rPr/>
                            </w:pPr>
                            <w:hyperlink w:anchor="new_id-152">
                              <w:r>
                                <w:rPr>
                                  <w:rStyle w:val="InternetLink"/>
                                  <w:rFonts w:ascii="Arial" w:hAnsi="Arial"/>
                                  <w:strike w:val="false"/>
                                  <w:dstrike w:val="false"/>
                                  <w:color w:val="000000"/>
                                  <w:sz w:val="21"/>
                                  <w:u w:val="none"/>
                                  <w:effect w:val="none"/>
                                </w:rPr>
                                <w:t>94</w:t>
                              </w:r>
                            </w:hyperlink>
                            <w:r>
                              <w:rPr>
                                <w:rFonts w:ascii="Arial" w:hAnsi="Arial"/>
                                <w:color w:val="000000"/>
                                <w:sz w:val="21"/>
                              </w:rPr>
                              <w:t xml:space="preserve"> </w:t>
                            </w:r>
                          </w:p>
                        </w:tc>
                      </w:tr>
                    </w:tbl>
                    <w:tbl>
                      <w:tblPr>
                        <w:tblW w:w="1450" w:type="dxa"/>
                        <w:jc w:val="left"/>
                        <w:tblInd w:w="0" w:type="dxa"/>
                        <w:tblCellMar>
                          <w:top w:w="0" w:type="dxa"/>
                          <w:left w:w="0" w:type="dxa"/>
                          <w:bottom w:w="0" w:type="dxa"/>
                          <w:right w:w="0" w:type="dxa"/>
                        </w:tblCellMar>
                      </w:tblPr>
                      <w:tblGrid>
                        <w:gridCol w:w="1115"/>
                        <w:gridCol w:w="335"/>
                      </w:tblGrid>
                      <w:tr>
                        <w:trPr/>
                        <w:tc>
                          <w:tcPr>
                            <w:tcW w:w="1115" w:type="dxa"/>
                            <w:tcBorders/>
                            <w:shd w:fill="auto" w:val="clear"/>
                            <w:vAlign w:val="center"/>
                          </w:tcPr>
                          <w:p>
                            <w:pPr>
                              <w:pStyle w:val="TableContents"/>
                              <w:pBdr/>
                              <w:spacing w:before="0" w:after="60"/>
                              <w:ind w:left="300" w:right="105" w:hanging="0"/>
                              <w:rPr/>
                            </w:pPr>
                            <w:hyperlink w:anchor="new_id-153">
                              <w:r>
                                <w:rPr>
                                  <w:rStyle w:val="InternetLink"/>
                                  <w:rFonts w:ascii="Arial" w:hAnsi="Arial"/>
                                  <w:strike w:val="false"/>
                                  <w:dstrike w:val="false"/>
                                  <w:color w:val="000000"/>
                                  <w:sz w:val="21"/>
                                  <w:u w:val="none"/>
                                  <w:effect w:val="none"/>
                                </w:rPr>
                                <w:t>Pay Ratio</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53">
                              <w:r>
                                <w:rPr>
                                  <w:rStyle w:val="InternetLink"/>
                                  <w:rFonts w:ascii="Arial" w:hAnsi="Arial"/>
                                  <w:strike w:val="false"/>
                                  <w:dstrike w:val="false"/>
                                  <w:color w:val="000000"/>
                                  <w:sz w:val="21"/>
                                  <w:u w:val="none"/>
                                  <w:effect w:val="none"/>
                                </w:rPr>
                                <w:t>95</w:t>
                              </w:r>
                            </w:hyperlink>
                            <w:r>
                              <w:rPr>
                                <w:rFonts w:ascii="Arial" w:hAnsi="Arial"/>
                                <w:color w:val="000000"/>
                                <w:sz w:val="21"/>
                              </w:rPr>
                              <w:t xml:space="preserve"> </w:t>
                            </w:r>
                          </w:p>
                        </w:tc>
                      </w:tr>
                    </w:tbl>
                    <w:tbl>
                      <w:tblPr>
                        <w:tblW w:w="2905" w:type="dxa"/>
                        <w:jc w:val="left"/>
                        <w:tblInd w:w="0" w:type="dxa"/>
                        <w:tblCellMar>
                          <w:top w:w="0" w:type="dxa"/>
                          <w:left w:w="0" w:type="dxa"/>
                          <w:bottom w:w="0" w:type="dxa"/>
                          <w:right w:w="0" w:type="dxa"/>
                        </w:tblCellMar>
                      </w:tblPr>
                      <w:tblGrid>
                        <w:gridCol w:w="2570"/>
                        <w:gridCol w:w="335"/>
                      </w:tblGrid>
                      <w:tr>
                        <w:trPr/>
                        <w:tc>
                          <w:tcPr>
                            <w:tcW w:w="2570" w:type="dxa"/>
                            <w:tcBorders/>
                            <w:shd w:fill="auto" w:val="clear"/>
                            <w:vAlign w:val="center"/>
                          </w:tcPr>
                          <w:p>
                            <w:pPr>
                              <w:pStyle w:val="TableContents"/>
                              <w:pBdr/>
                              <w:spacing w:before="0" w:after="60"/>
                              <w:ind w:left="300" w:right="105" w:hanging="0"/>
                              <w:rPr/>
                            </w:pPr>
                            <w:hyperlink w:anchor="new_id-154">
                              <w:r>
                                <w:rPr>
                                  <w:rStyle w:val="InternetLink"/>
                                  <w:rFonts w:ascii="Arial" w:hAnsi="Arial"/>
                                  <w:strike w:val="false"/>
                                  <w:dstrike w:val="false"/>
                                  <w:color w:val="000000"/>
                                  <w:sz w:val="21"/>
                                  <w:u w:val="none"/>
                                  <w:effect w:val="none"/>
                                </w:rPr>
                                <w:t>Pay Versus Performance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54">
                              <w:r>
                                <w:rPr>
                                  <w:rStyle w:val="InternetLink"/>
                                  <w:rFonts w:ascii="Arial" w:hAnsi="Arial"/>
                                  <w:strike w:val="false"/>
                                  <w:dstrike w:val="false"/>
                                  <w:color w:val="000000"/>
                                  <w:sz w:val="21"/>
                                  <w:u w:val="none"/>
                                  <w:effect w:val="none"/>
                                </w:rPr>
                                <w:t>96</w:t>
                              </w:r>
                            </w:hyperlink>
                            <w:r>
                              <w:rPr>
                                <w:rFonts w:ascii="Arial" w:hAnsi="Arial"/>
                                <w:color w:val="000000"/>
                                <w:sz w:val="21"/>
                              </w:rPr>
                              <w:t xml:space="preserve"> </w:t>
                            </w:r>
                          </w:p>
                        </w:tc>
                      </w:tr>
                    </w:tbl>
                    <w:tbl>
                      <w:tblPr>
                        <w:tblW w:w="3820" w:type="dxa"/>
                        <w:jc w:val="left"/>
                        <w:tblInd w:w="0" w:type="dxa"/>
                        <w:tblCellMar>
                          <w:top w:w="0" w:type="dxa"/>
                          <w:left w:w="0" w:type="dxa"/>
                          <w:bottom w:w="0" w:type="dxa"/>
                          <w:right w:w="0" w:type="dxa"/>
                        </w:tblCellMar>
                      </w:tblPr>
                      <w:tblGrid>
                        <w:gridCol w:w="3365"/>
                        <w:gridCol w:w="455"/>
                      </w:tblGrid>
                      <w:tr>
                        <w:trPr/>
                        <w:tc>
                          <w:tcPr>
                            <w:tcW w:w="3365" w:type="dxa"/>
                            <w:tcBorders/>
                            <w:shd w:fill="auto" w:val="clear"/>
                            <w:vAlign w:val="center"/>
                          </w:tcPr>
                          <w:p>
                            <w:pPr>
                              <w:pStyle w:val="TableContents"/>
                              <w:pBdr/>
                              <w:spacing w:before="0" w:after="0"/>
                              <w:ind w:left="300" w:right="105" w:hanging="0"/>
                              <w:rPr/>
                            </w:pPr>
                            <w:hyperlink w:anchor="new_id-164">
                              <w:r>
                                <w:rPr>
                                  <w:rStyle w:val="InternetLink"/>
                                  <w:rFonts w:ascii="Arial" w:hAnsi="Arial"/>
                                  <w:strike w:val="false"/>
                                  <w:dstrike w:val="false"/>
                                  <w:color w:val="000000"/>
                                  <w:sz w:val="21"/>
                                  <w:u w:val="none"/>
                                  <w:effect w:val="none"/>
                                </w:rPr>
                                <w:t>Equity Compensation Information</w:t>
                              </w:r>
                            </w:hyperlink>
                            <w:r>
                              <w:rPr>
                                <w:rFonts w:ascii="Arial" w:hAnsi="Arial"/>
                                <w:color w:val="000000"/>
                                <w:sz w:val="21"/>
                              </w:rPr>
                              <w:t xml:space="preserve"> </w:t>
                            </w:r>
                          </w:p>
                        </w:tc>
                        <w:tc>
                          <w:tcPr>
                            <w:tcW w:w="455" w:type="dxa"/>
                            <w:tcBorders/>
                            <w:shd w:fill="auto" w:val="clear"/>
                            <w:vAlign w:val="center"/>
                          </w:tcPr>
                          <w:p>
                            <w:pPr>
                              <w:pStyle w:val="TableContents"/>
                              <w:pBdr/>
                              <w:spacing w:before="0" w:after="60"/>
                              <w:ind w:left="0" w:right="0" w:hanging="0"/>
                              <w:jc w:val="right"/>
                              <w:rPr/>
                            </w:pPr>
                            <w:hyperlink w:anchor="new_id-164">
                              <w:r>
                                <w:rPr>
                                  <w:rStyle w:val="InternetLink"/>
                                  <w:rFonts w:ascii="Arial" w:hAnsi="Arial"/>
                                  <w:strike w:val="false"/>
                                  <w:dstrike w:val="false"/>
                                  <w:color w:val="000000"/>
                                  <w:sz w:val="21"/>
                                  <w:u w:val="none"/>
                                  <w:effect w:val="none"/>
                                </w:rPr>
                                <w:t>100</w:t>
                              </w:r>
                            </w:hyperlink>
                            <w:r>
                              <w:rPr>
                                <w:rFonts w:ascii="Arial" w:hAnsi="Arial"/>
                                <w:color w:val="000000"/>
                                <w:sz w:val="21"/>
                              </w:rPr>
                              <w:t xml:space="preserve"> </w:t>
                            </w:r>
                          </w:p>
                        </w:tc>
                      </w:tr>
                    </w:tbl>
                    <w:tbl>
                      <w:tblPr>
                        <w:tblW w:w="10205" w:type="dxa"/>
                        <w:jc w:val="left"/>
                        <w:tblInd w:w="0" w:type="dxa"/>
                        <w:tblCellMar>
                          <w:top w:w="0" w:type="dxa"/>
                          <w:left w:w="0" w:type="dxa"/>
                          <w:bottom w:w="0" w:type="dxa"/>
                          <w:right w:w="0" w:type="dxa"/>
                        </w:tblCellMar>
                      </w:tblPr>
                      <w:tblGrid>
                        <w:gridCol w:w="9661"/>
                        <w:gridCol w:w="544"/>
                      </w:tblGrid>
                      <w:tr>
                        <w:trPr/>
                        <w:tc>
                          <w:tcPr>
                            <w:tcW w:w="966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9661" w:type="dxa"/>
                            <w:tcBorders>
                              <w:bottom w:val="single" w:sz="12" w:space="0" w:color="245BA7"/>
                            </w:tcBorders>
                            <w:shd w:fill="auto" w:val="clear"/>
                            <w:tcMar>
                              <w:bottom w:w="28" w:type="dxa"/>
                            </w:tcMar>
                            <w:vAlign w:val="center"/>
                          </w:tcPr>
                          <w:p>
                            <w:pPr>
                              <w:pStyle w:val="TableContents"/>
                              <w:pBdr/>
                              <w:spacing w:before="0" w:after="0"/>
                              <w:ind w:left="0" w:right="210" w:hanging="0"/>
                              <w:rPr/>
                            </w:pPr>
                            <w:hyperlink w:anchor="new_id-168">
                              <w:r>
                                <w:rPr>
                                  <w:rStyle w:val="InternetLink"/>
                                  <w:rFonts w:ascii="Arial" w:hAnsi="Arial"/>
                                  <w:b/>
                                  <w:strike w:val="false"/>
                                  <w:dstrike w:val="false"/>
                                  <w:color w:val="000000"/>
                                  <w:sz w:val="18"/>
                                  <w:u w:val="none"/>
                                  <w:effect w:val="none"/>
                                </w:rPr>
                                <w:t>PROPOSAL NO. 3</w:t>
                              </w:r>
                            </w:hyperlink>
                            <w:hyperlink w:anchor="new_id-168">
                              <w:r>
                                <w:rPr>
                                  <w:rStyle w:val="InternetLink"/>
                                  <w:rFonts w:ascii="Arial" w:hAnsi="Arial"/>
                                  <w:b/>
                                  <w:strike w:val="false"/>
                                  <w:dstrike w:val="false"/>
                                  <w:color w:val="D31B5D"/>
                                  <w:sz w:val="27"/>
                                  <w:u w:val="none"/>
                                  <w:effect w:val="none"/>
                                </w:rPr>
                                <w:br/>
                                <w:t>ADVISORY VOTE ON COMPENSATION OF NAMED EXECUTIVE OFFICERS (SAY-ON-PAY)</w:t>
                              </w:r>
                            </w:hyperlink>
                          </w:p>
                        </w:tc>
                        <w:tc>
                          <w:tcPr>
                            <w:tcW w:w="544" w:type="dxa"/>
                            <w:tcBorders>
                              <w:bottom w:val="single" w:sz="12" w:space="0" w:color="245BA7"/>
                            </w:tcBorders>
                            <w:shd w:fill="auto" w:val="clear"/>
                            <w:tcMar>
                              <w:bottom w:w="45" w:type="dxa"/>
                            </w:tcMar>
                            <w:vAlign w:val="center"/>
                          </w:tcPr>
                          <w:p>
                            <w:pPr>
                              <w:pStyle w:val="TableContents"/>
                              <w:pBdr/>
                              <w:spacing w:before="0" w:after="0"/>
                              <w:ind w:left="0" w:right="0" w:hanging="0"/>
                              <w:jc w:val="right"/>
                              <w:rPr/>
                            </w:pPr>
                            <w:hyperlink w:anchor="new_id-168">
                              <w:r>
                                <w:rPr>
                                  <w:rStyle w:val="InternetLink"/>
                                  <w:rFonts w:ascii="Arial" w:hAnsi="Arial"/>
                                  <w:b/>
                                  <w:strike w:val="false"/>
                                  <w:dstrike w:val="false"/>
                                  <w:color w:val="D31B5D"/>
                                  <w:sz w:val="27"/>
                                  <w:u w:val="none"/>
                                  <w:effect w:val="none"/>
                                </w:rPr>
                                <w:t>102</w:t>
                              </w:r>
                            </w:hyperlink>
                            <w:r>
                              <w:rPr>
                                <w:rFonts w:ascii="Arial" w:hAnsi="Arial"/>
                                <w:b/>
                                <w:color w:val="D31B5D"/>
                                <w:sz w:val="27"/>
                              </w:rPr>
                              <w:t xml:space="preserve"> </w:t>
                            </w:r>
                          </w:p>
                        </w:tc>
                      </w:tr>
                    </w:tbl>
                    <w:tbl>
                      <w:tblPr>
                        <w:tblW w:w="10205" w:type="dxa"/>
                        <w:jc w:val="left"/>
                        <w:tblInd w:w="0" w:type="dxa"/>
                        <w:tblCellMar>
                          <w:top w:w="0" w:type="dxa"/>
                          <w:left w:w="0" w:type="dxa"/>
                          <w:bottom w:w="0" w:type="dxa"/>
                          <w:right w:w="0" w:type="dxa"/>
                        </w:tblCellMar>
                      </w:tblPr>
                      <w:tblGrid>
                        <w:gridCol w:w="9669"/>
                        <w:gridCol w:w="536"/>
                      </w:tblGrid>
                      <w:tr>
                        <w:trPr/>
                        <w:tc>
                          <w:tcPr>
                            <w:tcW w:w="966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9669" w:type="dxa"/>
                            <w:tcBorders>
                              <w:bottom w:val="single" w:sz="12" w:space="0" w:color="245BA7"/>
                            </w:tcBorders>
                            <w:shd w:fill="auto" w:val="clear"/>
                            <w:tcMar>
                              <w:bottom w:w="45" w:type="dxa"/>
                            </w:tcMar>
                            <w:vAlign w:val="center"/>
                          </w:tcPr>
                          <w:p>
                            <w:pPr>
                              <w:pStyle w:val="TableContents"/>
                              <w:pBdr/>
                              <w:spacing w:before="0" w:after="0"/>
                              <w:ind w:left="0" w:right="210" w:hanging="0"/>
                              <w:rPr/>
                            </w:pPr>
                            <w:hyperlink w:anchor="new_id-169">
                              <w:r>
                                <w:rPr>
                                  <w:rStyle w:val="InternetLink"/>
                                  <w:rFonts w:ascii="Arial" w:hAnsi="Arial"/>
                                  <w:b/>
                                  <w:strike w:val="false"/>
                                  <w:dstrike w:val="false"/>
                                  <w:color w:val="000000"/>
                                  <w:sz w:val="18"/>
                                  <w:u w:val="none"/>
                                  <w:effect w:val="none"/>
                                </w:rPr>
                                <w:t>PROPOSAL NO. 4</w:t>
                              </w:r>
                            </w:hyperlink>
                            <w:hyperlink w:anchor="new_id-169">
                              <w:r>
                                <w:rPr>
                                  <w:rStyle w:val="InternetLink"/>
                                  <w:rFonts w:ascii="Arial" w:hAnsi="Arial"/>
                                  <w:b/>
                                  <w:strike w:val="false"/>
                                  <w:dstrike w:val="false"/>
                                  <w:color w:val="D31B5D"/>
                                  <w:sz w:val="27"/>
                                  <w:u w:val="none"/>
                                  <w:effect w:val="none"/>
                                </w:rPr>
                                <w:br/>
                                <w:t>ADVISORY VOTE ON THE FREQUENCY OF FUTURE SAY-ON-PAY VOTES (SAY-ON-FREQUENCY)</w:t>
                              </w:r>
                            </w:hyperlink>
                          </w:p>
                        </w:tc>
                        <w:tc>
                          <w:tcPr>
                            <w:tcW w:w="536" w:type="dxa"/>
                            <w:tcBorders>
                              <w:bottom w:val="single" w:sz="12" w:space="0" w:color="245BA7"/>
                            </w:tcBorders>
                            <w:shd w:fill="auto" w:val="clear"/>
                            <w:tcMar>
                              <w:bottom w:w="45" w:type="dxa"/>
                            </w:tcMar>
                            <w:vAlign w:val="center"/>
                          </w:tcPr>
                          <w:p>
                            <w:pPr>
                              <w:pStyle w:val="TableContents"/>
                              <w:pBdr/>
                              <w:spacing w:before="0" w:after="0"/>
                              <w:ind w:left="0" w:right="0" w:hanging="0"/>
                              <w:jc w:val="right"/>
                              <w:rPr/>
                            </w:pPr>
                            <w:hyperlink w:anchor="new_id-169">
                              <w:r>
                                <w:rPr>
                                  <w:rStyle w:val="InternetLink"/>
                                  <w:rFonts w:ascii="Arial" w:hAnsi="Arial"/>
                                  <w:b/>
                                  <w:strike w:val="false"/>
                                  <w:dstrike w:val="false"/>
                                  <w:color w:val="D31B5D"/>
                                  <w:sz w:val="27"/>
                                  <w:u w:val="none"/>
                                  <w:effect w:val="none"/>
                                </w:rPr>
                                <w:t>104</w:t>
                              </w:r>
                            </w:hyperlink>
                            <w:r>
                              <w:rPr>
                                <w:rFonts w:ascii="Arial" w:hAnsi="Arial"/>
                                <w:b/>
                                <w:color w:val="D31B5D"/>
                                <w:sz w:val="27"/>
                              </w:rPr>
                              <w:t xml:space="preserve"> </w:t>
                            </w:r>
                          </w:p>
                        </w:tc>
                      </w:tr>
                    </w:tbl>
                    <w:tbl>
                      <w:tblPr>
                        <w:tblW w:w="10205" w:type="dxa"/>
                        <w:jc w:val="left"/>
                        <w:tblInd w:w="0" w:type="dxa"/>
                        <w:tblCellMar>
                          <w:top w:w="0" w:type="dxa"/>
                          <w:left w:w="0" w:type="dxa"/>
                          <w:bottom w:w="0" w:type="dxa"/>
                          <w:right w:w="0" w:type="dxa"/>
                        </w:tblCellMar>
                      </w:tblPr>
                      <w:tblGrid>
                        <w:gridCol w:w="9697"/>
                        <w:gridCol w:w="508"/>
                      </w:tblGrid>
                      <w:tr>
                        <w:trPr/>
                        <w:tc>
                          <w:tcPr>
                            <w:tcW w:w="9697"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9697" w:type="dxa"/>
                            <w:tcBorders>
                              <w:bottom w:val="single" w:sz="12" w:space="0" w:color="245BA7"/>
                            </w:tcBorders>
                            <w:shd w:fill="auto" w:val="clear"/>
                            <w:tcMar>
                              <w:bottom w:w="45" w:type="dxa"/>
                            </w:tcMar>
                            <w:vAlign w:val="center"/>
                          </w:tcPr>
                          <w:p>
                            <w:pPr>
                              <w:pStyle w:val="TableContents"/>
                              <w:pBdr/>
                              <w:spacing w:before="0" w:after="0"/>
                              <w:ind w:left="0" w:right="210" w:hanging="0"/>
                              <w:rPr/>
                            </w:pPr>
                            <w:hyperlink w:anchor="new_id-170">
                              <w:r>
                                <w:rPr>
                                  <w:rStyle w:val="InternetLink"/>
                                  <w:rFonts w:ascii="Arial" w:hAnsi="Arial"/>
                                  <w:b/>
                                  <w:strike w:val="false"/>
                                  <w:dstrike w:val="false"/>
                                  <w:color w:val="000000"/>
                                  <w:sz w:val="18"/>
                                  <w:u w:val="none"/>
                                  <w:effect w:val="none"/>
                                </w:rPr>
                                <w:t>PROPOSAL NO. 5</w:t>
                              </w:r>
                            </w:hyperlink>
                            <w:hyperlink w:anchor="new_id-170">
                              <w:r>
                                <w:rPr>
                                  <w:rStyle w:val="InternetLink"/>
                                  <w:rFonts w:ascii="Arial" w:hAnsi="Arial"/>
                                  <w:b/>
                                  <w:strike w:val="false"/>
                                  <w:dstrike w:val="false"/>
                                  <w:color w:val="D31B5D"/>
                                  <w:sz w:val="27"/>
                                  <w:u w:val="none"/>
                                  <w:effect w:val="none"/>
                                </w:rPr>
                                <w:br/>
                                <w:t>NON-BINDING SHAREHOLDER PROPOSAL REQUESTING REPORT ON A PROCESS BY WHICH ACCESS TO MEDICINE IS CONSIDERED IN MATTERS RELATED TO PROTECTING INTELLECTUAL PROPERTY</w:t>
                              </w:r>
                            </w:hyperlink>
                          </w:p>
                        </w:tc>
                        <w:tc>
                          <w:tcPr>
                            <w:tcW w:w="508" w:type="dxa"/>
                            <w:tcBorders>
                              <w:bottom w:val="single" w:sz="12" w:space="0" w:color="245BA7"/>
                            </w:tcBorders>
                            <w:shd w:fill="auto" w:val="clear"/>
                            <w:tcMar>
                              <w:bottom w:w="45" w:type="dxa"/>
                            </w:tcMar>
                            <w:vAlign w:val="center"/>
                          </w:tcPr>
                          <w:p>
                            <w:pPr>
                              <w:pStyle w:val="TableContents"/>
                              <w:pBdr/>
                              <w:spacing w:before="0" w:after="0"/>
                              <w:ind w:left="0" w:right="0" w:hanging="0"/>
                              <w:jc w:val="right"/>
                              <w:rPr/>
                            </w:pPr>
                            <w:hyperlink w:anchor="new_id-170">
                              <w:r>
                                <w:rPr>
                                  <w:rStyle w:val="InternetLink"/>
                                  <w:rFonts w:ascii="Arial" w:hAnsi="Arial"/>
                                  <w:b/>
                                  <w:strike w:val="false"/>
                                  <w:dstrike w:val="false"/>
                                  <w:color w:val="D31B5D"/>
                                  <w:sz w:val="27"/>
                                  <w:u w:val="none"/>
                                  <w:effect w:val="none"/>
                                </w:rPr>
                                <w:t>106</w:t>
                              </w:r>
                            </w:hyperlink>
                            <w:r>
                              <w:rPr>
                                <w:rFonts w:ascii="Arial" w:hAnsi="Arial"/>
                                <w:b/>
                                <w:color w:val="D31B5D"/>
                                <w:sz w:val="27"/>
                              </w:rPr>
                              <w:t xml:space="preserve"> </w:t>
                            </w:r>
                          </w:p>
                        </w:tc>
                      </w:tr>
                    </w:tbl>
                    <w:tbl>
                      <w:tblPr>
                        <w:tblW w:w="6535" w:type="dxa"/>
                        <w:jc w:val="left"/>
                        <w:tblInd w:w="0" w:type="dxa"/>
                        <w:tblCellMar>
                          <w:top w:w="0" w:type="dxa"/>
                          <w:left w:w="0" w:type="dxa"/>
                          <w:bottom w:w="0" w:type="dxa"/>
                          <w:right w:w="0" w:type="dxa"/>
                        </w:tblCellMar>
                      </w:tblPr>
                      <w:tblGrid>
                        <w:gridCol w:w="6080"/>
                        <w:gridCol w:w="455"/>
                      </w:tblGrid>
                      <w:tr>
                        <w:trPr/>
                        <w:tc>
                          <w:tcPr>
                            <w:tcW w:w="6080" w:type="dxa"/>
                            <w:tcBorders/>
                            <w:shd w:fill="auto" w:val="clear"/>
                            <w:vAlign w:val="center"/>
                          </w:tcPr>
                          <w:p>
                            <w:pPr>
                              <w:pStyle w:val="TableContents"/>
                              <w:pBdr/>
                              <w:spacing w:before="0" w:after="60"/>
                              <w:ind w:left="0" w:right="105" w:hanging="0"/>
                              <w:rPr/>
                            </w:pPr>
                            <w:hyperlink w:anchor="new_id-171">
                              <w:r>
                                <w:rPr>
                                  <w:rStyle w:val="InternetLink"/>
                                  <w:rFonts w:ascii="Arial" w:hAnsi="Arial"/>
                                  <w:b/>
                                  <w:strike w:val="false"/>
                                  <w:dstrike w:val="false"/>
                                  <w:color w:val="245BA7"/>
                                  <w:sz w:val="21"/>
                                  <w:u w:val="none"/>
                                  <w:effect w:val="none"/>
                                </w:rPr>
                                <w:t>General Information about the Meeting and Other Matters</w:t>
                              </w:r>
                            </w:hyperlink>
                            <w:r>
                              <w:rPr>
                                <w:rFonts w:ascii="Arial" w:hAnsi="Arial"/>
                                <w:b/>
                                <w:color w:val="245BA7"/>
                                <w:sz w:val="21"/>
                              </w:rPr>
                              <w:t xml:space="preserve"> </w:t>
                            </w:r>
                          </w:p>
                        </w:tc>
                        <w:tc>
                          <w:tcPr>
                            <w:tcW w:w="455" w:type="dxa"/>
                            <w:tcBorders/>
                            <w:shd w:fill="auto" w:val="clear"/>
                            <w:vAlign w:val="center"/>
                          </w:tcPr>
                          <w:p>
                            <w:pPr>
                              <w:pStyle w:val="TableContents"/>
                              <w:pBdr/>
                              <w:spacing w:before="0" w:after="60"/>
                              <w:ind w:left="0" w:right="0" w:hanging="0"/>
                              <w:jc w:val="right"/>
                              <w:rPr/>
                            </w:pPr>
                            <w:hyperlink w:anchor="new_id-171">
                              <w:r>
                                <w:rPr>
                                  <w:rStyle w:val="InternetLink"/>
                                  <w:rFonts w:ascii="Arial" w:hAnsi="Arial"/>
                                  <w:b/>
                                  <w:strike w:val="false"/>
                                  <w:dstrike w:val="false"/>
                                  <w:color w:val="245BA7"/>
                                  <w:sz w:val="21"/>
                                  <w:u w:val="none"/>
                                  <w:effect w:val="none"/>
                                </w:rPr>
                                <w:t>110</w:t>
                              </w:r>
                            </w:hyperlink>
                            <w:r>
                              <w:rPr>
                                <w:rFonts w:ascii="Arial" w:hAnsi="Arial"/>
                                <w:b/>
                                <w:color w:val="245BA7"/>
                                <w:sz w:val="21"/>
                              </w:rPr>
                              <w:t xml:space="preserve"> </w:t>
                            </w:r>
                          </w:p>
                        </w:tc>
                      </w:tr>
                    </w:tbl>
                    <w:tbl>
                      <w:tblPr>
                        <w:tblW w:w="10205" w:type="dxa"/>
                        <w:jc w:val="left"/>
                        <w:tblInd w:w="0" w:type="dxa"/>
                        <w:tblCellMar>
                          <w:top w:w="0" w:type="dxa"/>
                          <w:left w:w="0" w:type="dxa"/>
                          <w:bottom w:w="0" w:type="dxa"/>
                          <w:right w:w="0" w:type="dxa"/>
                        </w:tblCellMar>
                      </w:tblPr>
                      <w:tblGrid>
                        <w:gridCol w:w="9751"/>
                        <w:gridCol w:w="454"/>
                      </w:tblGrid>
                      <w:tr>
                        <w:trPr/>
                        <w:tc>
                          <w:tcPr>
                            <w:tcW w:w="9751" w:type="dxa"/>
                            <w:tcBorders/>
                            <w:shd w:fill="auto" w:val="clear"/>
                            <w:vAlign w:val="center"/>
                          </w:tcPr>
                          <w:p>
                            <w:pPr>
                              <w:pStyle w:val="TableContents"/>
                              <w:pBdr/>
                              <w:spacing w:before="0" w:after="60"/>
                              <w:ind w:left="0" w:right="105" w:hanging="0"/>
                              <w:rPr/>
                            </w:pPr>
                            <w:hyperlink w:anchor="new_id-199">
                              <w:r>
                                <w:rPr>
                                  <w:rStyle w:val="InternetLink"/>
                                  <w:rFonts w:ascii="Arial" w:hAnsi="Arial"/>
                                  <w:b/>
                                  <w:strike w:val="false"/>
                                  <w:dstrike w:val="false"/>
                                  <w:color w:val="245BA7"/>
                                  <w:sz w:val="21"/>
                                  <w:u w:val="none"/>
                                  <w:effect w:val="none"/>
                                </w:rPr>
                                <w:t>Appendix A – Note Regarding Forward-Looking Statements and Non-GAAP Financial Measures</w:t>
                              </w:r>
                            </w:hyperlink>
                            <w:r>
                              <w:rPr>
                                <w:rFonts w:ascii="Arial" w:hAnsi="Arial"/>
                                <w:b/>
                                <w:color w:val="245BA7"/>
                                <w:sz w:val="21"/>
                              </w:rPr>
                              <w:t xml:space="preserve"> </w:t>
                            </w:r>
                          </w:p>
                        </w:tc>
                        <w:tc>
                          <w:tcPr>
                            <w:tcW w:w="454" w:type="dxa"/>
                            <w:tcBorders/>
                            <w:shd w:fill="auto" w:val="clear"/>
                            <w:vAlign w:val="center"/>
                          </w:tcPr>
                          <w:p>
                            <w:pPr>
                              <w:pStyle w:val="TableContents"/>
                              <w:pBdr/>
                              <w:spacing w:before="0" w:after="60"/>
                              <w:ind w:left="0" w:right="0" w:hanging="0"/>
                              <w:jc w:val="right"/>
                              <w:rPr/>
                            </w:pPr>
                            <w:hyperlink w:anchor="new_id-199">
                              <w:r>
                                <w:rPr>
                                  <w:rStyle w:val="InternetLink"/>
                                  <w:rFonts w:ascii="Arial" w:hAnsi="Arial"/>
                                  <w:b/>
                                  <w:strike w:val="false"/>
                                  <w:dstrike w:val="false"/>
                                  <w:color w:val="245BA7"/>
                                  <w:sz w:val="21"/>
                                  <w:u w:val="none"/>
                                  <w:effect w:val="none"/>
                                </w:rPr>
                                <w:t>115</w:t>
                              </w:r>
                            </w:hyperlink>
                            <w:r>
                              <w:rPr>
                                <w:rFonts w:ascii="Arial" w:hAnsi="Arial"/>
                                <w:b/>
                                <w:color w:val="245BA7"/>
                                <w:sz w:val="21"/>
                              </w:rPr>
                              <w:t xml:space="preserve"> </w:t>
                            </w:r>
                          </w:p>
                        </w:tc>
                      </w:tr>
                    </w:tbl>
                    <w:p>
                      <w:pPr>
                        <w:pStyle w:val="TextBody"/>
                        <w:spacing w:before="0" w:after="283"/>
                        <w:rPr/>
                      </w:pPr>
                      <w:r>
                        <w:rPr/>
                      </w:r>
                    </w:p>
                  </w:txbxContent>
                </v:textbox>
                <w10:wrap type="square" side="left"/>
              </v:rect>
            </w:pict>
          </mc:Fallback>
        </mc:AlternateContent>
      </w:r>
    </w:p>
    <w:p>
      <w:pPr>
        <w:pStyle w:val="TextBody"/>
        <w:pBdr/>
        <w:spacing w:before="0" w:after="0"/>
        <w:ind w:left="0" w:right="0" w:hanging="0"/>
        <w:rPr>
          <w:color w:val="000000"/>
        </w:rPr>
      </w:pPr>
      <w:r>
        <w:rPr>
          <w:color w:val="000000"/>
        </w:rPr>
        <w:t> </w:t>
      </w:r>
    </w:p>
    <w:p>
      <w:pPr>
        <w:pStyle w:val="TextBody"/>
        <w:pBdr/>
        <w:spacing w:before="0" w:after="210"/>
        <w:ind w:left="0" w:right="0" w:hanging="0"/>
        <w:rPr>
          <w:rFonts w:ascii="Arial" w:hAnsi="Arial"/>
          <w:color w:val="000000"/>
          <w:sz w:val="21"/>
        </w:rPr>
      </w:pPr>
      <w:r>
        <w:rPr>
          <w:rFonts w:ascii="Arial" w:hAnsi="Arial"/>
          <w:color w:val="000000"/>
          <w:sz w:val="21"/>
        </w:rPr>
        <w:t>NOTE REGARDING FORWARD-LOOKING STATEMENTS AND NON-GAAP FINANCIAL MEASURES: See Appendix A for important information regarding forward-looking statements and financial measures not calculated in accordance with U.S. Generally Accepted Accounting Principles contained in this proxy statement.</w:t>
      </w:r>
    </w:p>
    <w:p>
      <w:pPr>
        <w:pStyle w:val="TextBody"/>
        <w:pBdr/>
        <w:spacing w:before="0" w:after="60"/>
        <w:ind w:left="0" w:right="0" w:hanging="0"/>
        <w:rPr>
          <w:rFonts w:ascii="Arial" w:hAnsi="Arial"/>
          <w:color w:val="000000"/>
          <w:sz w:val="21"/>
        </w:rPr>
      </w:pPr>
      <w:r>
        <w:rPr>
          <w:rFonts w:ascii="Arial" w:hAnsi="Arial"/>
          <w:color w:val="000000"/>
          <w:sz w:val="21"/>
        </w:rPr>
        <w:t>NOTE REGARDING TRADEMARKS AND PRODUCT NAMES: “ARCALYST</w:t>
      </w:r>
      <w:r>
        <w:rPr>
          <w:rFonts w:ascii="Arial" w:hAnsi="Arial"/>
          <w:color w:val="000000"/>
          <w:sz w:val="12"/>
        </w:rPr>
        <w:t>®</w:t>
      </w:r>
      <w:r>
        <w:rPr>
          <w:rFonts w:ascii="Arial" w:hAnsi="Arial"/>
          <w:color w:val="000000"/>
          <w:sz w:val="21"/>
        </w:rPr>
        <w:t>,” “Evkeeza</w:t>
      </w:r>
      <w:r>
        <w:rPr>
          <w:rFonts w:ascii="Arial" w:hAnsi="Arial"/>
          <w:color w:val="000000"/>
          <w:sz w:val="12"/>
        </w:rPr>
        <w:t>®</w:t>
      </w:r>
      <w:r>
        <w:rPr>
          <w:rFonts w:ascii="Arial" w:hAnsi="Arial"/>
          <w:color w:val="000000"/>
          <w:sz w:val="21"/>
        </w:rPr>
        <w:t>,” “EYLEA</w:t>
      </w:r>
      <w:r>
        <w:rPr>
          <w:rFonts w:ascii="Arial" w:hAnsi="Arial"/>
          <w:color w:val="000000"/>
          <w:sz w:val="12"/>
        </w:rPr>
        <w:t>®</w:t>
      </w:r>
      <w:r>
        <w:rPr>
          <w:rFonts w:ascii="Arial" w:hAnsi="Arial"/>
          <w:color w:val="000000"/>
          <w:sz w:val="21"/>
        </w:rPr>
        <w:t>,” “Inmazeb</w:t>
      </w:r>
      <w:r>
        <w:rPr>
          <w:rFonts w:ascii="Arial" w:hAnsi="Arial"/>
          <w:color w:val="000000"/>
          <w:sz w:val="12"/>
        </w:rPr>
        <w:t>®</w:t>
      </w:r>
      <w:r>
        <w:rPr>
          <w:rFonts w:ascii="Arial" w:hAnsi="Arial"/>
          <w:color w:val="000000"/>
          <w:sz w:val="21"/>
        </w:rPr>
        <w:t>,” “Libtayo</w:t>
      </w:r>
      <w:r>
        <w:rPr>
          <w:rFonts w:ascii="Arial" w:hAnsi="Arial"/>
          <w:color w:val="000000"/>
          <w:sz w:val="12"/>
        </w:rPr>
        <w:t>®</w:t>
      </w:r>
      <w:r>
        <w:rPr>
          <w:rFonts w:ascii="Arial" w:hAnsi="Arial"/>
          <w:color w:val="000000"/>
          <w:sz w:val="21"/>
        </w:rPr>
        <w:t>”, “Praluent</w:t>
      </w:r>
      <w:r>
        <w:rPr>
          <w:rFonts w:ascii="Arial" w:hAnsi="Arial"/>
          <w:color w:val="000000"/>
          <w:sz w:val="12"/>
        </w:rPr>
        <w:t>®</w:t>
      </w:r>
      <w:r>
        <w:rPr>
          <w:rFonts w:ascii="Arial" w:hAnsi="Arial"/>
          <w:color w:val="000000"/>
          <w:sz w:val="21"/>
        </w:rPr>
        <w:t>” (in the United States), “REGEN-COV</w:t>
      </w:r>
      <w:r>
        <w:rPr>
          <w:rFonts w:ascii="Arial" w:hAnsi="Arial"/>
          <w:color w:val="000000"/>
          <w:sz w:val="12"/>
        </w:rPr>
        <w:t>®</w:t>
      </w:r>
      <w:r>
        <w:rPr>
          <w:rFonts w:ascii="Arial" w:hAnsi="Arial"/>
          <w:color w:val="000000"/>
          <w:sz w:val="21"/>
        </w:rPr>
        <w:t>,” Regeneron</w:t>
      </w:r>
      <w:r>
        <w:rPr>
          <w:rFonts w:ascii="Arial" w:hAnsi="Arial"/>
          <w:color w:val="000000"/>
          <w:sz w:val="12"/>
        </w:rPr>
        <w:t>®</w:t>
      </w:r>
      <w:r>
        <w:rPr>
          <w:rFonts w:ascii="Arial" w:hAnsi="Arial"/>
          <w:color w:val="000000"/>
          <w:sz w:val="21"/>
        </w:rPr>
        <w:t>,” “Regeneron Genetics Center</w:t>
      </w:r>
      <w:r>
        <w:rPr>
          <w:rFonts w:ascii="Arial" w:hAnsi="Arial"/>
          <w:color w:val="000000"/>
          <w:sz w:val="12"/>
        </w:rPr>
        <w:t>®</w:t>
      </w:r>
      <w:r>
        <w:rPr>
          <w:rFonts w:ascii="Arial" w:hAnsi="Arial"/>
          <w:color w:val="000000"/>
          <w:sz w:val="21"/>
        </w:rPr>
        <w:t>,” “</w:t>
      </w:r>
      <w:r>
        <w:rPr>
          <w:rFonts w:ascii="Arial" w:hAnsi="Arial"/>
          <w:i/>
          <w:color w:val="000000"/>
          <w:sz w:val="21"/>
        </w:rPr>
        <w:t>VelociGene</w:t>
      </w:r>
      <w:r>
        <w:rPr>
          <w:rFonts w:ascii="Arial" w:hAnsi="Arial"/>
          <w:color w:val="000000"/>
          <w:sz w:val="12"/>
        </w:rPr>
        <w:t>®</w:t>
      </w:r>
      <w:r>
        <w:rPr>
          <w:rFonts w:ascii="Arial" w:hAnsi="Arial"/>
          <w:i/>
          <w:color w:val="000000"/>
          <w:sz w:val="21"/>
        </w:rPr>
        <w:t>,” “VelocImmune</w:t>
      </w:r>
      <w:r>
        <w:rPr>
          <w:rFonts w:ascii="Arial" w:hAnsi="Arial"/>
          <w:color w:val="000000"/>
          <w:sz w:val="12"/>
        </w:rPr>
        <w:t>®</w:t>
      </w:r>
      <w:r>
        <w:rPr>
          <w:rFonts w:ascii="Arial" w:hAnsi="Arial"/>
          <w:i/>
          <w:color w:val="000000"/>
          <w:sz w:val="21"/>
        </w:rPr>
        <w:t>,”</w:t>
      </w:r>
      <w:r>
        <w:rPr>
          <w:rFonts w:ascii="Arial" w:hAnsi="Arial"/>
          <w:color w:val="000000"/>
          <w:sz w:val="21"/>
        </w:rPr>
        <w:t xml:space="preserve"> and “ZALTRAP</w:t>
      </w:r>
      <w:r>
        <w:rPr>
          <w:rFonts w:ascii="Arial" w:hAnsi="Arial"/>
          <w:color w:val="000000"/>
          <w:sz w:val="12"/>
        </w:rPr>
        <w:t>®</w:t>
      </w:r>
      <w:r>
        <w:rPr>
          <w:rFonts w:ascii="Arial" w:hAnsi="Arial"/>
          <w:color w:val="000000"/>
          <w:sz w:val="21"/>
        </w:rPr>
        <w:t>” are trademarks of Regeneron Pharmaceuticals, Inc. (“Regeneron”). This proxy statement refers to products marketed or otherwise commercialized by Regeneron, its collaborators, and other parties. Consult the product label in each territory for specific information about such products.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370"/>
        <w:gridCol w:w="1380"/>
        <w:gridCol w:w="455"/>
      </w:tblGrid>
      <w:tr>
        <w:trPr/>
        <w:tc>
          <w:tcPr>
            <w:tcW w:w="837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838200" cy="142875"/>
                          </a:xfrm>
                          <a:prstGeom prst="rect">
                            <a:avLst/>
                          </a:prstGeom>
                        </pic:spPr>
                      </pic:pic>
                    </a:graphicData>
                  </a:graphic>
                </wp:inline>
              </w:drawing>
            </w:r>
            <w:r>
              <w:rPr/>
              <w:t> </w:t>
            </w:r>
          </w:p>
        </w:tc>
        <w:tc>
          <w:tcPr>
            <w:tcW w:w="455" w:type="dxa"/>
            <w:tcBorders/>
            <w:shd w:fill="auto" w:val="clear"/>
            <w:vAlign w:val="center"/>
          </w:tcPr>
          <w:p>
            <w:pPr>
              <w:pStyle w:val="TableContents"/>
              <w:spacing w:before="0" w:after="283"/>
              <w:jc w:val="right"/>
              <w:rPr/>
            </w:pPr>
            <w:r>
              <w:rPr>
                <w:color w:val="00ADEE"/>
              </w:rPr>
              <w:t>  </w:t>
            </w:r>
            <w:r>
              <w:rPr>
                <w:b/>
                <w:color w:val="00ADEE"/>
              </w:rPr>
              <w:t>/  </w:t>
            </w:r>
            <w:r>
              <w:rPr>
                <w:b/>
              </w:rPr>
              <w:t>ii</w:t>
            </w:r>
          </w:p>
        </w:tc>
      </w:tr>
      <w:tr>
        <w:trPr/>
        <w:tc>
          <w:tcPr>
            <w:tcW w:w="837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45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jc w:val="center"/>
        <w:rPr/>
      </w:pPr>
      <w:r>
        <w:rPr/>
        <w:drawing>
          <wp:inline distT="0" distB="0" distL="0" distR="0">
            <wp:extent cx="7620000" cy="155257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7620000" cy="1552575"/>
                    </a:xfrm>
                    <a:prstGeom prst="rect">
                      <a:avLst/>
                    </a:prstGeom>
                  </pic:spPr>
                </pic:pic>
              </a:graphicData>
            </a:graphic>
          </wp:inline>
        </w:drawing>
      </w:r>
      <w:r>
        <w:rPr/>
        <w:t xml:space="preserve"> </w:t>
      </w:r>
    </w:p>
    <w:p>
      <w:pPr>
        <w:pStyle w:val="Heading1"/>
        <w:pBdr/>
        <w:spacing w:before="0" w:after="705"/>
        <w:ind w:left="400" w:right="0" w:hanging="0"/>
        <w:jc w:val="left"/>
        <w:rPr>
          <w:rFonts w:ascii="Arial" w:hAnsi="Arial"/>
          <w:b/>
          <w:i w:val="false"/>
          <w:caps w:val="false"/>
          <w:smallCaps w:val="false"/>
          <w:color w:val="FFFFFF"/>
          <w:sz w:val="56"/>
        </w:rPr>
      </w:pPr>
      <w:bookmarkStart w:id="11" w:name="new_id-6"/>
      <w:bookmarkEnd w:id="11"/>
      <w:r>
        <w:rPr>
          <w:rFonts w:ascii="Arial" w:hAnsi="Arial"/>
          <w:b/>
          <w:i w:val="false"/>
          <w:caps w:val="false"/>
          <w:smallCaps w:val="false"/>
          <w:color w:val="FFFFFF"/>
          <w:sz w:val="56"/>
        </w:rPr>
        <w:t xml:space="preserve">USERS’ GUIDE </w:t>
      </w:r>
    </w:p>
    <w:p>
      <w:pPr>
        <w:pStyle w:val="TextBody"/>
        <w:pBdr/>
        <w:spacing w:before="0" w:after="0"/>
        <w:ind w:left="0" w:right="0" w:hanging="0"/>
        <w:jc w:val="left"/>
        <w:rPr>
          <w:caps w:val="false"/>
          <w:smallCaps w:val="false"/>
          <w:color w:val="D31B5D"/>
        </w:rPr>
      </w:pPr>
      <w:r>
        <w:rPr>
          <w:caps w:val="false"/>
          <w:smallCaps w:val="false"/>
          <w:color w:val="D31B5D"/>
        </w:rPr>
        <w:t> </w:t>
      </w:r>
    </w:p>
    <w:p>
      <w:pPr>
        <w:pStyle w:val="Heading1"/>
        <w:pBdr/>
        <w:spacing w:before="0" w:after="330"/>
        <w:ind w:left="0" w:right="0" w:hanging="0"/>
        <w:rPr>
          <w:rFonts w:ascii="Arial" w:hAnsi="Arial"/>
          <w:b/>
          <w:i w:val="false"/>
          <w:caps w:val="false"/>
          <w:smallCaps w:val="false"/>
          <w:color w:val="245BA7"/>
          <w:sz w:val="54"/>
        </w:rPr>
      </w:pPr>
      <w:bookmarkStart w:id="12" w:name="new_id-7"/>
      <w:bookmarkEnd w:id="12"/>
      <w:r>
        <w:rPr>
          <w:rFonts w:ascii="Arial" w:hAnsi="Arial"/>
          <w:b/>
          <w:i w:val="false"/>
          <w:caps w:val="false"/>
          <w:smallCaps w:val="false"/>
          <w:color w:val="245BA7"/>
          <w:sz w:val="54"/>
        </w:rPr>
        <w:t xml:space="preserve">PROXY DASHBOARD </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3" w:name="new_id-8"/>
      <w:bookmarkEnd w:id="13"/>
      <w:r>
        <w:rPr>
          <w:rFonts w:ascii="Arial" w:hAnsi="Arial"/>
          <w:b/>
          <w:i w:val="false"/>
          <w:caps w:val="false"/>
          <w:smallCaps w:val="false"/>
          <w:color w:val="D31B5D"/>
          <w:sz w:val="30"/>
          <w:bdr w:val="single" w:sz="12" w:space="2" w:color="245BA7"/>
        </w:rPr>
        <w:t xml:space="preserve">GENERAL INFORMATION </w:t>
      </w:r>
    </w:p>
    <w:tbl>
      <w:tblPr>
        <w:tblW w:w="10205" w:type="dxa"/>
        <w:jc w:val="left"/>
        <w:tblInd w:w="0" w:type="dxa"/>
        <w:tblCellMar>
          <w:top w:w="28" w:type="dxa"/>
          <w:left w:w="28" w:type="dxa"/>
          <w:bottom w:w="28" w:type="dxa"/>
          <w:right w:w="28" w:type="dxa"/>
        </w:tblCellMar>
      </w:tblPr>
      <w:tblGrid>
        <w:gridCol w:w="1472"/>
        <w:gridCol w:w="1563"/>
        <w:gridCol w:w="5413"/>
        <w:gridCol w:w="1757"/>
      </w:tblGrid>
      <w:tr>
        <w:trPr/>
        <w:tc>
          <w:tcPr>
            <w:tcW w:w="1472" w:type="dxa"/>
            <w:tcBorders/>
            <w:shd w:fill="auto" w:val="clear"/>
            <w:vAlign w:val="center"/>
          </w:tcPr>
          <w:p>
            <w:pPr>
              <w:pStyle w:val="TableContents"/>
              <w:pBdr/>
              <w:spacing w:before="60" w:after="0"/>
              <w:ind w:left="0" w:right="0" w:hanging="0"/>
              <w:rPr>
                <w:rFonts w:ascii="Arial" w:hAnsi="Arial"/>
                <w:b/>
                <w:color w:val="000000"/>
                <w:sz w:val="21"/>
              </w:rPr>
            </w:pPr>
            <w:r>
              <w:rPr>
                <w:rFonts w:ascii="Arial" w:hAnsi="Arial"/>
                <w:b/>
                <w:color w:val="000000"/>
                <w:sz w:val="21"/>
              </w:rPr>
              <w:t>Meeting Date:</w:t>
            </w:r>
          </w:p>
        </w:tc>
        <w:tc>
          <w:tcPr>
            <w:tcW w:w="1563" w:type="dxa"/>
            <w:tcBorders/>
            <w:shd w:fill="auto" w:val="clear"/>
            <w:vAlign w:val="center"/>
          </w:tcPr>
          <w:p>
            <w:pPr>
              <w:pStyle w:val="TableContents"/>
              <w:pBdr/>
              <w:spacing w:before="60" w:after="0"/>
              <w:ind w:left="0" w:right="0" w:hanging="0"/>
              <w:rPr>
                <w:rFonts w:ascii="Arial" w:hAnsi="Arial"/>
                <w:b/>
                <w:color w:val="000000"/>
                <w:sz w:val="21"/>
              </w:rPr>
            </w:pPr>
            <w:r>
              <w:rPr>
                <w:rFonts w:ascii="Arial" w:hAnsi="Arial"/>
                <w:b/>
                <w:color w:val="000000"/>
                <w:sz w:val="21"/>
              </w:rPr>
              <w:t>Time:</w:t>
            </w:r>
          </w:p>
        </w:tc>
        <w:tc>
          <w:tcPr>
            <w:tcW w:w="5413" w:type="dxa"/>
            <w:tcBorders/>
            <w:shd w:fill="auto" w:val="clear"/>
            <w:vAlign w:val="center"/>
          </w:tcPr>
          <w:p>
            <w:pPr>
              <w:pStyle w:val="TableContents"/>
              <w:pBdr/>
              <w:spacing w:before="60" w:after="0"/>
              <w:ind w:left="0" w:right="0" w:hanging="0"/>
              <w:rPr>
                <w:rFonts w:ascii="Arial" w:hAnsi="Arial"/>
                <w:b/>
                <w:color w:val="000000"/>
                <w:sz w:val="21"/>
              </w:rPr>
            </w:pPr>
            <w:r>
              <w:rPr>
                <w:rFonts w:ascii="Arial" w:hAnsi="Arial"/>
                <w:b/>
                <w:color w:val="000000"/>
                <w:sz w:val="21"/>
              </w:rPr>
              <w:t>Location:</w:t>
            </w:r>
          </w:p>
        </w:tc>
        <w:tc>
          <w:tcPr>
            <w:tcW w:w="1757" w:type="dxa"/>
            <w:tcBorders/>
            <w:shd w:fill="auto" w:val="clear"/>
            <w:vAlign w:val="center"/>
          </w:tcPr>
          <w:p>
            <w:pPr>
              <w:pStyle w:val="TableContents"/>
              <w:pBdr/>
              <w:spacing w:before="60" w:after="0"/>
              <w:ind w:left="0" w:right="0" w:hanging="0"/>
              <w:rPr>
                <w:rFonts w:ascii="Arial" w:hAnsi="Arial"/>
                <w:b/>
                <w:color w:val="000000"/>
                <w:sz w:val="21"/>
              </w:rPr>
            </w:pPr>
            <w:r>
              <w:rPr>
                <w:rFonts w:ascii="Arial" w:hAnsi="Arial"/>
                <w:b/>
                <w:color w:val="000000"/>
                <w:sz w:val="21"/>
              </w:rPr>
              <w:t>Record Date:</w:t>
            </w:r>
          </w:p>
        </w:tc>
      </w:tr>
      <w:tr>
        <w:trPr/>
        <w:tc>
          <w:tcPr>
            <w:tcW w:w="1472" w:type="dxa"/>
            <w:tcBorders/>
            <w:shd w:fill="auto" w:val="clear"/>
            <w:vAlign w:val="center"/>
          </w:tcPr>
          <w:p>
            <w:pPr>
              <w:pStyle w:val="TableContents"/>
              <w:pBdr/>
              <w:spacing w:before="45" w:after="0"/>
              <w:ind w:left="0" w:right="0" w:hanging="0"/>
              <w:rPr>
                <w:rFonts w:ascii="Arial" w:hAnsi="Arial"/>
                <w:b/>
                <w:color w:val="245BA7"/>
                <w:sz w:val="24"/>
              </w:rPr>
            </w:pPr>
            <w:r>
              <w:rPr>
                <w:rFonts w:ascii="Arial" w:hAnsi="Arial"/>
                <w:b/>
                <w:color w:val="245BA7"/>
                <w:sz w:val="24"/>
              </w:rPr>
              <w:t>June 9, 2023</w:t>
            </w:r>
          </w:p>
        </w:tc>
        <w:tc>
          <w:tcPr>
            <w:tcW w:w="1563" w:type="dxa"/>
            <w:tcBorders/>
            <w:shd w:fill="auto" w:val="clear"/>
            <w:vAlign w:val="center"/>
          </w:tcPr>
          <w:p>
            <w:pPr>
              <w:pStyle w:val="TableContents"/>
              <w:pBdr/>
              <w:spacing w:before="45" w:after="0"/>
              <w:ind w:left="0" w:right="0" w:hanging="0"/>
              <w:rPr>
                <w:rFonts w:ascii="Arial" w:hAnsi="Arial"/>
                <w:b/>
                <w:color w:val="245BA7"/>
                <w:sz w:val="24"/>
              </w:rPr>
            </w:pPr>
            <w:r>
              <w:rPr>
                <w:rFonts w:ascii="Arial" w:hAnsi="Arial"/>
                <w:b/>
                <w:color w:val="245BA7"/>
                <w:sz w:val="24"/>
              </w:rPr>
              <w:t>10:30 a.m., ET</w:t>
            </w:r>
          </w:p>
        </w:tc>
        <w:tc>
          <w:tcPr>
            <w:tcW w:w="5413" w:type="dxa"/>
            <w:tcBorders/>
            <w:shd w:fill="auto" w:val="clear"/>
            <w:vAlign w:val="center"/>
          </w:tcPr>
          <w:p>
            <w:pPr>
              <w:pStyle w:val="TableContents"/>
              <w:pBdr/>
              <w:spacing w:before="45" w:after="0"/>
              <w:ind w:left="0" w:right="0" w:hanging="0"/>
              <w:rPr>
                <w:rFonts w:ascii="Arial" w:hAnsi="Arial"/>
                <w:b/>
                <w:color w:val="245BA7"/>
                <w:sz w:val="24"/>
              </w:rPr>
            </w:pPr>
            <w:r>
              <w:rPr>
                <w:rFonts w:ascii="Arial" w:hAnsi="Arial"/>
                <w:b/>
                <w:color w:val="245BA7"/>
                <w:sz w:val="24"/>
              </w:rPr>
              <w:t xml:space="preserve">Online at </w:t>
              <w:br/>
              <w:t>www.virtualshareholdermeeting.com/REGN2023</w:t>
            </w:r>
          </w:p>
        </w:tc>
        <w:tc>
          <w:tcPr>
            <w:tcW w:w="1757" w:type="dxa"/>
            <w:tcBorders/>
            <w:shd w:fill="auto" w:val="clear"/>
            <w:vAlign w:val="center"/>
          </w:tcPr>
          <w:p>
            <w:pPr>
              <w:pStyle w:val="TableContents"/>
              <w:pBdr/>
              <w:spacing w:before="45" w:after="0"/>
              <w:ind w:left="0" w:right="0" w:hanging="0"/>
              <w:rPr>
                <w:rFonts w:ascii="Arial" w:hAnsi="Arial"/>
                <w:b/>
                <w:color w:val="245BA7"/>
                <w:sz w:val="24"/>
              </w:rPr>
            </w:pPr>
            <w:r>
              <w:rPr>
                <w:rFonts w:ascii="Arial" w:hAnsi="Arial"/>
                <w:b/>
                <w:color w:val="245BA7"/>
                <w:sz w:val="24"/>
              </w:rPr>
              <w:t>APRIL 11, 2023</w:t>
            </w:r>
          </w:p>
        </w:tc>
      </w:tr>
    </w:tbl>
    <w:p>
      <w:pPr>
        <w:pStyle w:val="TextBody"/>
        <w:pBdr/>
        <w:spacing w:before="0" w:after="210"/>
        <w:ind w:left="0" w:right="0" w:hanging="0"/>
        <w:rPr>
          <w:color w:val="000000"/>
        </w:rPr>
      </w:pPr>
      <w:r>
        <w:rPr>
          <w:color w:val="000000"/>
        </w:rPr>
        <w:t> </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4" w:name="new_id-9"/>
      <w:bookmarkEnd w:id="14"/>
      <w:r>
        <w:rPr>
          <w:rFonts w:ascii="Arial" w:hAnsi="Arial"/>
          <w:b/>
          <w:i w:val="false"/>
          <w:caps w:val="false"/>
          <w:smallCaps w:val="false"/>
          <w:color w:val="D31B5D"/>
          <w:sz w:val="30"/>
          <w:bdr w:val="single" w:sz="12" w:space="2" w:color="245BA7"/>
        </w:rPr>
        <w:t xml:space="preserve">MEETING AGENDA </w:t>
      </w:r>
    </w:p>
    <w:tbl>
      <w:tblPr>
        <w:tblW w:w="10205" w:type="dxa"/>
        <w:jc w:val="left"/>
        <w:tblInd w:w="0" w:type="dxa"/>
        <w:tblCellMar>
          <w:top w:w="0" w:type="dxa"/>
          <w:left w:w="0" w:type="dxa"/>
          <w:bottom w:w="75" w:type="dxa"/>
          <w:right w:w="0" w:type="dxa"/>
        </w:tblCellMar>
      </w:tblPr>
      <w:tblGrid>
        <w:gridCol w:w="496"/>
        <w:gridCol w:w="7571"/>
        <w:gridCol w:w="2138"/>
      </w:tblGrid>
      <w:tr>
        <w:trPr/>
        <w:tc>
          <w:tcPr>
            <w:tcW w:w="496" w:type="dxa"/>
            <w:tcBorders>
              <w:bottom w:val="single" w:sz="12" w:space="0" w:color="245BA7"/>
            </w:tcBorders>
            <w:shd w:fill="auto" w:val="clear"/>
            <w:vAlign w:val="center"/>
          </w:tcPr>
          <w:p>
            <w:pPr>
              <w:pStyle w:val="TableContents"/>
              <w:pBdr/>
              <w:spacing w:before="15" w:after="0"/>
              <w:ind w:left="75" w:right="75" w:hanging="0"/>
              <w:rPr>
                <w:color w:val="245BA7"/>
              </w:rPr>
            </w:pPr>
            <w:r>
              <w:rPr>
                <w:color w:val="245BA7"/>
              </w:rPr>
              <w:t> </w:t>
            </w:r>
          </w:p>
        </w:tc>
        <w:tc>
          <w:tcPr>
            <w:tcW w:w="7571" w:type="dxa"/>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Matter</w:t>
            </w:r>
          </w:p>
        </w:tc>
        <w:tc>
          <w:tcPr>
            <w:tcW w:w="2138" w:type="dxa"/>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Board Vote Recommendation</w:t>
            </w:r>
          </w:p>
        </w:tc>
      </w:tr>
      <w:tr>
        <w:trPr/>
        <w:tc>
          <w:tcPr>
            <w:tcW w:w="496" w:type="dxa"/>
            <w:tcBorders>
              <w:bottom w:val="single" w:sz="12" w:space="0" w:color="575756"/>
            </w:tcBorders>
            <w:shd w:fill="auto" w:val="clear"/>
            <w:tcMar>
              <w:bottom w:w="45" w:type="dxa"/>
            </w:tcMar>
            <w:vAlign w:val="center"/>
          </w:tcPr>
          <w:p>
            <w:pPr>
              <w:pStyle w:val="TableContents"/>
              <w:pBdr/>
              <w:spacing w:before="0" w:after="0"/>
              <w:ind w:left="75" w:right="75" w:hanging="0"/>
              <w:jc w:val="center"/>
              <w:rPr>
                <w:rFonts w:ascii="Arial" w:hAnsi="Arial"/>
                <w:b/>
                <w:color w:val="D31B5D"/>
                <w:sz w:val="54"/>
              </w:rPr>
            </w:pPr>
            <w:r>
              <w:rPr>
                <w:rFonts w:ascii="Arial" w:hAnsi="Arial"/>
                <w:b/>
                <w:color w:val="D31B5D"/>
                <w:sz w:val="54"/>
              </w:rPr>
              <w:t>1</w:t>
            </w:r>
          </w:p>
        </w:tc>
        <w:tc>
          <w:tcPr>
            <w:tcW w:w="7571" w:type="dxa"/>
            <w:tcBorders>
              <w:bottom w:val="single" w:sz="12" w:space="0" w:color="575756"/>
            </w:tcBorders>
            <w:shd w:fill="auto" w:val="clear"/>
            <w:tcMar>
              <w:bottom w:w="45" w:type="dxa"/>
            </w:tcMar>
            <w:vAlign w:val="center"/>
          </w:tcPr>
          <w:p>
            <w:pPr>
              <w:pStyle w:val="TableContents"/>
              <w:pBdr/>
              <w:spacing w:before="60" w:after="60"/>
              <w:ind w:left="75" w:right="75" w:hanging="0"/>
              <w:rPr>
                <w:rFonts w:ascii="Arial" w:hAnsi="Arial"/>
                <w:color w:val="000000"/>
                <w:sz w:val="21"/>
              </w:rPr>
            </w:pPr>
            <w:r>
              <w:rPr>
                <w:rFonts w:ascii="Arial" w:hAnsi="Arial"/>
                <w:color w:val="000000"/>
                <w:sz w:val="21"/>
              </w:rPr>
              <w:t>Election of four Class II directors for a three-year term </w:t>
            </w:r>
          </w:p>
        </w:tc>
        <w:tc>
          <w:tcPr>
            <w:tcW w:w="2138" w:type="dxa"/>
            <w:tcBorders>
              <w:bottom w:val="single" w:sz="12" w:space="0" w:color="575756"/>
            </w:tcBorders>
            <w:shd w:fill="auto" w:val="clear"/>
            <w:tcMar>
              <w:bottom w:w="45" w:type="dxa"/>
            </w:tcMar>
            <w:vAlign w:val="center"/>
          </w:tcPr>
          <w:p>
            <w:pPr>
              <w:pStyle w:val="TableContents"/>
              <w:pBdr/>
              <w:spacing w:before="60" w:after="60"/>
              <w:ind w:left="75" w:right="75" w:hanging="0"/>
              <w:jc w:val="left"/>
              <w:rPr>
                <w:rFonts w:ascii="Arial" w:hAnsi="Arial"/>
                <w:color w:val="000000"/>
                <w:sz w:val="21"/>
              </w:rPr>
            </w:pPr>
            <w:r>
              <w:rPr>
                <w:rFonts w:ascii="Arial" w:hAnsi="Arial"/>
                <w:b/>
                <w:color w:val="245BA7"/>
                <w:sz w:val="21"/>
              </w:rPr>
              <w:t>FOR</w:t>
            </w:r>
            <w:r>
              <w:rPr>
                <w:rFonts w:ascii="Arial" w:hAnsi="Arial"/>
                <w:color w:val="000000"/>
                <w:sz w:val="21"/>
              </w:rPr>
              <w:t xml:space="preserve"> each director nominee</w:t>
            </w:r>
          </w:p>
          <w:p>
            <w:pPr>
              <w:pStyle w:val="TableContents"/>
              <w:spacing w:before="0" w:after="283"/>
              <w:jc w:val="left"/>
              <w:rPr/>
            </w:pPr>
            <w:r>
              <w:rPr/>
              <w:drawing>
                <wp:inline distT="0" distB="123825" distL="47625" distR="0">
                  <wp:extent cx="238125" cy="23812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238125" cy="238125"/>
                          </a:xfrm>
                          <a:prstGeom prst="rect">
                            <a:avLst/>
                          </a:prstGeom>
                        </pic:spPr>
                      </pic:pic>
                    </a:graphicData>
                  </a:graphic>
                </wp:inline>
              </w:drawing>
            </w:r>
            <w:r>
              <w:rPr/>
              <w:t xml:space="preserve"> </w:t>
            </w:r>
          </w:p>
        </w:tc>
      </w:tr>
      <w:tr>
        <w:trPr/>
        <w:tc>
          <w:tcPr>
            <w:tcW w:w="496" w:type="dxa"/>
            <w:tcBorders>
              <w:top w:val="single" w:sz="2" w:space="0" w:color="F2F2F2"/>
              <w:left w:val="single" w:sz="2" w:space="0" w:color="F2F2F2"/>
              <w:bottom w:val="single" w:sz="12" w:space="0" w:color="575756"/>
              <w:right w:val="single" w:sz="2" w:space="0" w:color="F2F2F2"/>
            </w:tcBorders>
            <w:shd w:fill="F2F2F2" w:val="clear"/>
            <w:tcMar>
              <w:top w:w="45" w:type="dxa"/>
              <w:left w:w="28" w:type="dxa"/>
              <w:bottom w:w="45" w:type="dxa"/>
              <w:right w:w="28" w:type="dxa"/>
            </w:tcMar>
            <w:vAlign w:val="center"/>
          </w:tcPr>
          <w:p>
            <w:pPr>
              <w:pStyle w:val="TableContents"/>
              <w:pBdr/>
              <w:spacing w:before="0" w:after="0"/>
              <w:ind w:left="75" w:right="75" w:hanging="0"/>
              <w:jc w:val="center"/>
              <w:rPr>
                <w:rFonts w:ascii="Arial" w:hAnsi="Arial"/>
                <w:b/>
                <w:color w:val="D31B5D"/>
                <w:sz w:val="54"/>
              </w:rPr>
            </w:pPr>
            <w:r>
              <w:rPr>
                <w:rFonts w:ascii="Arial" w:hAnsi="Arial"/>
                <w:b/>
                <w:color w:val="D31B5D"/>
                <w:sz w:val="54"/>
              </w:rPr>
              <w:t>2</w:t>
            </w:r>
          </w:p>
        </w:tc>
        <w:tc>
          <w:tcPr>
            <w:tcW w:w="7571" w:type="dxa"/>
            <w:tcBorders>
              <w:top w:val="single" w:sz="2" w:space="0" w:color="F2F2F2"/>
              <w:left w:val="single" w:sz="2" w:space="0" w:color="F2F2F2"/>
              <w:bottom w:val="single" w:sz="12" w:space="0" w:color="575756"/>
              <w:right w:val="single" w:sz="2" w:space="0" w:color="F2F2F2"/>
            </w:tcBorders>
            <w:shd w:fill="F2F2F2" w:val="clear"/>
            <w:tcMar>
              <w:top w:w="45" w:type="dxa"/>
              <w:left w:w="28" w:type="dxa"/>
              <w:bottom w:w="45" w:type="dxa"/>
              <w:right w:w="28" w:type="dxa"/>
            </w:tcMar>
            <w:vAlign w:val="center"/>
          </w:tcPr>
          <w:p>
            <w:pPr>
              <w:pStyle w:val="TableContents"/>
              <w:pBdr/>
              <w:spacing w:before="60" w:after="60"/>
              <w:ind w:left="75" w:right="75" w:hanging="0"/>
              <w:rPr>
                <w:rFonts w:ascii="Arial" w:hAnsi="Arial"/>
                <w:color w:val="000000"/>
                <w:sz w:val="21"/>
              </w:rPr>
            </w:pPr>
            <w:r>
              <w:rPr>
                <w:rFonts w:ascii="Arial" w:hAnsi="Arial"/>
                <w:color w:val="000000"/>
                <w:sz w:val="21"/>
              </w:rPr>
              <w:t>Ratification of the appointment of PricewaterhouseCoopers LLP as the Company’s independent registered public accounting firm for the fiscal year ending December 31, 2023</w:t>
            </w:r>
          </w:p>
        </w:tc>
        <w:tc>
          <w:tcPr>
            <w:tcW w:w="2138" w:type="dxa"/>
            <w:tcBorders>
              <w:top w:val="single" w:sz="2" w:space="0" w:color="F2F2F2"/>
              <w:left w:val="single" w:sz="2" w:space="0" w:color="F2F2F2"/>
              <w:bottom w:val="single" w:sz="12" w:space="0" w:color="575756"/>
              <w:right w:val="single" w:sz="2" w:space="0" w:color="F2F2F2"/>
            </w:tcBorders>
            <w:shd w:fill="F2F2F2" w:val="clear"/>
            <w:tcMar>
              <w:top w:w="45" w:type="dxa"/>
              <w:left w:w="28" w:type="dxa"/>
              <w:bottom w:w="45" w:type="dxa"/>
              <w:right w:w="28" w:type="dxa"/>
            </w:tcMar>
            <w:vAlign w:val="center"/>
          </w:tcPr>
          <w:p>
            <w:pPr>
              <w:pStyle w:val="TableContents"/>
              <w:pBdr/>
              <w:spacing w:before="60" w:after="60"/>
              <w:ind w:left="75" w:right="75" w:hanging="0"/>
              <w:jc w:val="left"/>
              <w:rPr>
                <w:rFonts w:ascii="Arial" w:hAnsi="Arial"/>
                <w:b/>
                <w:color w:val="245BA7"/>
                <w:sz w:val="21"/>
              </w:rPr>
            </w:pPr>
            <w:r>
              <w:rPr>
                <w:rFonts w:ascii="Arial" w:hAnsi="Arial"/>
                <w:b/>
                <w:color w:val="245BA7"/>
                <w:sz w:val="21"/>
              </w:rPr>
              <w:t>FOR</w:t>
            </w:r>
          </w:p>
          <w:p>
            <w:pPr>
              <w:pStyle w:val="TableContents"/>
              <w:spacing w:before="0" w:after="283"/>
              <w:jc w:val="left"/>
              <w:rPr/>
            </w:pPr>
            <w:r>
              <w:rPr/>
              <w:drawing>
                <wp:inline distT="0" distB="123825" distL="47625" distR="0">
                  <wp:extent cx="238125" cy="23812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238125" cy="238125"/>
                          </a:xfrm>
                          <a:prstGeom prst="rect">
                            <a:avLst/>
                          </a:prstGeom>
                        </pic:spPr>
                      </pic:pic>
                    </a:graphicData>
                  </a:graphic>
                </wp:inline>
              </w:drawing>
            </w:r>
            <w:r>
              <w:rPr/>
              <w:t xml:space="preserve"> </w:t>
            </w:r>
          </w:p>
        </w:tc>
      </w:tr>
      <w:tr>
        <w:trPr/>
        <w:tc>
          <w:tcPr>
            <w:tcW w:w="496" w:type="dxa"/>
            <w:tcBorders>
              <w:bottom w:val="single" w:sz="12" w:space="0" w:color="245BA7"/>
            </w:tcBorders>
            <w:shd w:fill="auto" w:val="clear"/>
            <w:tcMar>
              <w:bottom w:w="45" w:type="dxa"/>
            </w:tcMar>
            <w:vAlign w:val="center"/>
          </w:tcPr>
          <w:p>
            <w:pPr>
              <w:pStyle w:val="TableContents"/>
              <w:pBdr/>
              <w:spacing w:before="0" w:after="0"/>
              <w:ind w:left="75" w:right="75" w:hanging="0"/>
              <w:jc w:val="center"/>
              <w:rPr>
                <w:rFonts w:ascii="Arial" w:hAnsi="Arial"/>
                <w:b/>
                <w:color w:val="D31B5D"/>
                <w:sz w:val="54"/>
              </w:rPr>
            </w:pPr>
            <w:r>
              <w:rPr>
                <w:rFonts w:ascii="Arial" w:hAnsi="Arial"/>
                <w:b/>
                <w:color w:val="D31B5D"/>
                <w:sz w:val="54"/>
              </w:rPr>
              <w:t>3</w:t>
            </w:r>
          </w:p>
        </w:tc>
        <w:tc>
          <w:tcPr>
            <w:tcW w:w="7571" w:type="dxa"/>
            <w:tcBorders>
              <w:bottom w:val="single" w:sz="12" w:space="0" w:color="245BA7"/>
            </w:tcBorders>
            <w:shd w:fill="auto" w:val="clear"/>
            <w:tcMar>
              <w:bottom w:w="45" w:type="dxa"/>
            </w:tcMar>
            <w:vAlign w:val="center"/>
          </w:tcPr>
          <w:p>
            <w:pPr>
              <w:pStyle w:val="TableContents"/>
              <w:pBdr/>
              <w:spacing w:before="60" w:after="60"/>
              <w:ind w:left="75" w:right="75" w:hanging="0"/>
              <w:rPr>
                <w:rFonts w:ascii="Arial" w:hAnsi="Arial"/>
                <w:color w:val="000000"/>
                <w:sz w:val="21"/>
              </w:rPr>
            </w:pPr>
            <w:r>
              <w:rPr>
                <w:rFonts w:ascii="Arial" w:hAnsi="Arial"/>
                <w:color w:val="000000"/>
                <w:sz w:val="21"/>
              </w:rPr>
              <w:t>Advisory vote to approve the compensation of the Company’s Named Executive Officers as disclosed in these proxy materials (say-on-pay)</w:t>
            </w:r>
          </w:p>
        </w:tc>
        <w:tc>
          <w:tcPr>
            <w:tcW w:w="2138" w:type="dxa"/>
            <w:tcBorders>
              <w:bottom w:val="single" w:sz="12" w:space="0" w:color="245BA7"/>
            </w:tcBorders>
            <w:shd w:fill="auto" w:val="clear"/>
            <w:tcMar>
              <w:bottom w:w="45" w:type="dxa"/>
            </w:tcMar>
            <w:vAlign w:val="center"/>
          </w:tcPr>
          <w:p>
            <w:pPr>
              <w:pStyle w:val="TableContents"/>
              <w:pBdr/>
              <w:spacing w:before="60" w:after="60"/>
              <w:ind w:left="75" w:right="75" w:hanging="0"/>
              <w:jc w:val="left"/>
              <w:rPr>
                <w:rFonts w:ascii="Arial" w:hAnsi="Arial"/>
                <w:b/>
                <w:color w:val="245BA7"/>
                <w:sz w:val="21"/>
              </w:rPr>
            </w:pPr>
            <w:r>
              <w:rPr>
                <w:rFonts w:ascii="Arial" w:hAnsi="Arial"/>
                <w:b/>
                <w:color w:val="245BA7"/>
                <w:sz w:val="21"/>
              </w:rPr>
              <w:t>FOR</w:t>
            </w:r>
          </w:p>
          <w:p>
            <w:pPr>
              <w:pStyle w:val="TableContents"/>
              <w:spacing w:before="0" w:after="283"/>
              <w:jc w:val="left"/>
              <w:rPr/>
            </w:pPr>
            <w:r>
              <w:rPr/>
              <w:drawing>
                <wp:inline distT="0" distB="123825" distL="47625" distR="0">
                  <wp:extent cx="238125" cy="23812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238125" cy="238125"/>
                          </a:xfrm>
                          <a:prstGeom prst="rect">
                            <a:avLst/>
                          </a:prstGeom>
                        </pic:spPr>
                      </pic:pic>
                    </a:graphicData>
                  </a:graphic>
                </wp:inline>
              </w:drawing>
            </w:r>
            <w:r>
              <w:rPr/>
              <w:t xml:space="preserve"> </w:t>
            </w:r>
          </w:p>
        </w:tc>
      </w:tr>
      <w:tr>
        <w:trPr/>
        <w:tc>
          <w:tcPr>
            <w:tcW w:w="496" w:type="dxa"/>
            <w:tcBorders>
              <w:top w:val="single" w:sz="2" w:space="0" w:color="F2F2F2"/>
              <w:left w:val="single" w:sz="2" w:space="0" w:color="F2F2F2"/>
              <w:bottom w:val="single" w:sz="12" w:space="0" w:color="575756"/>
              <w:right w:val="single" w:sz="2" w:space="0" w:color="F2F2F2"/>
            </w:tcBorders>
            <w:shd w:fill="F2F2F2" w:val="clear"/>
            <w:tcMar>
              <w:top w:w="45" w:type="dxa"/>
              <w:left w:w="28" w:type="dxa"/>
              <w:bottom w:w="45" w:type="dxa"/>
              <w:right w:w="28" w:type="dxa"/>
            </w:tcMar>
            <w:vAlign w:val="center"/>
          </w:tcPr>
          <w:p>
            <w:pPr>
              <w:pStyle w:val="TableContents"/>
              <w:pBdr/>
              <w:spacing w:before="0" w:after="0"/>
              <w:ind w:left="75" w:right="75" w:hanging="0"/>
              <w:jc w:val="center"/>
              <w:rPr>
                <w:rFonts w:ascii="Arial" w:hAnsi="Arial"/>
                <w:b/>
                <w:color w:val="D31B5D"/>
                <w:sz w:val="54"/>
              </w:rPr>
            </w:pPr>
            <w:r>
              <w:rPr>
                <w:rFonts w:ascii="Arial" w:hAnsi="Arial"/>
                <w:b/>
                <w:color w:val="D31B5D"/>
                <w:sz w:val="54"/>
              </w:rPr>
              <w:t>4</w:t>
            </w:r>
          </w:p>
        </w:tc>
        <w:tc>
          <w:tcPr>
            <w:tcW w:w="7571" w:type="dxa"/>
            <w:tcBorders>
              <w:top w:val="single" w:sz="2" w:space="0" w:color="F2F2F2"/>
              <w:left w:val="single" w:sz="2" w:space="0" w:color="F2F2F2"/>
              <w:bottom w:val="single" w:sz="12" w:space="0" w:color="575756"/>
              <w:right w:val="single" w:sz="2" w:space="0" w:color="F2F2F2"/>
            </w:tcBorders>
            <w:shd w:fill="F2F2F2" w:val="clear"/>
            <w:tcMar>
              <w:top w:w="45" w:type="dxa"/>
              <w:left w:w="28" w:type="dxa"/>
              <w:bottom w:w="45" w:type="dxa"/>
              <w:right w:w="28" w:type="dxa"/>
            </w:tcMar>
            <w:vAlign w:val="center"/>
          </w:tcPr>
          <w:p>
            <w:pPr>
              <w:pStyle w:val="TableContents"/>
              <w:pBdr/>
              <w:spacing w:before="60" w:after="60"/>
              <w:ind w:left="75" w:right="75" w:hanging="0"/>
              <w:rPr>
                <w:rFonts w:ascii="Arial" w:hAnsi="Arial"/>
                <w:color w:val="000000"/>
                <w:sz w:val="21"/>
              </w:rPr>
            </w:pPr>
            <w:r>
              <w:rPr>
                <w:rFonts w:ascii="Arial" w:hAnsi="Arial"/>
                <w:color w:val="000000"/>
                <w:sz w:val="21"/>
              </w:rPr>
              <w:t>Advisory vote on the frequency of future say-on-pay votes (say-on-frequency)</w:t>
            </w:r>
          </w:p>
        </w:tc>
        <w:tc>
          <w:tcPr>
            <w:tcW w:w="2138" w:type="dxa"/>
            <w:tcBorders>
              <w:top w:val="single" w:sz="2" w:space="0" w:color="F2F2F2"/>
              <w:left w:val="single" w:sz="2" w:space="0" w:color="F2F2F2"/>
              <w:bottom w:val="single" w:sz="12" w:space="0" w:color="575756"/>
            </w:tcBorders>
            <w:shd w:fill="F2F2F2" w:val="clear"/>
            <w:tcMar>
              <w:top w:w="45" w:type="dxa"/>
              <w:left w:w="28" w:type="dxa"/>
              <w:bottom w:w="45" w:type="dxa"/>
            </w:tcMar>
            <w:vAlign w:val="center"/>
          </w:tcPr>
          <w:p>
            <w:pPr>
              <w:pStyle w:val="TableContents"/>
              <w:pBdr/>
              <w:spacing w:before="60" w:after="60"/>
              <w:ind w:left="75" w:right="75" w:hanging="0"/>
              <w:jc w:val="left"/>
              <w:rPr>
                <w:rFonts w:ascii="Arial" w:hAnsi="Arial"/>
                <w:color w:val="000000"/>
                <w:sz w:val="21"/>
              </w:rPr>
            </w:pPr>
            <w:r>
              <w:rPr>
                <w:rFonts w:ascii="Arial" w:hAnsi="Arial"/>
                <w:color w:val="000000"/>
                <w:sz w:val="21"/>
              </w:rPr>
              <w:t xml:space="preserve">Every </w:t>
            </w:r>
            <w:r>
              <w:rPr>
                <w:rFonts w:ascii="Arial" w:hAnsi="Arial"/>
                <w:b/>
                <w:color w:val="245BA7"/>
                <w:sz w:val="21"/>
              </w:rPr>
              <w:t>ONE</w:t>
            </w:r>
            <w:r>
              <w:rPr>
                <w:rFonts w:ascii="Arial" w:hAnsi="Arial"/>
                <w:color w:val="000000"/>
                <w:sz w:val="21"/>
              </w:rPr>
              <w:t xml:space="preserve"> year</w:t>
            </w:r>
          </w:p>
          <w:p>
            <w:pPr>
              <w:pStyle w:val="TableContents"/>
              <w:pBdr/>
              <w:spacing w:before="0" w:after="60"/>
              <w:ind w:left="75" w:right="75" w:hanging="0"/>
              <w:jc w:val="left"/>
              <w:rPr>
                <w:color w:val="000000"/>
              </w:rPr>
            </w:pPr>
            <w:r>
              <w:rPr>
                <w:color w:val="000000"/>
              </w:rPr>
              <w:drawing>
                <wp:inline distT="0" distB="0" distL="0" distR="0">
                  <wp:extent cx="266700" cy="2762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266700" cy="276225"/>
                          </a:xfrm>
                          <a:prstGeom prst="rect">
                            <a:avLst/>
                          </a:prstGeom>
                        </pic:spPr>
                      </pic:pic>
                    </a:graphicData>
                  </a:graphic>
                </wp:inline>
              </w:drawing>
            </w:r>
          </w:p>
        </w:tc>
      </w:tr>
      <w:tr>
        <w:trPr/>
        <w:tc>
          <w:tcPr>
            <w:tcW w:w="496" w:type="dxa"/>
            <w:tcBorders>
              <w:bottom w:val="single" w:sz="12" w:space="0" w:color="245BA7"/>
            </w:tcBorders>
            <w:shd w:fill="auto" w:val="clear"/>
            <w:tcMar>
              <w:bottom w:w="45" w:type="dxa"/>
            </w:tcMar>
            <w:vAlign w:val="center"/>
          </w:tcPr>
          <w:p>
            <w:pPr>
              <w:pStyle w:val="TableContents"/>
              <w:pBdr/>
              <w:spacing w:before="0" w:after="0"/>
              <w:ind w:left="75" w:right="75" w:hanging="0"/>
              <w:jc w:val="center"/>
              <w:rPr>
                <w:rFonts w:ascii="Arial" w:hAnsi="Arial"/>
                <w:b/>
                <w:color w:val="D31B5D"/>
                <w:sz w:val="54"/>
              </w:rPr>
            </w:pPr>
            <w:r>
              <w:rPr>
                <w:rFonts w:ascii="Arial" w:hAnsi="Arial"/>
                <w:b/>
                <w:color w:val="D31B5D"/>
                <w:sz w:val="54"/>
              </w:rPr>
              <w:t>5</w:t>
            </w:r>
          </w:p>
        </w:tc>
        <w:tc>
          <w:tcPr>
            <w:tcW w:w="7571" w:type="dxa"/>
            <w:tcBorders>
              <w:bottom w:val="single" w:sz="12" w:space="0" w:color="245BA7"/>
            </w:tcBorders>
            <w:shd w:fill="auto" w:val="clear"/>
            <w:tcMar>
              <w:bottom w:w="45" w:type="dxa"/>
            </w:tcMar>
            <w:vAlign w:val="center"/>
          </w:tcPr>
          <w:p>
            <w:pPr>
              <w:pStyle w:val="TableContents"/>
              <w:pBdr/>
              <w:spacing w:before="60" w:after="60"/>
              <w:ind w:left="75" w:right="75" w:hanging="0"/>
              <w:rPr>
                <w:rFonts w:ascii="Arial" w:hAnsi="Arial"/>
                <w:color w:val="000000"/>
                <w:sz w:val="21"/>
              </w:rPr>
            </w:pPr>
            <w:r>
              <w:rPr>
                <w:rFonts w:ascii="Arial" w:hAnsi="Arial"/>
                <w:color w:val="000000"/>
                <w:sz w:val="21"/>
              </w:rPr>
              <w:t>Non-binding shareholder proposal, if properly presented </w:t>
            </w:r>
          </w:p>
        </w:tc>
        <w:tc>
          <w:tcPr>
            <w:tcW w:w="2138" w:type="dxa"/>
            <w:tcBorders>
              <w:bottom w:val="single" w:sz="12" w:space="0" w:color="245BA7"/>
            </w:tcBorders>
            <w:shd w:fill="auto" w:val="clear"/>
            <w:tcMar>
              <w:bottom w:w="45" w:type="dxa"/>
            </w:tcMar>
            <w:vAlign w:val="center"/>
          </w:tcPr>
          <w:p>
            <w:pPr>
              <w:pStyle w:val="TableContents"/>
              <w:pBdr/>
              <w:spacing w:before="60" w:after="60"/>
              <w:ind w:left="75" w:right="75" w:hanging="0"/>
              <w:jc w:val="left"/>
              <w:rPr>
                <w:rFonts w:ascii="Arial" w:hAnsi="Arial"/>
                <w:b/>
                <w:color w:val="245BA7"/>
                <w:sz w:val="21"/>
              </w:rPr>
            </w:pPr>
            <w:r>
              <w:rPr>
                <w:rFonts w:ascii="Arial" w:hAnsi="Arial"/>
                <w:b/>
                <w:color w:val="245BA7"/>
                <w:sz w:val="21"/>
              </w:rPr>
              <w:t>AGAINST</w:t>
            </w:r>
          </w:p>
          <w:p>
            <w:pPr>
              <w:pStyle w:val="TableContents"/>
              <w:spacing w:before="0" w:after="283"/>
              <w:jc w:val="left"/>
              <w:rPr/>
            </w:pPr>
            <w:r>
              <w:rPr/>
              <w:drawing>
                <wp:inline distT="0" distB="123825" distL="47625" distR="0">
                  <wp:extent cx="238125" cy="2381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238125" cy="238125"/>
                          </a:xfrm>
                          <a:prstGeom prst="rect">
                            <a:avLst/>
                          </a:prstGeom>
                        </pic:spPr>
                      </pic:pic>
                    </a:graphicData>
                  </a:graphic>
                </wp:inline>
              </w:drawing>
            </w:r>
            <w:r>
              <w:rPr/>
              <w:t xml:space="preserve"> </w:t>
            </w:r>
          </w:p>
        </w:tc>
      </w:tr>
    </w:tbl>
    <w:p>
      <w:pPr>
        <w:pStyle w:val="TextBody"/>
        <w:pBdr/>
        <w:spacing w:before="0" w:after="210"/>
        <w:ind w:left="0" w:right="0" w:hanging="0"/>
        <w:rPr>
          <w:rFonts w:ascii="Arial" w:hAnsi="Arial"/>
          <w:color w:val="000000"/>
          <w:sz w:val="21"/>
        </w:rPr>
      </w:pPr>
      <w:r>
        <w:rPr>
          <w:rFonts w:ascii="Arial" w:hAnsi="Arial"/>
          <w:color w:val="000000"/>
          <w:sz w:val="21"/>
        </w:rPr>
        <w:t>See “General Information about the Meeting and Other Matters” starting on page 110 for questions and answers related to the annual meeting, how to vote, and other matters.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370"/>
        <w:gridCol w:w="1380"/>
        <w:gridCol w:w="455"/>
      </w:tblGrid>
      <w:tr>
        <w:trPr/>
        <w:tc>
          <w:tcPr>
            <w:tcW w:w="837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838200" cy="142875"/>
                          </a:xfrm>
                          <a:prstGeom prst="rect">
                            <a:avLst/>
                          </a:prstGeom>
                        </pic:spPr>
                      </pic:pic>
                    </a:graphicData>
                  </a:graphic>
                </wp:inline>
              </w:drawing>
            </w:r>
            <w:r>
              <w:rPr/>
              <w:t> </w:t>
            </w:r>
          </w:p>
        </w:tc>
        <w:tc>
          <w:tcPr>
            <w:tcW w:w="455" w:type="dxa"/>
            <w:tcBorders/>
            <w:shd w:fill="auto" w:val="clear"/>
            <w:vAlign w:val="center"/>
          </w:tcPr>
          <w:p>
            <w:pPr>
              <w:pStyle w:val="TableContents"/>
              <w:spacing w:before="0" w:after="283"/>
              <w:jc w:val="right"/>
              <w:rPr/>
            </w:pPr>
            <w:r>
              <w:rPr>
                <w:color w:val="00ADEE"/>
              </w:rPr>
              <w:t>  </w:t>
            </w:r>
            <w:r>
              <w:rPr>
                <w:b/>
                <w:color w:val="00ADEE"/>
              </w:rPr>
              <w:t>/  </w:t>
            </w:r>
            <w:r>
              <w:rPr>
                <w:b/>
              </w:rPr>
              <w:t>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1"/>
        <w:pBdr/>
        <w:spacing w:before="0" w:after="330"/>
        <w:ind w:left="0" w:right="0" w:hanging="0"/>
        <w:rPr>
          <w:rFonts w:ascii="Arial" w:hAnsi="Arial"/>
          <w:b/>
          <w:i w:val="false"/>
          <w:caps w:val="false"/>
          <w:smallCaps w:val="false"/>
          <w:color w:val="245BA7"/>
          <w:sz w:val="54"/>
        </w:rPr>
      </w:pPr>
      <w:bookmarkStart w:id="15" w:name="new_id-10"/>
      <w:bookmarkEnd w:id="15"/>
      <w:r>
        <w:rPr>
          <w:rFonts w:ascii="Arial" w:hAnsi="Arial"/>
          <w:b/>
          <w:i w:val="false"/>
          <w:caps w:val="false"/>
          <w:smallCaps w:val="false"/>
          <w:color w:val="245BA7"/>
          <w:sz w:val="54"/>
        </w:rPr>
        <w:t xml:space="preserve">PROXY HIGHLIGHTS </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6" w:name="new_id-11"/>
      <w:bookmarkEnd w:id="16"/>
      <w:r>
        <w:rPr>
          <w:rFonts w:ascii="Arial" w:hAnsi="Arial"/>
          <w:b/>
          <w:i w:val="false"/>
          <w:caps w:val="false"/>
          <w:smallCaps w:val="false"/>
          <w:color w:val="D31B5D"/>
          <w:sz w:val="30"/>
          <w:bdr w:val="single" w:sz="12" w:space="2" w:color="245BA7"/>
        </w:rPr>
        <w:t xml:space="preserve">COMPENSATION AND GOVERNANCE PRACTICES DESIGNED TO DRIVE LONG-TERM PERFORMANCE </w:t>
      </w:r>
    </w:p>
    <w:p>
      <w:pPr>
        <w:pStyle w:val="TextBody"/>
        <w:pBdr/>
        <w:spacing w:before="0" w:after="210"/>
        <w:ind w:left="0" w:right="0" w:hanging="0"/>
        <w:rPr>
          <w:rFonts w:ascii="Arial" w:hAnsi="Arial"/>
          <w:color w:val="000000"/>
          <w:sz w:val="21"/>
        </w:rPr>
      </w:pPr>
      <w:r>
        <w:rPr>
          <w:rFonts w:ascii="Arial" w:hAnsi="Arial"/>
          <w:color w:val="000000"/>
          <w:sz w:val="21"/>
        </w:rPr>
        <w:t>As you review this year’s proposals, we encourage you to consider our compensation and governance practices in light of our track record of long-term shareholder value creation and delivering on our mission of repeatedly bringing important new medicines to patients living with serious diseases.</w:t>
      </w:r>
    </w:p>
    <w:p>
      <w:pPr>
        <w:pStyle w:val="TextBody"/>
        <w:pBdr/>
        <w:spacing w:before="0" w:after="210"/>
        <w:jc w:val="center"/>
        <w:rPr>
          <w:rFonts w:ascii="Arial" w:hAnsi="Arial"/>
          <w:b/>
          <w:i w:val="false"/>
          <w:caps w:val="false"/>
          <w:smallCaps w:val="false"/>
          <w:color w:val="D31B5D"/>
          <w:sz w:val="21"/>
        </w:rPr>
      </w:pPr>
      <w:r>
        <w:rPr>
          <w:rFonts w:ascii="Arial" w:hAnsi="Arial"/>
          <w:b/>
          <w:i w:val="false"/>
          <w:caps w:val="false"/>
          <w:smallCaps w:val="false"/>
          <w:color w:val="D31B5D"/>
          <w:sz w:val="21"/>
        </w:rPr>
        <w:t>Shareholder value creation over the last decade driven by relentless innovation and product pipeline progress</w:t>
      </w:r>
    </w:p>
    <w:p>
      <w:pPr>
        <w:pStyle w:val="TextBody"/>
        <w:jc w:val="center"/>
        <w:rPr/>
      </w:pPr>
      <w:r>
        <w:rPr/>
        <w:drawing>
          <wp:inline distT="0" distB="0" distL="0" distR="0">
            <wp:extent cx="6124575" cy="4838700"/>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6124575" cy="4838700"/>
                    </a:xfrm>
                    <a:prstGeom prst="rect">
                      <a:avLst/>
                    </a:prstGeom>
                  </pic:spPr>
                </pic:pic>
              </a:graphicData>
            </a:graphic>
          </wp:inline>
        </w:drawing>
      </w:r>
      <w:r>
        <w:rPr/>
        <w:t xml:space="preserve"> </w:t>
      </w:r>
    </w:p>
    <w:p>
      <w:pPr>
        <w:pStyle w:val="TextBody"/>
        <w:pBdr/>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DME = diabetic macular edema; DR = diabetic retinopathy; LDL-C = low-density lipoprotein cholesterol; AD = atopic dermatitis; RA = rheumatoid arthritis; CSCC = cutaneous squamous cell carcinoma; CRSwNP = chronic rhinosinusitis with nasal polyposis; EUA = Emergency Use Authorization from FDA; FDA = U.S. Food and Drug Administration; HoFH = homozygous familial hypercholesterolemia; NSCLC = non-small cell lung cancer; BCC = basal cell carcinoma; EoE = eosinophilic esophagitis; and PN = prurigo nodularis. Consult the product label in each approved territory for specific information about such products and indications.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370"/>
        <w:gridCol w:w="1380"/>
        <w:gridCol w:w="455"/>
      </w:tblGrid>
      <w:tr>
        <w:trPr/>
        <w:tc>
          <w:tcPr>
            <w:tcW w:w="837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838200" cy="142875"/>
                          </a:xfrm>
                          <a:prstGeom prst="rect">
                            <a:avLst/>
                          </a:prstGeom>
                        </pic:spPr>
                      </pic:pic>
                    </a:graphicData>
                  </a:graphic>
                </wp:inline>
              </w:drawing>
            </w:r>
            <w:r>
              <w:rPr/>
              <w:t> </w:t>
            </w:r>
          </w:p>
        </w:tc>
        <w:tc>
          <w:tcPr>
            <w:tcW w:w="455" w:type="dxa"/>
            <w:tcBorders/>
            <w:shd w:fill="auto" w:val="clear"/>
            <w:vAlign w:val="center"/>
          </w:tcPr>
          <w:p>
            <w:pPr>
              <w:pStyle w:val="TableContents"/>
              <w:spacing w:before="0" w:after="283"/>
              <w:jc w:val="right"/>
              <w:rPr/>
            </w:pPr>
            <w:r>
              <w:rPr>
                <w:color w:val="00ADEE"/>
              </w:rPr>
              <w:t>  </w:t>
            </w:r>
            <w:r>
              <w:rPr>
                <w:b/>
                <w:color w:val="00ADEE"/>
              </w:rPr>
              <w:t>/  </w:t>
            </w:r>
            <w:r>
              <w:rPr>
                <w:b/>
              </w:rPr>
              <w:t>2</w:t>
            </w:r>
          </w:p>
        </w:tc>
      </w:tr>
      <w:tr>
        <w:trPr/>
        <w:tc>
          <w:tcPr>
            <w:tcW w:w="837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45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7" w:name="new_id-12"/>
      <w:bookmarkEnd w:id="17"/>
      <w:r>
        <w:rPr>
          <w:rFonts w:ascii="Arial" w:hAnsi="Arial"/>
          <w:b/>
          <w:i w:val="false"/>
          <w:caps w:val="false"/>
          <w:smallCaps w:val="false"/>
          <w:color w:val="D31B5D"/>
          <w:sz w:val="30"/>
          <w:bdr w:val="single" w:sz="12" w:space="2" w:color="245BA7"/>
        </w:rPr>
        <w:t xml:space="preserve">LONGSTANDING COMMITMENT TO SHAREHOLDER ENGAGEMENT </w:t>
      </w:r>
    </w:p>
    <w:p>
      <w:pPr>
        <w:pStyle w:val="TextBody"/>
        <w:pBdr/>
        <w:spacing w:before="0" w:after="210"/>
        <w:ind w:left="0" w:right="0" w:hanging="0"/>
        <w:rPr>
          <w:rFonts w:ascii="Arial" w:hAnsi="Arial"/>
          <w:color w:val="000000"/>
          <w:sz w:val="21"/>
        </w:rPr>
      </w:pPr>
      <w:r>
        <w:rPr>
          <w:rFonts w:ascii="Arial" w:hAnsi="Arial"/>
          <w:color w:val="000000"/>
          <w:sz w:val="21"/>
        </w:rPr>
        <w:t>In the last decade, we have actively and regularly engaged with our shareholders to receive feedback on many important areas including governance, compensation, and corporate responsibility matters. Shareholder feedback is discussed with management and, depending on the topic, relayed for consideration to the appropriate committee of the board of directors (typically the Compensation Committee or the Corporate Governance and Compliance Committee), the full board, or both. In recent years, shareholder input resulted in specific changes to our compensation and corporate governance practices and policies. For example, after careful consideration of shareholder feedback following the 2021 annual shareholder meeting, in 2022 our board of directors voluntarily changed the frequency of our say-on-pay votes from every three years to every year.</w:t>
      </w:r>
    </w:p>
    <w:p>
      <w:pPr>
        <w:pStyle w:val="TextBody"/>
        <w:pBdr/>
        <w:spacing w:before="0" w:after="210"/>
        <w:ind w:left="0" w:right="0" w:hanging="0"/>
        <w:rPr>
          <w:rFonts w:ascii="Arial" w:hAnsi="Arial"/>
          <w:color w:val="000000"/>
          <w:sz w:val="21"/>
        </w:rPr>
      </w:pPr>
      <w:r>
        <w:rPr>
          <w:rFonts w:ascii="Arial" w:hAnsi="Arial"/>
          <w:color w:val="000000"/>
          <w:sz w:val="21"/>
        </w:rPr>
        <w:t>Since the 2022 annual shareholder meeting, we reached out to shareholders collectively representing over 60% of the public shares (i.e., shares of common stock outstanding as of December 31, 2022, excluding shares held by our directors and executive officers). This outreach resulted in one-on-one discussions with shareholders representing nearly 50% of our public shares.</w:t>
      </w:r>
    </w:p>
    <w:p>
      <w:pPr>
        <w:pStyle w:val="TextBody"/>
        <w:jc w:val="center"/>
        <w:rPr/>
      </w:pPr>
      <w:r>
        <w:rPr/>
        <w:drawing>
          <wp:inline distT="0" distB="0" distL="0" distR="0">
            <wp:extent cx="4762500" cy="2114550"/>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4762500" cy="2114550"/>
                    </a:xfrm>
                    <a:prstGeom prst="rect">
                      <a:avLst/>
                    </a:prstGeom>
                  </pic:spPr>
                </pic:pic>
              </a:graphicData>
            </a:graphic>
          </wp:inline>
        </w:drawing>
      </w:r>
      <w:r>
        <w:rPr/>
        <w:t xml:space="preserve"> </w:t>
      </w:r>
    </w:p>
    <w:p>
      <w:pPr>
        <w:pStyle w:val="TextBody"/>
        <w:pBdr/>
        <w:spacing w:before="0" w:after="210"/>
        <w:ind w:left="0" w:right="0" w:hanging="0"/>
        <w:jc w:val="center"/>
        <w:rPr>
          <w:color w:val="000000"/>
        </w:rPr>
      </w:pPr>
      <w:r>
        <w:rPr>
          <w:color w:val="000000"/>
        </w:rPr>
        <w:t>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Our 2022 outreach built on an active outreach program in prior years and focused on, among other matters:</w:t>
      </w:r>
    </w:p>
    <w:p>
      <w:pPr>
        <w:pStyle w:val="TextBody"/>
        <w:spacing w:before="0" w:after="0"/>
        <w:ind w:left="0" w:right="30" w:hanging="0"/>
        <w:jc w:val="center"/>
        <w:rPr>
          <w:color w:val="245BA7"/>
        </w:rPr>
      </w:pPr>
      <w:r>
        <w:rPr>
          <w:color w:val="245BA7"/>
        </w:rPr>
        <w:t>•</w:t>
      </w:r>
    </w:p>
    <w:p>
      <w:pPr>
        <w:pStyle w:val="TextBody"/>
        <w:pBdr/>
        <w:spacing w:before="0" w:after="0"/>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board’s </w:t>
      </w:r>
      <w:r>
        <w:rPr>
          <w:rFonts w:ascii="Arial" w:hAnsi="Arial"/>
          <w:b/>
          <w:i w:val="false"/>
          <w:caps w:val="false"/>
          <w:smallCaps w:val="false"/>
          <w:color w:val="000000"/>
          <w:sz w:val="21"/>
        </w:rPr>
        <w:t>director refreshment</w:t>
      </w:r>
      <w:r>
        <w:rPr>
          <w:rFonts w:ascii="Arial" w:hAnsi="Arial"/>
          <w:b w:val="false"/>
          <w:i w:val="false"/>
          <w:caps w:val="false"/>
          <w:smallCaps w:val="false"/>
          <w:color w:val="000000"/>
          <w:sz w:val="21"/>
        </w:rPr>
        <w:t> efforts, including how the recent election of Dr. Thompson is consistent with the board’s director refreshment philosophy (discussed further in the subsection “Board of Directors—Board Governance—Director Refreshment Philosophy”);</w:t>
      </w:r>
    </w:p>
    <w:p>
      <w:pPr>
        <w:pStyle w:val="TextBody"/>
        <w:spacing w:before="0" w:after="0"/>
        <w:ind w:left="0" w:right="30" w:hanging="0"/>
        <w:jc w:val="center"/>
        <w:rPr>
          <w:color w:val="245BA7"/>
        </w:rPr>
      </w:pPr>
      <w:r>
        <w:rPr>
          <w:color w:val="245BA7"/>
        </w:rPr>
        <w:t>•</w:t>
      </w:r>
    </w:p>
    <w:p>
      <w:pPr>
        <w:pStyle w:val="TextBody"/>
        <w:pBdr/>
        <w:spacing w:before="0" w:after="0"/>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Company’s </w:t>
      </w:r>
      <w:r>
        <w:rPr>
          <w:rFonts w:ascii="Arial" w:hAnsi="Arial"/>
          <w:b/>
          <w:i w:val="false"/>
          <w:caps w:val="false"/>
          <w:smallCaps w:val="false"/>
          <w:color w:val="000000"/>
          <w:sz w:val="21"/>
        </w:rPr>
        <w:t>classified board structure</w:t>
      </w:r>
      <w:r>
        <w:rPr>
          <w:rFonts w:ascii="Arial" w:hAnsi="Arial"/>
          <w:b w:val="false"/>
          <w:i w:val="false"/>
          <w:caps w:val="false"/>
          <w:smallCaps w:val="false"/>
          <w:color w:val="000000"/>
          <w:sz w:val="21"/>
        </w:rPr>
        <w:t>, including relevant considerations unique to the Company and its long-term orientation (discussed further in the subsection “Board of Directors—Board Governance—Board Structure”);</w:t>
      </w:r>
    </w:p>
    <w:p>
      <w:pPr>
        <w:pStyle w:val="TextBody"/>
        <w:spacing w:before="0" w:after="0"/>
        <w:ind w:left="0" w:right="30" w:hanging="0"/>
        <w:jc w:val="center"/>
        <w:rPr>
          <w:color w:val="245BA7"/>
        </w:rPr>
      </w:pPr>
      <w:r>
        <w:rPr>
          <w:color w:val="245BA7"/>
        </w:rPr>
        <w:t>•</w:t>
      </w:r>
    </w:p>
    <w:p>
      <w:pPr>
        <w:pStyle w:val="TextBody"/>
        <w:pBdr/>
        <w:spacing w:before="0" w:after="0"/>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Company’s </w:t>
      </w:r>
      <w:r>
        <w:rPr>
          <w:rFonts w:ascii="Arial" w:hAnsi="Arial"/>
          <w:b/>
          <w:i w:val="false"/>
          <w:caps w:val="false"/>
          <w:smallCaps w:val="false"/>
          <w:color w:val="000000"/>
          <w:sz w:val="21"/>
        </w:rPr>
        <w:t>dual-class capital structure</w:t>
      </w:r>
      <w:r>
        <w:rPr>
          <w:rFonts w:ascii="Arial" w:hAnsi="Arial"/>
          <w:b w:val="false"/>
          <w:i w:val="false"/>
          <w:caps w:val="false"/>
          <w:smallCaps w:val="false"/>
          <w:color w:val="000000"/>
          <w:sz w:val="21"/>
        </w:rPr>
        <w:t>, including relevant mitigating factors such as the steady decline in the number of shares of Class A stock outstanding since the Company’s initial public offering (“IPO”) and the relatively low percentage of overall votes controlled by the Class A shareholders, particularly when compared to other founder-led companies (discussed further in the subsection “The Company—Corporate Governance—Capital Structure”); and</w:t>
      </w:r>
    </w:p>
    <w:p>
      <w:pPr>
        <w:pStyle w:val="TextBody"/>
        <w:spacing w:before="0" w:after="0"/>
        <w:ind w:left="0" w:right="30" w:hanging="0"/>
        <w:jc w:val="center"/>
        <w:rPr>
          <w:color w:val="245BA7"/>
        </w:rPr>
      </w:pPr>
      <w:r>
        <w:rPr>
          <w:color w:val="245BA7"/>
        </w:rPr>
        <w:t>•</w:t>
      </w:r>
    </w:p>
    <w:p>
      <w:pPr>
        <w:pStyle w:val="TextBody"/>
        <w:pBdr/>
        <w:spacing w:before="0" w:after="0"/>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investor views of the newly mandated “</w:t>
      </w:r>
      <w:r>
        <w:rPr>
          <w:rFonts w:ascii="Arial" w:hAnsi="Arial"/>
          <w:b/>
          <w:i w:val="false"/>
          <w:caps w:val="false"/>
          <w:smallCaps w:val="false"/>
          <w:color w:val="000000"/>
          <w:sz w:val="21"/>
        </w:rPr>
        <w:t>pay-versus-performance</w:t>
      </w:r>
      <w:r>
        <w:rPr>
          <w:rFonts w:ascii="Arial" w:hAnsi="Arial"/>
          <w:b w:val="false"/>
          <w:i w:val="false"/>
          <w:caps w:val="false"/>
          <w:smallCaps w:val="false"/>
          <w:color w:val="000000"/>
          <w:sz w:val="21"/>
        </w:rPr>
        <w:t xml:space="preserve">” </w:t>
      </w:r>
      <w:r>
        <w:rPr>
          <w:rFonts w:ascii="Arial" w:hAnsi="Arial"/>
          <w:b/>
          <w:i w:val="false"/>
          <w:caps w:val="false"/>
          <w:smallCaps w:val="false"/>
          <w:color w:val="000000"/>
          <w:sz w:val="21"/>
        </w:rPr>
        <w:t>disclosure</w:t>
      </w:r>
      <w:r>
        <w:rPr>
          <w:rFonts w:ascii="Arial" w:hAnsi="Arial"/>
          <w:b w:val="false"/>
          <w:i w:val="false"/>
          <w:caps w:val="false"/>
          <w:smallCaps w:val="false"/>
          <w:color w:val="000000"/>
          <w:sz w:val="21"/>
        </w:rPr>
        <w:t> (which we provide in the subsection “Compensation Dashboard—Additional Compensation Information—Pay Versus Performance”).</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We had meaningful and candid discussions about these and other corporate governance topics in 2022, and the feedback received from shareholders was discussed in detail at the board level and has already shaped the recent meeting agenda and discussion in the boardroom. For example, as described further in the subsection “Board of Directors—Board Governance—Board Structure,” 2022 shareholder feedback led the Corporate Governance and Compliance Committee to request, review, and discuss a detailed analysis of the costs and benefits of the Company’s classified board structure in order to facilitate the Committee’s continued consideration of this feature of Regeneron’s governance. We remain committed to continued engagement with shareholders to understand your viewpoints and better convey the board’s approach to corporate governance with the goal of ensuring independent oversight of management’s execution of our business strategy and the continued creation of sustainable shareholder value.</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370"/>
        <w:gridCol w:w="1380"/>
        <w:gridCol w:w="455"/>
      </w:tblGrid>
      <w:tr>
        <w:trPr/>
        <w:tc>
          <w:tcPr>
            <w:tcW w:w="837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838200" cy="142875"/>
                          </a:xfrm>
                          <a:prstGeom prst="rect">
                            <a:avLst/>
                          </a:prstGeom>
                        </pic:spPr>
                      </pic:pic>
                    </a:graphicData>
                  </a:graphic>
                </wp:inline>
              </w:drawing>
            </w:r>
            <w:r>
              <w:rPr/>
              <w:t> </w:t>
            </w:r>
          </w:p>
        </w:tc>
        <w:tc>
          <w:tcPr>
            <w:tcW w:w="455" w:type="dxa"/>
            <w:tcBorders/>
            <w:shd w:fill="auto" w:val="clear"/>
            <w:vAlign w:val="center"/>
          </w:tcPr>
          <w:p>
            <w:pPr>
              <w:pStyle w:val="TableContents"/>
              <w:spacing w:before="0" w:after="283"/>
              <w:jc w:val="right"/>
              <w:rPr/>
            </w:pPr>
            <w:r>
              <w:rPr>
                <w:color w:val="00ADEE"/>
              </w:rPr>
              <w:t>  </w:t>
            </w:r>
            <w:r>
              <w:rPr>
                <w:b/>
                <w:color w:val="00ADEE"/>
              </w:rPr>
              <w:t>/  </w:t>
            </w:r>
            <w:r>
              <w:rPr>
                <w:b/>
              </w:rPr>
              <w:t>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0"/>
        <w:jc w:val="center"/>
        <w:rPr>
          <w:caps w:val="false"/>
          <w:smallCaps w:val="false"/>
          <w:color w:val="000000"/>
        </w:rPr>
      </w:pPr>
      <w:r>
        <w:rPr>
          <w:caps w:val="false"/>
          <w:smallCaps w:val="false"/>
          <w:color w:val="000000"/>
        </w:rPr>
        <w:drawing>
          <wp:inline distT="0" distB="0" distL="0" distR="0">
            <wp:extent cx="7620000" cy="102203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7620000" cy="10220325"/>
                    </a:xfrm>
                    <a:prstGeom prst="rect">
                      <a:avLst/>
                    </a:prstGeom>
                  </pic:spPr>
                </pic:pic>
              </a:graphicData>
            </a:graphic>
          </wp:inline>
        </w:drawing>
      </w:r>
    </w:p>
    <w:p>
      <w:pPr>
        <w:pStyle w:val="TextBody"/>
        <w:pBdr/>
        <w:spacing w:before="0" w:after="210"/>
        <w:ind w:left="1200" w:right="1200" w:hanging="0"/>
        <w:jc w:val="left"/>
        <w:rPr>
          <w:rFonts w:ascii="Arial" w:hAnsi="Arial"/>
          <w:b/>
          <w:i w:val="false"/>
          <w:caps w:val="false"/>
          <w:smallCaps w:val="false"/>
          <w:color w:val="000000"/>
          <w:sz w:val="21"/>
        </w:rPr>
      </w:pPr>
      <w:r>
        <w:rPr>
          <w:rFonts w:ascii="Arial" w:hAnsi="Arial"/>
          <w:b/>
          <w:i w:val="false"/>
          <w:caps w:val="false"/>
          <w:smallCaps w:val="false"/>
          <w:color w:val="000000"/>
          <w:sz w:val="21"/>
        </w:rPr>
        <w:t>From Left to Right:</w:t>
      </w:r>
    </w:p>
    <w:p>
      <w:pPr>
        <w:pStyle w:val="TextBody"/>
        <w:pBdr/>
        <w:spacing w:before="0" w:after="210"/>
        <w:ind w:left="1200" w:right="120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Bonnie L. Bassler, Ph.D., Michael S. Brown, M.D., N. Anthony Coles, M.D., Joseph L. Goldstein, M.D., Christine A. Poon, Arthur F. Ryan, Leonard S. Schleifer, M.D., Ph.D., George L. Sing, Marc Tessier-Lavigne, Ph.D., Craig B. Thompson, M.D., P. Roy Vagelos, M.D., George D. Yancopoulos, M.D., Ph.D., Huda Y. Zoghbi, M.D.</w:t>
      </w:r>
    </w:p>
    <w:p>
      <w:pPr>
        <w:pStyle w:val="TextBody"/>
        <w:pBdr/>
        <w:spacing w:before="0" w:after="0"/>
        <w:rPr>
          <w:caps w:val="false"/>
          <w:smallCaps w:val="false"/>
          <w:color w:val="000000"/>
        </w:rPr>
      </w:pPr>
      <w:r>
        <w:rPr>
          <w:caps w:val="false"/>
          <w:smallCaps w:val="false"/>
          <w:color w:val="000000"/>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370"/>
        <w:gridCol w:w="1380"/>
        <w:gridCol w:w="455"/>
      </w:tblGrid>
      <w:tr>
        <w:trPr/>
        <w:tc>
          <w:tcPr>
            <w:tcW w:w="837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838200" cy="142875"/>
                          </a:xfrm>
                          <a:prstGeom prst="rect">
                            <a:avLst/>
                          </a:prstGeom>
                        </pic:spPr>
                      </pic:pic>
                    </a:graphicData>
                  </a:graphic>
                </wp:inline>
              </w:drawing>
            </w:r>
            <w:r>
              <w:rPr/>
              <w:t> </w:t>
            </w:r>
          </w:p>
        </w:tc>
        <w:tc>
          <w:tcPr>
            <w:tcW w:w="455" w:type="dxa"/>
            <w:tcBorders/>
            <w:shd w:fill="auto" w:val="clear"/>
            <w:vAlign w:val="center"/>
          </w:tcPr>
          <w:p>
            <w:pPr>
              <w:pStyle w:val="TableContents"/>
              <w:spacing w:before="0" w:after="283"/>
              <w:jc w:val="right"/>
              <w:rPr/>
            </w:pPr>
            <w:r>
              <w:rPr>
                <w:color w:val="00ADEE"/>
              </w:rPr>
              <w:t>  </w:t>
            </w:r>
            <w:r>
              <w:rPr>
                <w:b/>
                <w:color w:val="00ADEE"/>
              </w:rPr>
              <w:t>/  </w:t>
            </w:r>
            <w:r>
              <w:rPr>
                <w:b/>
              </w:rPr>
              <w:t>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color w:val="000000"/>
        </w:rPr>
      </w:pPr>
      <w:r>
        <w:rPr>
          <w:color w:val="000000"/>
        </w:rPr>
        <w:drawing>
          <wp:inline distT="0" distB="0" distL="0" distR="0">
            <wp:extent cx="7620000" cy="155257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7620000" cy="1552575"/>
                    </a:xfrm>
                    <a:prstGeom prst="rect">
                      <a:avLst/>
                    </a:prstGeom>
                  </pic:spPr>
                </pic:pic>
              </a:graphicData>
            </a:graphic>
          </wp:inline>
        </w:drawing>
      </w:r>
    </w:p>
    <w:p>
      <w:pPr>
        <w:pStyle w:val="Heading1"/>
        <w:pBdr/>
        <w:spacing w:before="0" w:after="705"/>
        <w:ind w:left="400" w:right="0" w:hanging="0"/>
        <w:rPr>
          <w:rFonts w:ascii="Arial" w:hAnsi="Arial"/>
          <w:b w:val="false"/>
          <w:i w:val="false"/>
          <w:caps w:val="false"/>
          <w:smallCaps w:val="false"/>
          <w:color w:val="FFFFFF"/>
          <w:sz w:val="59"/>
        </w:rPr>
      </w:pPr>
      <w:bookmarkStart w:id="18" w:name="new_id-13"/>
      <w:bookmarkEnd w:id="18"/>
      <w:r>
        <w:rPr>
          <w:rFonts w:ascii="Arial" w:hAnsi="Arial"/>
          <w:b w:val="false"/>
          <w:i w:val="false"/>
          <w:caps w:val="false"/>
          <w:smallCaps w:val="false"/>
          <w:color w:val="FFFFFF"/>
          <w:sz w:val="59"/>
        </w:rPr>
        <w:t xml:space="preserve">BOARD OF DIRECTORS </w:t>
      </w:r>
    </w:p>
    <w:p>
      <w:pPr>
        <w:pStyle w:val="TextBody"/>
        <w:pBdr/>
        <w:spacing w:before="0" w:after="0"/>
        <w:ind w:left="0" w:right="0" w:hanging="0"/>
        <w:jc w:val="left"/>
        <w:rPr>
          <w:caps w:val="false"/>
          <w:smallCaps w:val="false"/>
          <w:color w:val="D31B5D"/>
        </w:rPr>
      </w:pPr>
      <w:r>
        <w:rPr>
          <w:caps w:val="false"/>
          <w:smallCaps w:val="false"/>
          <w:color w:val="D31B5D"/>
        </w:rPr>
        <w:t> </w:t>
      </w:r>
    </w:p>
    <w:p>
      <w:pPr>
        <w:pStyle w:val="Heading1"/>
        <w:pBdr/>
        <w:spacing w:before="0" w:after="330"/>
        <w:ind w:left="0" w:right="0" w:hanging="0"/>
        <w:rPr>
          <w:rFonts w:ascii="Arial" w:hAnsi="Arial"/>
          <w:b/>
          <w:i w:val="false"/>
          <w:caps w:val="false"/>
          <w:smallCaps w:val="false"/>
          <w:color w:val="245BA7"/>
          <w:sz w:val="54"/>
        </w:rPr>
      </w:pPr>
      <w:bookmarkStart w:id="19" w:name="new_id-14"/>
      <w:bookmarkEnd w:id="19"/>
      <w:r>
        <w:rPr>
          <w:rFonts w:ascii="Arial" w:hAnsi="Arial"/>
          <w:b/>
          <w:i w:val="false"/>
          <w:caps w:val="false"/>
          <w:smallCaps w:val="false"/>
          <w:color w:val="245BA7"/>
          <w:sz w:val="54"/>
        </w:rPr>
        <w:t xml:space="preserve">MEET THE BOARD </w:t>
      </w:r>
    </w:p>
    <w:p>
      <w:pPr>
        <w:pStyle w:val="TextBody"/>
        <w:pBdr/>
        <w:spacing w:before="0" w:after="210"/>
        <w:ind w:left="0" w:right="0" w:hanging="0"/>
        <w:rPr>
          <w:rFonts w:ascii="Arial" w:hAnsi="Arial"/>
          <w:color w:val="000000"/>
          <w:sz w:val="21"/>
        </w:rPr>
      </w:pPr>
      <w:r>
        <w:rPr>
          <w:rFonts w:ascii="Arial" w:hAnsi="Arial"/>
          <w:color w:val="000000"/>
          <w:sz w:val="21"/>
        </w:rPr>
        <w:t>As the first substantive order of business at the 2023 Annual Meeting, you have an opportunity to vote on four members of our board of directors. This is the correct starting point not only because the board oversees Regeneron, but also because understanding the Regeneron board leads to a better understanding of the Company and its business model.</w:t>
      </w:r>
    </w:p>
    <w:p>
      <w:pPr>
        <w:pStyle w:val="TextBody"/>
        <w:pBdr/>
        <w:spacing w:before="0" w:after="210"/>
        <w:ind w:left="0" w:right="0" w:hanging="0"/>
        <w:rPr>
          <w:rFonts w:ascii="Arial" w:hAnsi="Arial"/>
          <w:color w:val="000000"/>
          <w:sz w:val="21"/>
        </w:rPr>
      </w:pPr>
      <w:r>
        <w:rPr>
          <w:rFonts w:ascii="Arial" w:hAnsi="Arial"/>
          <w:color w:val="000000"/>
          <w:sz w:val="21"/>
        </w:rPr>
        <w:t>At Regeneron, we lead with science as we pursue our mission of repeatedly bringing important new medicines to patients living with serious diseases. Our business is built on investment in our deep scientific and technological capabilities, which drives our research, preclinical development, clinical, and manufacturing efforts.</w:t>
      </w:r>
    </w:p>
    <w:p>
      <w:pPr>
        <w:pStyle w:val="TextBody"/>
        <w:pBdr/>
        <w:spacing w:before="0" w:after="210"/>
        <w:ind w:left="0" w:right="0" w:hanging="0"/>
        <w:rPr>
          <w:rFonts w:ascii="Arial" w:hAnsi="Arial"/>
          <w:color w:val="000000"/>
          <w:sz w:val="21"/>
        </w:rPr>
      </w:pPr>
      <w:r>
        <w:rPr>
          <w:rFonts w:ascii="Arial" w:hAnsi="Arial"/>
          <w:color w:val="000000"/>
          <w:sz w:val="21"/>
        </w:rPr>
        <w:t xml:space="preserve">The composition of our board is shaped by this business model and the recognition that our board members must have predominantly science-based backgrounds to effectively provide robust, independent oversight of management. The current makeup of our board reflects this principle: Eight of our 13 directors are members of the National Academy of Sciences, and our board includes two Nobel laureates and holders of many scientific awards.  In addition, the board includes individuals with experience building shareholder value through all stages of corporate development. Various members also bring substantial governance, financial, policy, and management expertise gained from their professional backgrounds and their service on other boards. </w:t>
      </w:r>
    </w:p>
    <w:p>
      <w:pPr>
        <w:pStyle w:val="TextBody"/>
        <w:pBdr/>
        <w:spacing w:before="0" w:after="210"/>
        <w:ind w:left="0" w:right="0" w:hanging="0"/>
        <w:rPr>
          <w:rFonts w:ascii="Arial" w:hAnsi="Arial"/>
          <w:color w:val="000000"/>
          <w:sz w:val="21"/>
        </w:rPr>
      </w:pPr>
      <w:r>
        <w:rPr>
          <w:rFonts w:ascii="Arial" w:hAnsi="Arial"/>
          <w:color w:val="000000"/>
          <w:sz w:val="21"/>
        </w:rPr>
        <w:t>The board’s composition also reflects our commitment to ensure diversity of thought, experience, attributes, and background, as demonstrated by the fact that three of our board’s current 13 members are women and four members are racially or ethnically diverse. The following Board Diversity Matrix sets forth certain diversity information as self-reported by the current members of the board.</w:t>
      </w:r>
    </w:p>
    <w:tbl>
      <w:tblPr>
        <w:tblW w:w="10205" w:type="dxa"/>
        <w:jc w:val="left"/>
        <w:tblInd w:w="0" w:type="dxa"/>
        <w:tblCellMar>
          <w:top w:w="45" w:type="dxa"/>
          <w:left w:w="0" w:type="dxa"/>
          <w:bottom w:w="75" w:type="dxa"/>
          <w:right w:w="0" w:type="dxa"/>
        </w:tblCellMar>
      </w:tblPr>
      <w:tblGrid>
        <w:gridCol w:w="7210"/>
        <w:gridCol w:w="1785"/>
        <w:gridCol w:w="1210"/>
      </w:tblGrid>
      <w:tr>
        <w:trPr/>
        <w:tc>
          <w:tcPr>
            <w:tcW w:w="10205" w:type="dxa"/>
            <w:gridSpan w:val="3"/>
            <w:tcBorders>
              <w:top w:val="single" w:sz="2" w:space="0" w:color="245BA7"/>
              <w:bottom w:val="single" w:sz="12" w:space="0" w:color="245BA7"/>
            </w:tcBorders>
            <w:shd w:fill="245BA7" w:val="clear"/>
            <w:vAlign w:val="center"/>
          </w:tcPr>
          <w:p>
            <w:pPr>
              <w:pStyle w:val="TableContents"/>
              <w:pBdr/>
              <w:spacing w:before="15" w:after="0"/>
              <w:ind w:left="0" w:right="0" w:hanging="0"/>
              <w:jc w:val="center"/>
              <w:rPr>
                <w:rFonts w:ascii="Arial" w:hAnsi="Arial"/>
                <w:b/>
                <w:color w:val="FFFFFF"/>
                <w:sz w:val="18"/>
              </w:rPr>
            </w:pPr>
            <w:r>
              <w:rPr>
                <w:rFonts w:ascii="Arial" w:hAnsi="Arial"/>
                <w:b/>
                <w:color w:val="FFFFFF"/>
                <w:sz w:val="18"/>
              </w:rPr>
              <w:t>Board Diversity Matrix*</w:t>
            </w:r>
          </w:p>
        </w:tc>
      </w:tr>
      <w:tr>
        <w:trPr/>
        <w:tc>
          <w:tcPr>
            <w:tcW w:w="7210" w:type="dxa"/>
            <w:tcBorders>
              <w:bottom w:val="single" w:sz="12" w:space="0" w:color="245BA7"/>
            </w:tcBorders>
            <w:shd w:fill="auto" w:val="clear"/>
            <w:tcMar>
              <w:top w:w="0" w:type="dxa"/>
              <w:bottom w:w="3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Total Number of Directors</w:t>
            </w:r>
          </w:p>
        </w:tc>
        <w:tc>
          <w:tcPr>
            <w:tcW w:w="2995" w:type="dxa"/>
            <w:gridSpan w:val="2"/>
            <w:tcBorders>
              <w:bottom w:val="single" w:sz="12" w:space="0" w:color="245BA7"/>
            </w:tcBorders>
            <w:shd w:fill="auto" w:val="clear"/>
            <w:tcMar>
              <w:top w:w="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13</w:t>
            </w:r>
          </w:p>
        </w:tc>
      </w:tr>
      <w:tr>
        <w:trPr/>
        <w:tc>
          <w:tcPr>
            <w:tcW w:w="7210" w:type="dxa"/>
            <w:tcBorders>
              <w:top w:val="single" w:sz="2" w:space="0" w:color="D3DEED"/>
              <w:bottom w:val="single" w:sz="12" w:space="0" w:color="D3DEED"/>
            </w:tcBorders>
            <w:shd w:fill="D3DEED" w:val="clear"/>
            <w:vAlign w:val="center"/>
          </w:tcPr>
          <w:p>
            <w:pPr>
              <w:pStyle w:val="TableContents"/>
              <w:pBdr/>
              <w:spacing w:before="15" w:after="0"/>
              <w:ind w:left="15" w:right="15" w:hanging="0"/>
              <w:rPr>
                <w:color w:val="245BA7"/>
              </w:rPr>
            </w:pPr>
            <w:r>
              <w:rPr>
                <w:color w:val="245BA7"/>
              </w:rPr>
              <w:t> </w:t>
            </w:r>
          </w:p>
        </w:tc>
        <w:tc>
          <w:tcPr>
            <w:tcW w:w="1785" w:type="dxa"/>
            <w:tcBorders>
              <w:top w:val="single" w:sz="2" w:space="0" w:color="D3DEED"/>
              <w:bottom w:val="single" w:sz="12" w:space="0" w:color="D3DEED"/>
            </w:tcBorders>
            <w:shd w:fill="D3DEED"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Female</w:t>
            </w:r>
          </w:p>
        </w:tc>
        <w:tc>
          <w:tcPr>
            <w:tcW w:w="1210" w:type="dxa"/>
            <w:tcBorders>
              <w:top w:val="single" w:sz="2" w:space="0" w:color="D3DEED"/>
              <w:bottom w:val="single" w:sz="12" w:space="0" w:color="D3DEED"/>
            </w:tcBorders>
            <w:shd w:fill="D3DEED"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Male</w:t>
            </w:r>
          </w:p>
        </w:tc>
      </w:tr>
      <w:tr>
        <w:trPr/>
        <w:tc>
          <w:tcPr>
            <w:tcW w:w="7210" w:type="dxa"/>
            <w:tcBorders>
              <w:top w:val="single" w:sz="2" w:space="0" w:color="E9EFF6"/>
              <w:bottom w:val="single" w:sz="12" w:space="0" w:color="E9EFF6"/>
            </w:tcBorders>
            <w:shd w:fill="E9EFF6" w:val="clear"/>
            <w:vAlign w:val="center"/>
          </w:tcPr>
          <w:p>
            <w:pPr>
              <w:pStyle w:val="TableContents"/>
              <w:pBdr/>
              <w:spacing w:before="15" w:after="0"/>
              <w:ind w:left="15" w:right="15" w:hanging="0"/>
              <w:rPr>
                <w:rFonts w:ascii="Arial" w:hAnsi="Arial"/>
                <w:b/>
                <w:color w:val="245BA7"/>
                <w:sz w:val="18"/>
              </w:rPr>
            </w:pPr>
            <w:r>
              <w:rPr>
                <w:rFonts w:ascii="Arial" w:hAnsi="Arial"/>
                <w:b/>
                <w:color w:val="245BA7"/>
                <w:sz w:val="18"/>
              </w:rPr>
              <w:t>Part I: Gender Identity</w:t>
            </w:r>
          </w:p>
        </w:tc>
        <w:tc>
          <w:tcPr>
            <w:tcW w:w="1785" w:type="dxa"/>
            <w:tcBorders>
              <w:top w:val="single" w:sz="2" w:space="0" w:color="E9EFF6"/>
              <w:bottom w:val="single" w:sz="12" w:space="0" w:color="E9EFF6"/>
            </w:tcBorders>
            <w:shd w:fill="E9EFF6" w:val="clear"/>
            <w:vAlign w:val="center"/>
          </w:tcPr>
          <w:p>
            <w:pPr>
              <w:pStyle w:val="TableContents"/>
              <w:pBdr/>
              <w:spacing w:before="15" w:after="0"/>
              <w:ind w:left="0" w:right="0" w:hanging="0"/>
              <w:jc w:val="center"/>
              <w:rPr>
                <w:color w:val="245BA7"/>
              </w:rPr>
            </w:pPr>
            <w:r>
              <w:rPr>
                <w:color w:val="245BA7"/>
              </w:rPr>
              <w:t> </w:t>
            </w:r>
          </w:p>
        </w:tc>
        <w:tc>
          <w:tcPr>
            <w:tcW w:w="1210" w:type="dxa"/>
            <w:tcBorders>
              <w:top w:val="single" w:sz="2" w:space="0" w:color="E9EFF6"/>
              <w:bottom w:val="single" w:sz="12" w:space="0" w:color="E9EFF6"/>
            </w:tcBorders>
            <w:shd w:fill="E9EFF6" w:val="clear"/>
            <w:vAlign w:val="center"/>
          </w:tcPr>
          <w:p>
            <w:pPr>
              <w:pStyle w:val="TableContents"/>
              <w:pBdr/>
              <w:spacing w:before="15" w:after="0"/>
              <w:ind w:left="0" w:right="0" w:hanging="0"/>
              <w:jc w:val="center"/>
              <w:rPr>
                <w:color w:val="245BA7"/>
              </w:rPr>
            </w:pPr>
            <w:r>
              <w:rPr>
                <w:color w:val="245BA7"/>
              </w:rPr>
              <w:t> </w:t>
            </w:r>
          </w:p>
        </w:tc>
      </w:tr>
      <w:tr>
        <w:trPr/>
        <w:tc>
          <w:tcPr>
            <w:tcW w:w="7210" w:type="dxa"/>
            <w:tcBorders>
              <w:bottom w:val="single" w:sz="12" w:space="0" w:color="245BA7"/>
            </w:tcBorders>
            <w:shd w:fill="auto" w:val="clear"/>
            <w:tcMar>
              <w:top w:w="0" w:type="dxa"/>
              <w:bottom w:w="30"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Directors</w:t>
            </w:r>
          </w:p>
        </w:tc>
        <w:tc>
          <w:tcPr>
            <w:tcW w:w="1785" w:type="dxa"/>
            <w:tcBorders>
              <w:bottom w:val="single" w:sz="12" w:space="0" w:color="245BA7"/>
            </w:tcBorders>
            <w:shd w:fill="auto" w:val="clear"/>
            <w:tcMar>
              <w:top w:w="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3</w:t>
            </w:r>
          </w:p>
        </w:tc>
        <w:tc>
          <w:tcPr>
            <w:tcW w:w="1210" w:type="dxa"/>
            <w:tcBorders>
              <w:bottom w:val="single" w:sz="12" w:space="0" w:color="245BA7"/>
            </w:tcBorders>
            <w:shd w:fill="auto" w:val="clear"/>
            <w:tcMar>
              <w:top w:w="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10</w:t>
            </w:r>
          </w:p>
        </w:tc>
      </w:tr>
      <w:tr>
        <w:trPr/>
        <w:tc>
          <w:tcPr>
            <w:tcW w:w="7210" w:type="dxa"/>
            <w:tcBorders>
              <w:top w:val="single" w:sz="2" w:space="0" w:color="E9EFF6"/>
              <w:bottom w:val="single" w:sz="12" w:space="0" w:color="E9EFF6"/>
            </w:tcBorders>
            <w:shd w:fill="E9EFF6" w:val="clear"/>
            <w:vAlign w:val="center"/>
          </w:tcPr>
          <w:p>
            <w:pPr>
              <w:pStyle w:val="TableContents"/>
              <w:pBdr/>
              <w:spacing w:before="15" w:after="0"/>
              <w:ind w:left="15" w:right="15" w:hanging="0"/>
              <w:rPr>
                <w:rFonts w:ascii="Arial" w:hAnsi="Arial"/>
                <w:b/>
                <w:color w:val="245BA7"/>
                <w:sz w:val="18"/>
              </w:rPr>
            </w:pPr>
            <w:r>
              <w:rPr>
                <w:rFonts w:ascii="Arial" w:hAnsi="Arial"/>
                <w:b/>
                <w:color w:val="245BA7"/>
                <w:sz w:val="18"/>
              </w:rPr>
              <w:t>Part II: Demographic Background</w:t>
            </w:r>
          </w:p>
        </w:tc>
        <w:tc>
          <w:tcPr>
            <w:tcW w:w="1785" w:type="dxa"/>
            <w:tcBorders>
              <w:top w:val="single" w:sz="2" w:space="0" w:color="E9EFF6"/>
              <w:bottom w:val="single" w:sz="12" w:space="0" w:color="E9EFF6"/>
            </w:tcBorders>
            <w:shd w:fill="E9EFF6" w:val="clear"/>
            <w:vAlign w:val="center"/>
          </w:tcPr>
          <w:p>
            <w:pPr>
              <w:pStyle w:val="TableContents"/>
              <w:pBdr/>
              <w:spacing w:before="15" w:after="0"/>
              <w:ind w:left="0" w:right="0" w:hanging="0"/>
              <w:jc w:val="center"/>
              <w:rPr>
                <w:color w:val="245BA7"/>
              </w:rPr>
            </w:pPr>
            <w:r>
              <w:rPr>
                <w:color w:val="245BA7"/>
              </w:rPr>
              <w:t> </w:t>
            </w:r>
          </w:p>
        </w:tc>
        <w:tc>
          <w:tcPr>
            <w:tcW w:w="1210" w:type="dxa"/>
            <w:tcBorders>
              <w:top w:val="single" w:sz="2" w:space="0" w:color="E9EFF6"/>
              <w:bottom w:val="single" w:sz="12" w:space="0" w:color="E9EFF6"/>
            </w:tcBorders>
            <w:shd w:fill="E9EFF6" w:val="clear"/>
            <w:vAlign w:val="center"/>
          </w:tcPr>
          <w:p>
            <w:pPr>
              <w:pStyle w:val="TableContents"/>
              <w:pBdr/>
              <w:spacing w:before="15" w:after="0"/>
              <w:ind w:left="0" w:right="0" w:hanging="0"/>
              <w:jc w:val="center"/>
              <w:rPr>
                <w:color w:val="245BA7"/>
              </w:rPr>
            </w:pPr>
            <w:r>
              <w:rPr>
                <w:color w:val="245BA7"/>
              </w:rPr>
              <w:t> </w:t>
            </w:r>
          </w:p>
        </w:tc>
      </w:tr>
      <w:tr>
        <w:trPr/>
        <w:tc>
          <w:tcPr>
            <w:tcW w:w="7210" w:type="dxa"/>
            <w:tcBorders>
              <w:bottom w:val="single" w:sz="12" w:space="0" w:color="575756"/>
            </w:tcBorders>
            <w:shd w:fill="auto" w:val="clear"/>
            <w:tcMar>
              <w:top w:w="0" w:type="dxa"/>
              <w:bottom w:w="30"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African American or Black</w:t>
            </w:r>
          </w:p>
        </w:tc>
        <w:tc>
          <w:tcPr>
            <w:tcW w:w="1785" w:type="dxa"/>
            <w:tcBorders>
              <w:bottom w:val="single" w:sz="12" w:space="0" w:color="575756"/>
            </w:tcBorders>
            <w:shd w:fill="auto" w:val="clear"/>
            <w:tcMar>
              <w:top w:w="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w:t>
            </w:r>
          </w:p>
        </w:tc>
        <w:tc>
          <w:tcPr>
            <w:tcW w:w="1210" w:type="dxa"/>
            <w:tcBorders>
              <w:bottom w:val="single" w:sz="12" w:space="0" w:color="575756"/>
            </w:tcBorders>
            <w:shd w:fill="auto" w:val="clear"/>
            <w:tcMar>
              <w:top w:w="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1</w:t>
            </w:r>
          </w:p>
        </w:tc>
      </w:tr>
      <w:tr>
        <w:trPr/>
        <w:tc>
          <w:tcPr>
            <w:tcW w:w="7210" w:type="dxa"/>
            <w:tcBorders>
              <w:top w:val="single" w:sz="2" w:space="0" w:color="F2F2F2"/>
              <w:bottom w:val="single" w:sz="12" w:space="0" w:color="F2F2F2"/>
            </w:tcBorders>
            <w:shd w:fill="F2F2F2" w:val="clear"/>
            <w:tcMar>
              <w:bottom w:w="30"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Asian</w:t>
            </w:r>
          </w:p>
        </w:tc>
        <w:tc>
          <w:tcPr>
            <w:tcW w:w="1785" w:type="dxa"/>
            <w:tcBorders>
              <w:top w:val="single" w:sz="2" w:space="0" w:color="F2F2F2"/>
              <w:bottom w:val="single" w:sz="12" w:space="0" w:color="F2F2F2"/>
            </w:tcBorders>
            <w:shd w:fill="F2F2F2" w:val="clear"/>
            <w:tcMar>
              <w:top w:w="9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1</w:t>
            </w:r>
          </w:p>
        </w:tc>
        <w:tc>
          <w:tcPr>
            <w:tcW w:w="1210" w:type="dxa"/>
            <w:tcBorders>
              <w:top w:val="single" w:sz="2" w:space="0" w:color="F2F2F2"/>
              <w:bottom w:val="single" w:sz="12" w:space="0" w:color="F2F2F2"/>
            </w:tcBorders>
            <w:shd w:fill="F2F2F2" w:val="clear"/>
            <w:tcMar>
              <w:top w:w="9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1</w:t>
            </w:r>
          </w:p>
        </w:tc>
      </w:tr>
      <w:tr>
        <w:trPr/>
        <w:tc>
          <w:tcPr>
            <w:tcW w:w="7210" w:type="dxa"/>
            <w:tcBorders>
              <w:bottom w:val="single" w:sz="12" w:space="0" w:color="245BA7"/>
            </w:tcBorders>
            <w:shd w:fill="auto" w:val="clear"/>
            <w:tcMar>
              <w:top w:w="0" w:type="dxa"/>
              <w:bottom w:w="30"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White</w:t>
            </w:r>
          </w:p>
        </w:tc>
        <w:tc>
          <w:tcPr>
            <w:tcW w:w="1785" w:type="dxa"/>
            <w:tcBorders>
              <w:bottom w:val="single" w:sz="12" w:space="0" w:color="245BA7"/>
            </w:tcBorders>
            <w:shd w:fill="auto" w:val="clear"/>
            <w:tcMar>
              <w:top w:w="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1</w:t>
            </w:r>
          </w:p>
        </w:tc>
        <w:tc>
          <w:tcPr>
            <w:tcW w:w="1210" w:type="dxa"/>
            <w:tcBorders>
              <w:bottom w:val="single" w:sz="12" w:space="0" w:color="245BA7"/>
            </w:tcBorders>
            <w:shd w:fill="auto" w:val="clear"/>
            <w:tcMar>
              <w:top w:w="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8</w:t>
            </w:r>
          </w:p>
        </w:tc>
      </w:tr>
      <w:tr>
        <w:trPr/>
        <w:tc>
          <w:tcPr>
            <w:tcW w:w="10205" w:type="dxa"/>
            <w:gridSpan w:val="3"/>
            <w:tcBorders/>
            <w:shd w:fill="auto" w:val="clear"/>
            <w:tcMar>
              <w:top w:w="0" w:type="dxa"/>
              <w:bottom w:w="0" w:type="dxa"/>
            </w:tcMar>
            <w:vAlign w:val="center"/>
          </w:tcPr>
          <w:p>
            <w:pPr>
              <w:pStyle w:val="TableContents"/>
              <w:pBdr/>
              <w:spacing w:before="60" w:after="0"/>
              <w:ind w:left="0" w:right="0" w:hanging="0"/>
              <w:rPr>
                <w:rFonts w:ascii="Arial" w:hAnsi="Arial"/>
                <w:color w:val="000000"/>
                <w:sz w:val="20"/>
              </w:rPr>
            </w:pPr>
            <w:r>
              <w:rPr>
                <w:rFonts w:ascii="Arial" w:hAnsi="Arial"/>
                <w:color w:val="000000"/>
                <w:sz w:val="20"/>
              </w:rPr>
              <w:t>Directors who identify as Middle Eastern/Arab American: 1</w:t>
            </w:r>
          </w:p>
          <w:p>
            <w:pPr>
              <w:pStyle w:val="TableContents"/>
              <w:pBdr/>
              <w:spacing w:before="60" w:after="0"/>
              <w:ind w:left="0" w:right="0" w:hanging="0"/>
              <w:rPr>
                <w:rFonts w:ascii="Arial" w:hAnsi="Arial"/>
                <w:color w:val="000000"/>
                <w:sz w:val="20"/>
              </w:rPr>
            </w:pPr>
            <w:r>
              <w:rPr>
                <w:rFonts w:ascii="Arial" w:hAnsi="Arial"/>
                <w:color w:val="000000"/>
                <w:sz w:val="20"/>
              </w:rPr>
              <w:t>Directors who are Military Veterans: 2</w:t>
            </w:r>
          </w:p>
        </w:tc>
      </w:tr>
      <w:tr>
        <w:trPr/>
        <w:tc>
          <w:tcPr>
            <w:tcW w:w="10205" w:type="dxa"/>
            <w:gridSpan w:val="3"/>
            <w:tcBorders/>
            <w:shd w:fill="auto" w:val="clear"/>
            <w:tcMar>
              <w:top w:w="0" w:type="dxa"/>
              <w:bottom w:w="0" w:type="dxa"/>
            </w:tcMar>
            <w:vAlign w:val="center"/>
          </w:tcPr>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0"/>
              <w:ind w:left="0" w:right="30" w:hanging="0"/>
              <w:rPr>
                <w:rFonts w:ascii="Arial" w:hAnsi="Arial"/>
                <w:color w:val="000000"/>
                <w:sz w:val="20"/>
              </w:rPr>
            </w:pPr>
            <w:r>
              <w:rPr>
                <w:rFonts w:ascii="Arial" w:hAnsi="Arial"/>
                <w:color w:val="000000"/>
                <w:sz w:val="20"/>
              </w:rPr>
              <w:t>As of April 21, 2023. There have been no changes to this information since the publication of the Board Diversity Matrix dated as of November 14, 2022, which is posted on our website.</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370"/>
        <w:gridCol w:w="1380"/>
        <w:gridCol w:w="455"/>
      </w:tblGrid>
      <w:tr>
        <w:trPr/>
        <w:tc>
          <w:tcPr>
            <w:tcW w:w="837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838200" cy="142875"/>
                          </a:xfrm>
                          <a:prstGeom prst="rect">
                            <a:avLst/>
                          </a:prstGeom>
                        </pic:spPr>
                      </pic:pic>
                    </a:graphicData>
                  </a:graphic>
                </wp:inline>
              </w:drawing>
            </w:r>
            <w:r>
              <w:rPr/>
              <w:t> </w:t>
            </w:r>
          </w:p>
        </w:tc>
        <w:tc>
          <w:tcPr>
            <w:tcW w:w="455" w:type="dxa"/>
            <w:tcBorders/>
            <w:shd w:fill="auto" w:val="clear"/>
            <w:vAlign w:val="center"/>
          </w:tcPr>
          <w:p>
            <w:pPr>
              <w:pStyle w:val="TableContents"/>
              <w:spacing w:before="0" w:after="283"/>
              <w:jc w:val="right"/>
              <w:rPr/>
            </w:pPr>
            <w:r>
              <w:rPr>
                <w:color w:val="00ADEE"/>
              </w:rPr>
              <w:t>  </w:t>
            </w:r>
            <w:r>
              <w:rPr>
                <w:b/>
                <w:color w:val="00ADEE"/>
              </w:rPr>
              <w:t>/  </w:t>
            </w:r>
            <w:r>
              <w:rPr>
                <w:b/>
              </w:rPr>
              <w:t>5</w:t>
            </w:r>
          </w:p>
        </w:tc>
      </w:tr>
      <w:tr>
        <w:trPr/>
        <w:tc>
          <w:tcPr>
            <w:tcW w:w="837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45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245BA7"/>
          <w:sz w:val="24"/>
        </w:rPr>
      </w:pPr>
      <w:bookmarkStart w:id="20" w:name="new_id-15"/>
      <w:bookmarkEnd w:id="20"/>
      <w:r>
        <w:rPr>
          <w:rFonts w:ascii="Arial" w:hAnsi="Arial"/>
          <w:b/>
          <w:i w:val="false"/>
          <w:caps w:val="false"/>
          <w:smallCaps w:val="false"/>
          <w:color w:val="245BA7"/>
          <w:sz w:val="24"/>
        </w:rPr>
        <w:t xml:space="preserve">Gender and Racial/Ethnic Diversity </w:t>
      </w:r>
    </w:p>
    <w:p>
      <w:pPr>
        <w:pStyle w:val="TextBody"/>
        <w:spacing w:before="0" w:after="0"/>
        <w:jc w:val="center"/>
        <w:rPr/>
      </w:pPr>
      <w:r>
        <w:rPr/>
        <w:drawing>
          <wp:inline distT="0" distB="0" distL="0" distR="0">
            <wp:extent cx="2381250" cy="1485900"/>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2381250" cy="1485900"/>
                    </a:xfrm>
                    <a:prstGeom prst="rect">
                      <a:avLst/>
                    </a:prstGeom>
                  </pic:spPr>
                </pic:pic>
              </a:graphicData>
            </a:graphic>
          </wp:inline>
        </w:drawing>
      </w:r>
      <w:r>
        <w:rPr/>
        <w:t xml:space="preserve"> </w:t>
      </w:r>
    </w:p>
    <w:tbl>
      <w:tblPr>
        <w:tblW w:w="120" w:type="dxa"/>
        <w:jc w:val="left"/>
        <w:tblInd w:w="0" w:type="dxa"/>
        <w:tblCellMar>
          <w:top w:w="0" w:type="dxa"/>
          <w:left w:w="0" w:type="dxa"/>
          <w:bottom w:w="0" w:type="dxa"/>
          <w:right w:w="0" w:type="dxa"/>
        </w:tblCellMar>
      </w:tblPr>
      <w:tblGrid>
        <w:gridCol w:w="120"/>
      </w:tblGrid>
      <w:tr>
        <w:trPr/>
        <w:tc>
          <w:tcPr>
            <w:tcW w:w="120" w:type="dxa"/>
            <w:tcBorders/>
            <w:shd w:fill="auto" w:val="clear"/>
            <w:vAlign w:val="center"/>
          </w:tcPr>
          <w:p>
            <w:pPr>
              <w:pStyle w:val="TableContents"/>
              <w:pBdr/>
              <w:spacing w:before="0" w:after="0"/>
              <w:ind w:left="0" w:right="30" w:hanging="0"/>
              <w:rPr>
                <w:color w:val="000000"/>
              </w:rPr>
            </w:pPr>
            <w:r>
              <w:rPr>
                <w:color w:val="000000"/>
              </w:rPr>
              <w:t> </w:t>
            </w:r>
          </w:p>
        </w:tc>
      </w:tr>
    </w:tbl>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0"/>
              <w:ind w:left="0" w:right="30" w:hanging="0"/>
              <w:rPr>
                <w:rFonts w:ascii="Arial" w:hAnsi="Arial"/>
                <w:color w:val="000000"/>
                <w:sz w:val="20"/>
              </w:rPr>
            </w:pPr>
            <w:r>
              <w:rPr>
                <w:rFonts w:ascii="Arial" w:hAnsi="Arial"/>
                <w:color w:val="000000"/>
                <w:sz w:val="20"/>
              </w:rPr>
              <w:t>As of April 21, 2023. On April 14, 2023, Dr. Vagelos notified the Company of his decision not to stand for re-election at the 2023 Annual Meeting. Following the 2023 Annual Meeting, the board is expected to be comprised of 12 members, of which 42% are diverse by gender and/or race/ethnicity.</w:t>
            </w:r>
          </w:p>
        </w:tc>
      </w:tr>
    </w:tbl>
    <w:p>
      <w:pPr>
        <w:pStyle w:val="TextBody"/>
        <w:pBdr/>
        <w:spacing w:before="0" w:after="150"/>
        <w:ind w:left="0" w:right="0" w:hanging="0"/>
        <w:rPr>
          <w:color w:val="245BA7"/>
        </w:rPr>
      </w:pPr>
      <w:r>
        <w:rPr>
          <w:color w:val="245BA7"/>
        </w:rPr>
        <w:t> </w:t>
      </w:r>
    </w:p>
    <w:p>
      <w:pPr>
        <w:pStyle w:val="Heading4"/>
        <w:pBdr/>
        <w:spacing w:before="0" w:after="150"/>
        <w:ind w:left="0" w:right="0" w:hanging="0"/>
        <w:rPr>
          <w:rFonts w:ascii="Arial" w:hAnsi="Arial"/>
          <w:b/>
          <w:i w:val="false"/>
          <w:caps w:val="false"/>
          <w:smallCaps w:val="false"/>
          <w:color w:val="245BA7"/>
          <w:sz w:val="24"/>
        </w:rPr>
      </w:pPr>
      <w:bookmarkStart w:id="21" w:name="new_id-16"/>
      <w:bookmarkEnd w:id="21"/>
      <w:r>
        <w:rPr>
          <w:rFonts w:ascii="Arial" w:hAnsi="Arial"/>
          <w:b/>
          <w:i w:val="false"/>
          <w:caps w:val="false"/>
          <w:smallCaps w:val="false"/>
          <w:color w:val="245BA7"/>
          <w:sz w:val="24"/>
        </w:rPr>
        <w:t xml:space="preserve">Director Skills Matrix </w:t>
      </w:r>
    </w:p>
    <w:p>
      <w:pPr>
        <w:pStyle w:val="TextBody"/>
        <w:pBdr/>
        <w:spacing w:before="0" w:after="210"/>
        <w:ind w:left="0" w:right="0" w:hanging="0"/>
        <w:rPr>
          <w:rFonts w:ascii="Arial" w:hAnsi="Arial"/>
          <w:color w:val="000000"/>
          <w:sz w:val="21"/>
        </w:rPr>
      </w:pPr>
      <w:r>
        <w:rPr>
          <w:rFonts w:ascii="Arial" w:hAnsi="Arial"/>
          <w:color w:val="000000"/>
          <w:sz w:val="21"/>
        </w:rPr>
        <w:t>The board and the Corporate Governance and Compliance Committee seek to ensure that our directors as a group possesses the mix of skills and experiences to provide effective oversight and guidance to management to execute on the Company’s long-term strategy. The board and the Committee also consider succession planning for board and committee chairs for purposes of continuity and to maintain relevant expertise and depth of experience.</w:t>
      </w:r>
    </w:p>
    <w:p>
      <w:pPr>
        <w:pStyle w:val="TextBody"/>
        <w:pBdr/>
        <w:spacing w:before="0" w:after="210"/>
        <w:ind w:left="0" w:right="0" w:hanging="0"/>
        <w:rPr>
          <w:rFonts w:ascii="Arial" w:hAnsi="Arial"/>
          <w:color w:val="000000"/>
          <w:sz w:val="21"/>
        </w:rPr>
      </w:pPr>
      <w:r>
        <w:rPr>
          <w:rFonts w:ascii="Arial" w:hAnsi="Arial"/>
          <w:color w:val="000000"/>
          <w:sz w:val="21"/>
        </w:rPr>
        <w:t>The table below summarizes key qualifications, skills, or attributes most relevant to the decision to nominate the director to serve on the board of directors. A mark indicates a specific area of focus or expertise on which the board of directors relies most. The lack of a mark does not mean the director does not possess that qualification or skill. Each director biography below describes these qualifications and relevant experience in more detail. We believe the table below demonstrates the breadth and diversity of the collective experience, expertise, and skills of our board of directors.</w:t>
      </w:r>
    </w:p>
    <w:tbl>
      <w:tblPr>
        <w:tblW w:w="12055" w:type="dxa"/>
        <w:jc w:val="left"/>
        <w:tblInd w:w="0" w:type="dxa"/>
        <w:tblCellMar>
          <w:top w:w="0" w:type="dxa"/>
          <w:left w:w="0" w:type="dxa"/>
          <w:bottom w:w="45" w:type="dxa"/>
          <w:right w:w="0" w:type="dxa"/>
        </w:tblCellMar>
      </w:tblPr>
      <w:tblGrid>
        <w:gridCol w:w="1445"/>
        <w:gridCol w:w="890"/>
        <w:gridCol w:w="785"/>
        <w:gridCol w:w="740"/>
        <w:gridCol w:w="1025"/>
        <w:gridCol w:w="800"/>
        <w:gridCol w:w="665"/>
        <w:gridCol w:w="995"/>
        <w:gridCol w:w="650"/>
        <w:gridCol w:w="695"/>
        <w:gridCol w:w="920"/>
        <w:gridCol w:w="710"/>
        <w:gridCol w:w="1130"/>
        <w:gridCol w:w="605"/>
      </w:tblGrid>
      <w:tr>
        <w:trPr/>
        <w:tc>
          <w:tcPr>
            <w:tcW w:w="1445" w:type="dxa"/>
            <w:tcBorders>
              <w:bottom w:val="single" w:sz="12" w:space="0" w:color="245BA7"/>
            </w:tcBorders>
            <w:shd w:fill="auto" w:val="clear"/>
            <w:vAlign w:val="center"/>
          </w:tcPr>
          <w:p>
            <w:pPr>
              <w:pStyle w:val="TableContents"/>
              <w:pBdr/>
              <w:spacing w:before="15" w:after="15"/>
              <w:ind w:left="15" w:right="0" w:hanging="0"/>
              <w:rPr>
                <w:rFonts w:ascii="Arial" w:hAnsi="Arial"/>
                <w:b/>
                <w:color w:val="245BA7"/>
                <w:sz w:val="18"/>
              </w:rPr>
            </w:pPr>
            <w:r>
              <w:rPr>
                <w:rFonts w:ascii="Arial" w:hAnsi="Arial"/>
                <w:b/>
                <w:color w:val="245BA7"/>
                <w:sz w:val="18"/>
              </w:rPr>
              <w:t xml:space="preserve">Experience, </w:t>
            </w:r>
          </w:p>
          <w:p>
            <w:pPr>
              <w:pStyle w:val="TableContents"/>
              <w:pBdr/>
              <w:spacing w:before="0" w:after="15"/>
              <w:ind w:left="15" w:right="0" w:hanging="0"/>
              <w:rPr>
                <w:rFonts w:ascii="Arial" w:hAnsi="Arial"/>
                <w:b/>
                <w:color w:val="245BA7"/>
                <w:sz w:val="18"/>
              </w:rPr>
            </w:pPr>
            <w:r>
              <w:rPr>
                <w:rFonts w:ascii="Arial" w:hAnsi="Arial"/>
                <w:b/>
                <w:color w:val="245BA7"/>
                <w:sz w:val="18"/>
              </w:rPr>
              <w:t xml:space="preserve">Expertise, or </w:t>
            </w:r>
          </w:p>
          <w:p>
            <w:pPr>
              <w:pStyle w:val="TableContents"/>
              <w:pBdr/>
              <w:spacing w:before="0" w:after="15"/>
              <w:ind w:left="15" w:right="0" w:hanging="0"/>
              <w:rPr>
                <w:rFonts w:ascii="Arial" w:hAnsi="Arial"/>
                <w:b/>
                <w:color w:val="245BA7"/>
                <w:sz w:val="18"/>
              </w:rPr>
            </w:pPr>
            <w:r>
              <w:rPr>
                <w:rFonts w:ascii="Arial" w:hAnsi="Arial"/>
                <w:b/>
                <w:color w:val="245BA7"/>
                <w:sz w:val="18"/>
              </w:rPr>
              <w:t>Attribute</w:t>
            </w:r>
          </w:p>
        </w:tc>
        <w:tc>
          <w:tcPr>
            <w:tcW w:w="890" w:type="dxa"/>
            <w:tcBorders>
              <w:bottom w:val="single" w:sz="12" w:space="0" w:color="245BA7"/>
            </w:tcBorders>
            <w:shd w:fill="auto" w:val="clear"/>
            <w:vAlign w:val="center"/>
          </w:tcPr>
          <w:p>
            <w:pPr>
              <w:pStyle w:val="TableContents"/>
              <w:pBdr/>
              <w:spacing w:before="15" w:after="15"/>
              <w:ind w:left="0" w:right="0" w:hanging="0"/>
              <w:jc w:val="center"/>
              <w:rPr>
                <w:rFonts w:ascii="Arial" w:hAnsi="Arial"/>
                <w:b/>
                <w:color w:val="245BA7"/>
                <w:sz w:val="18"/>
              </w:rPr>
            </w:pPr>
            <w:r>
              <w:rPr>
                <w:rFonts w:ascii="Arial" w:hAnsi="Arial"/>
                <w:b/>
                <w:color w:val="245BA7"/>
                <w:sz w:val="18"/>
              </w:rPr>
              <w:t xml:space="preserve">Bonnie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L. Bassler,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Ph.D.</w:t>
            </w:r>
          </w:p>
        </w:tc>
        <w:tc>
          <w:tcPr>
            <w:tcW w:w="785" w:type="dxa"/>
            <w:tcBorders>
              <w:bottom w:val="single" w:sz="12" w:space="0" w:color="245BA7"/>
            </w:tcBorders>
            <w:shd w:fill="auto" w:val="clear"/>
            <w:vAlign w:val="center"/>
          </w:tcPr>
          <w:p>
            <w:pPr>
              <w:pStyle w:val="TableContents"/>
              <w:pBdr/>
              <w:spacing w:before="15" w:after="15"/>
              <w:ind w:left="0" w:right="0" w:hanging="0"/>
              <w:jc w:val="center"/>
              <w:rPr>
                <w:rFonts w:ascii="Arial" w:hAnsi="Arial"/>
                <w:b/>
                <w:color w:val="245BA7"/>
                <w:sz w:val="18"/>
              </w:rPr>
            </w:pPr>
            <w:r>
              <w:rPr>
                <w:rFonts w:ascii="Arial" w:hAnsi="Arial"/>
                <w:b/>
                <w:color w:val="245BA7"/>
                <w:sz w:val="18"/>
              </w:rPr>
              <w:t xml:space="preserve">Michael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S. Brown,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M.D.</w:t>
            </w:r>
          </w:p>
        </w:tc>
        <w:tc>
          <w:tcPr>
            <w:tcW w:w="740" w:type="dxa"/>
            <w:tcBorders>
              <w:bottom w:val="single" w:sz="12" w:space="0" w:color="245BA7"/>
            </w:tcBorders>
            <w:shd w:fill="auto" w:val="clear"/>
            <w:vAlign w:val="center"/>
          </w:tcPr>
          <w:p>
            <w:pPr>
              <w:pStyle w:val="TableContents"/>
              <w:pBdr/>
              <w:spacing w:before="15" w:after="15"/>
              <w:ind w:left="0" w:right="0" w:hanging="0"/>
              <w:jc w:val="center"/>
              <w:rPr>
                <w:rFonts w:ascii="Arial" w:hAnsi="Arial"/>
                <w:b/>
                <w:color w:val="245BA7"/>
                <w:sz w:val="18"/>
              </w:rPr>
            </w:pPr>
            <w:r>
              <w:rPr>
                <w:rFonts w:ascii="Arial" w:hAnsi="Arial"/>
                <w:b/>
                <w:color w:val="245BA7"/>
                <w:sz w:val="18"/>
              </w:rPr>
              <w:t xml:space="preserve">N. Anthony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Coles,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M.D.</w:t>
            </w:r>
          </w:p>
        </w:tc>
        <w:tc>
          <w:tcPr>
            <w:tcW w:w="1025" w:type="dxa"/>
            <w:tcBorders>
              <w:bottom w:val="single" w:sz="12" w:space="0" w:color="245BA7"/>
            </w:tcBorders>
            <w:shd w:fill="auto" w:val="clear"/>
            <w:vAlign w:val="center"/>
          </w:tcPr>
          <w:p>
            <w:pPr>
              <w:pStyle w:val="TableContents"/>
              <w:pBdr/>
              <w:spacing w:before="15" w:after="15"/>
              <w:ind w:left="0" w:right="0" w:hanging="0"/>
              <w:jc w:val="center"/>
              <w:rPr>
                <w:rFonts w:ascii="Arial" w:hAnsi="Arial"/>
                <w:b/>
                <w:color w:val="245BA7"/>
                <w:sz w:val="18"/>
              </w:rPr>
            </w:pPr>
            <w:r>
              <w:rPr>
                <w:rFonts w:ascii="Arial" w:hAnsi="Arial"/>
                <w:b/>
                <w:color w:val="245BA7"/>
                <w:sz w:val="18"/>
              </w:rPr>
              <w:t xml:space="preserve">Joseph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L. Goldstein,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M.D.</w:t>
            </w:r>
          </w:p>
        </w:tc>
        <w:tc>
          <w:tcPr>
            <w:tcW w:w="800" w:type="dxa"/>
            <w:tcBorders>
              <w:bottom w:val="single" w:sz="12" w:space="0" w:color="245BA7"/>
            </w:tcBorders>
            <w:shd w:fill="auto" w:val="clear"/>
            <w:vAlign w:val="center"/>
          </w:tcPr>
          <w:p>
            <w:pPr>
              <w:pStyle w:val="TableContents"/>
              <w:pBdr/>
              <w:spacing w:before="15" w:after="15"/>
              <w:ind w:left="0" w:right="0" w:hanging="0"/>
              <w:jc w:val="center"/>
              <w:rPr>
                <w:rFonts w:ascii="Arial" w:hAnsi="Arial"/>
                <w:b/>
                <w:color w:val="245BA7"/>
                <w:sz w:val="18"/>
              </w:rPr>
            </w:pPr>
            <w:r>
              <w:rPr>
                <w:rFonts w:ascii="Arial" w:hAnsi="Arial"/>
                <w:b/>
                <w:color w:val="245BA7"/>
                <w:sz w:val="18"/>
              </w:rPr>
              <w:t xml:space="preserve">Christine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A. Poon</w:t>
            </w:r>
          </w:p>
        </w:tc>
        <w:tc>
          <w:tcPr>
            <w:tcW w:w="665" w:type="dxa"/>
            <w:tcBorders>
              <w:bottom w:val="single" w:sz="12" w:space="0" w:color="245BA7"/>
            </w:tcBorders>
            <w:shd w:fill="auto" w:val="clear"/>
            <w:vAlign w:val="center"/>
          </w:tcPr>
          <w:p>
            <w:pPr>
              <w:pStyle w:val="TableContents"/>
              <w:pBdr/>
              <w:spacing w:before="15" w:after="15"/>
              <w:ind w:left="0" w:right="0" w:hanging="0"/>
              <w:jc w:val="center"/>
              <w:rPr>
                <w:rFonts w:ascii="Arial" w:hAnsi="Arial"/>
                <w:b/>
                <w:color w:val="245BA7"/>
                <w:sz w:val="18"/>
              </w:rPr>
            </w:pPr>
            <w:r>
              <w:rPr>
                <w:rFonts w:ascii="Arial" w:hAnsi="Arial"/>
                <w:b/>
                <w:color w:val="245BA7"/>
                <w:sz w:val="18"/>
              </w:rPr>
              <w:t xml:space="preserve">Arthur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F. Ryan</w:t>
            </w:r>
          </w:p>
        </w:tc>
        <w:tc>
          <w:tcPr>
            <w:tcW w:w="995" w:type="dxa"/>
            <w:tcBorders>
              <w:bottom w:val="single" w:sz="12" w:space="0" w:color="245BA7"/>
            </w:tcBorders>
            <w:shd w:fill="auto" w:val="clear"/>
            <w:vAlign w:val="center"/>
          </w:tcPr>
          <w:p>
            <w:pPr>
              <w:pStyle w:val="TableContents"/>
              <w:pBdr/>
              <w:spacing w:before="15" w:after="15"/>
              <w:ind w:left="0" w:right="0" w:hanging="0"/>
              <w:jc w:val="center"/>
              <w:rPr>
                <w:rFonts w:ascii="Arial" w:hAnsi="Arial"/>
                <w:b/>
                <w:color w:val="245BA7"/>
                <w:sz w:val="18"/>
              </w:rPr>
            </w:pPr>
            <w:r>
              <w:rPr>
                <w:rFonts w:ascii="Arial" w:hAnsi="Arial"/>
                <w:b/>
                <w:color w:val="245BA7"/>
                <w:sz w:val="18"/>
              </w:rPr>
              <w:t xml:space="preserve">Leonard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S. Schleifer,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M.D., Ph.D.</w:t>
            </w:r>
          </w:p>
        </w:tc>
        <w:tc>
          <w:tcPr>
            <w:tcW w:w="650" w:type="dxa"/>
            <w:tcBorders>
              <w:bottom w:val="single" w:sz="12" w:space="0" w:color="245BA7"/>
            </w:tcBorders>
            <w:shd w:fill="auto" w:val="clear"/>
            <w:vAlign w:val="center"/>
          </w:tcPr>
          <w:p>
            <w:pPr>
              <w:pStyle w:val="TableContents"/>
              <w:pBdr/>
              <w:spacing w:before="15" w:after="15"/>
              <w:ind w:left="0" w:right="0" w:hanging="0"/>
              <w:jc w:val="center"/>
              <w:rPr>
                <w:rFonts w:ascii="Arial" w:hAnsi="Arial"/>
                <w:b/>
                <w:color w:val="245BA7"/>
                <w:sz w:val="18"/>
              </w:rPr>
            </w:pPr>
            <w:r>
              <w:rPr>
                <w:rFonts w:ascii="Arial" w:hAnsi="Arial"/>
                <w:b/>
                <w:color w:val="245BA7"/>
                <w:sz w:val="18"/>
              </w:rPr>
              <w:t xml:space="preserve">George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L. Sing</w:t>
            </w:r>
          </w:p>
        </w:tc>
        <w:tc>
          <w:tcPr>
            <w:tcW w:w="695" w:type="dxa"/>
            <w:tcBorders>
              <w:bottom w:val="single" w:sz="12" w:space="0" w:color="245BA7"/>
            </w:tcBorders>
            <w:shd w:fill="auto" w:val="clear"/>
            <w:vAlign w:val="center"/>
          </w:tcPr>
          <w:p>
            <w:pPr>
              <w:pStyle w:val="TableContents"/>
              <w:pBdr/>
              <w:spacing w:before="15" w:after="15"/>
              <w:ind w:left="0" w:right="0" w:hanging="0"/>
              <w:jc w:val="center"/>
              <w:rPr>
                <w:rFonts w:ascii="Arial" w:hAnsi="Arial"/>
                <w:b/>
                <w:color w:val="245BA7"/>
                <w:sz w:val="18"/>
              </w:rPr>
            </w:pPr>
            <w:r>
              <w:rPr>
                <w:rFonts w:ascii="Arial" w:hAnsi="Arial"/>
                <w:b/>
                <w:color w:val="245BA7"/>
                <w:sz w:val="18"/>
              </w:rPr>
              <w:t xml:space="preserve">Marc Tessier-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Lavigne,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Ph.D.</w:t>
            </w:r>
          </w:p>
        </w:tc>
        <w:tc>
          <w:tcPr>
            <w:tcW w:w="920" w:type="dxa"/>
            <w:tcBorders>
              <w:bottom w:val="single" w:sz="12" w:space="0" w:color="245BA7"/>
            </w:tcBorders>
            <w:shd w:fill="auto" w:val="clear"/>
            <w:vAlign w:val="center"/>
          </w:tcPr>
          <w:p>
            <w:pPr>
              <w:pStyle w:val="TableContents"/>
              <w:pBdr/>
              <w:spacing w:before="15" w:after="15"/>
              <w:ind w:left="0" w:right="0" w:hanging="0"/>
              <w:jc w:val="center"/>
              <w:rPr>
                <w:rFonts w:ascii="Arial" w:hAnsi="Arial"/>
                <w:b/>
                <w:color w:val="245BA7"/>
                <w:sz w:val="18"/>
              </w:rPr>
            </w:pPr>
            <w:r>
              <w:rPr>
                <w:rFonts w:ascii="Arial" w:hAnsi="Arial"/>
                <w:b/>
                <w:color w:val="245BA7"/>
                <w:sz w:val="18"/>
              </w:rPr>
              <w:t xml:space="preserve">Craig B.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Thompson,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M.D.</w:t>
            </w:r>
          </w:p>
        </w:tc>
        <w:tc>
          <w:tcPr>
            <w:tcW w:w="710" w:type="dxa"/>
            <w:tcBorders>
              <w:bottom w:val="single" w:sz="12" w:space="0" w:color="245BA7"/>
            </w:tcBorders>
            <w:shd w:fill="auto" w:val="clear"/>
            <w:vAlign w:val="center"/>
          </w:tcPr>
          <w:p>
            <w:pPr>
              <w:pStyle w:val="TableContents"/>
              <w:pBdr/>
              <w:spacing w:before="15" w:after="15"/>
              <w:ind w:left="0" w:right="0" w:hanging="0"/>
              <w:jc w:val="center"/>
              <w:rPr>
                <w:rFonts w:ascii="Arial" w:hAnsi="Arial"/>
                <w:b/>
                <w:color w:val="245BA7"/>
                <w:sz w:val="18"/>
              </w:rPr>
            </w:pPr>
            <w:r>
              <w:rPr>
                <w:rFonts w:ascii="Arial" w:hAnsi="Arial"/>
                <w:b/>
                <w:color w:val="245BA7"/>
                <w:sz w:val="18"/>
              </w:rPr>
              <w:t xml:space="preserve">P. Roy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Vagelos,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M.D.</w:t>
            </w:r>
          </w:p>
        </w:tc>
        <w:tc>
          <w:tcPr>
            <w:tcW w:w="1130" w:type="dxa"/>
            <w:tcBorders>
              <w:bottom w:val="single" w:sz="12" w:space="0" w:color="245BA7"/>
            </w:tcBorders>
            <w:shd w:fill="auto" w:val="clear"/>
            <w:vAlign w:val="center"/>
          </w:tcPr>
          <w:p>
            <w:pPr>
              <w:pStyle w:val="TableContents"/>
              <w:pBdr/>
              <w:spacing w:before="15" w:after="15"/>
              <w:ind w:left="0" w:right="0" w:hanging="0"/>
              <w:jc w:val="center"/>
              <w:rPr>
                <w:rFonts w:ascii="Arial" w:hAnsi="Arial"/>
                <w:b/>
                <w:color w:val="245BA7"/>
                <w:sz w:val="18"/>
              </w:rPr>
            </w:pPr>
            <w:r>
              <w:rPr>
                <w:rFonts w:ascii="Arial" w:hAnsi="Arial"/>
                <w:b/>
                <w:color w:val="245BA7"/>
                <w:sz w:val="18"/>
              </w:rPr>
              <w:t xml:space="preserve">George D.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Yancopoulos,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M.D., Ph.D.</w:t>
            </w:r>
          </w:p>
        </w:tc>
        <w:tc>
          <w:tcPr>
            <w:tcW w:w="605" w:type="dxa"/>
            <w:tcBorders>
              <w:bottom w:val="single" w:sz="12" w:space="0" w:color="245BA7"/>
            </w:tcBorders>
            <w:shd w:fill="auto" w:val="clear"/>
            <w:vAlign w:val="center"/>
          </w:tcPr>
          <w:p>
            <w:pPr>
              <w:pStyle w:val="TableContents"/>
              <w:pBdr/>
              <w:spacing w:before="15" w:after="15"/>
              <w:ind w:left="0" w:right="0" w:hanging="0"/>
              <w:jc w:val="center"/>
              <w:rPr>
                <w:rFonts w:ascii="Arial" w:hAnsi="Arial"/>
                <w:b/>
                <w:color w:val="245BA7"/>
                <w:sz w:val="18"/>
              </w:rPr>
            </w:pPr>
            <w:r>
              <w:rPr>
                <w:rFonts w:ascii="Arial" w:hAnsi="Arial"/>
                <w:b/>
                <w:color w:val="245BA7"/>
                <w:sz w:val="18"/>
              </w:rPr>
              <w:t xml:space="preserve">Huda Y.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Zoghbi,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M.D.</w:t>
            </w:r>
          </w:p>
        </w:tc>
      </w:tr>
      <w:tr>
        <w:trPr/>
        <w:tc>
          <w:tcPr>
            <w:tcW w:w="1445" w:type="dxa"/>
            <w:tcBorders>
              <w:bottom w:val="single" w:sz="12" w:space="0" w:color="575756"/>
            </w:tcBorders>
            <w:shd w:fill="auto" w:val="clear"/>
            <w:tcMar>
              <w:bottom w:w="105" w:type="dxa"/>
            </w:tcMar>
            <w:vAlign w:val="center"/>
          </w:tcPr>
          <w:p>
            <w:pPr>
              <w:pStyle w:val="TableContents"/>
              <w:pBdr/>
              <w:spacing w:before="15" w:after="15"/>
              <w:ind w:left="15" w:right="0" w:hanging="0"/>
              <w:rPr>
                <w:rFonts w:ascii="Arial" w:hAnsi="Arial"/>
                <w:b/>
                <w:color w:val="000000"/>
                <w:sz w:val="18"/>
              </w:rPr>
            </w:pPr>
            <w:r>
              <w:rPr>
                <w:rFonts w:ascii="Arial" w:hAnsi="Arial"/>
                <w:b/>
                <w:color w:val="000000"/>
                <w:sz w:val="18"/>
              </w:rPr>
              <w:t>Industry Experience</w:t>
            </w:r>
          </w:p>
        </w:tc>
        <w:tc>
          <w:tcPr>
            <w:tcW w:w="89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78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74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102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80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66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99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65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69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92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71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113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60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r>
      <w:tr>
        <w:trPr/>
        <w:tc>
          <w:tcPr>
            <w:tcW w:w="1445" w:type="dxa"/>
            <w:tcBorders>
              <w:top w:val="single" w:sz="2" w:space="0" w:color="F2F2F2"/>
              <w:bottom w:val="single" w:sz="12" w:space="0" w:color="575756"/>
            </w:tcBorders>
            <w:shd w:fill="F2F2F2" w:val="clear"/>
            <w:tcMar>
              <w:top w:w="105" w:type="dxa"/>
              <w:bottom w:w="105" w:type="dxa"/>
            </w:tcMar>
            <w:vAlign w:val="center"/>
          </w:tcPr>
          <w:p>
            <w:pPr>
              <w:pStyle w:val="TableContents"/>
              <w:pBdr/>
              <w:spacing w:before="15" w:after="15"/>
              <w:ind w:left="15" w:right="0" w:hanging="0"/>
              <w:rPr>
                <w:rFonts w:ascii="Arial" w:hAnsi="Arial"/>
                <w:b/>
                <w:color w:val="000000"/>
                <w:sz w:val="18"/>
              </w:rPr>
            </w:pPr>
            <w:r>
              <w:rPr>
                <w:rFonts w:ascii="Arial" w:hAnsi="Arial"/>
                <w:b/>
                <w:color w:val="000000"/>
                <w:sz w:val="18"/>
              </w:rPr>
              <w:t>Executive/Leadership Experience</w:t>
            </w:r>
          </w:p>
        </w:tc>
        <w:tc>
          <w:tcPr>
            <w:tcW w:w="89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78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74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102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80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66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99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65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69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92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71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113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60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r>
      <w:tr>
        <w:trPr/>
        <w:tc>
          <w:tcPr>
            <w:tcW w:w="1445" w:type="dxa"/>
            <w:tcBorders>
              <w:bottom w:val="single" w:sz="12" w:space="0" w:color="575756"/>
            </w:tcBorders>
            <w:shd w:fill="auto" w:val="clear"/>
            <w:tcMar>
              <w:bottom w:w="105" w:type="dxa"/>
            </w:tcMar>
            <w:vAlign w:val="center"/>
          </w:tcPr>
          <w:p>
            <w:pPr>
              <w:pStyle w:val="TableContents"/>
              <w:pBdr/>
              <w:spacing w:before="15" w:after="15"/>
              <w:ind w:left="15" w:right="0" w:hanging="0"/>
              <w:rPr>
                <w:rFonts w:ascii="Arial" w:hAnsi="Arial"/>
                <w:b/>
                <w:color w:val="000000"/>
                <w:sz w:val="18"/>
              </w:rPr>
            </w:pPr>
            <w:r>
              <w:rPr>
                <w:rFonts w:ascii="Arial" w:hAnsi="Arial"/>
                <w:b/>
                <w:color w:val="000000"/>
                <w:sz w:val="18"/>
              </w:rPr>
              <w:t>Science/Biotech Background</w:t>
            </w:r>
          </w:p>
        </w:tc>
        <w:tc>
          <w:tcPr>
            <w:tcW w:w="89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78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74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102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80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66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99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65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69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92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71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113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60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r>
      <w:tr>
        <w:trPr/>
        <w:tc>
          <w:tcPr>
            <w:tcW w:w="1445" w:type="dxa"/>
            <w:tcBorders>
              <w:top w:val="single" w:sz="2" w:space="0" w:color="F2F2F2"/>
              <w:bottom w:val="single" w:sz="12" w:space="0" w:color="575756"/>
            </w:tcBorders>
            <w:shd w:fill="F2F2F2" w:val="clear"/>
            <w:tcMar>
              <w:top w:w="105" w:type="dxa"/>
              <w:bottom w:w="105" w:type="dxa"/>
            </w:tcMar>
            <w:vAlign w:val="center"/>
          </w:tcPr>
          <w:p>
            <w:pPr>
              <w:pStyle w:val="TableContents"/>
              <w:pBdr/>
              <w:spacing w:before="15" w:after="15"/>
              <w:ind w:left="15" w:right="0" w:hanging="0"/>
              <w:rPr>
                <w:rFonts w:ascii="Arial" w:hAnsi="Arial"/>
                <w:b/>
                <w:color w:val="000000"/>
                <w:sz w:val="18"/>
              </w:rPr>
            </w:pPr>
            <w:r>
              <w:rPr>
                <w:rFonts w:ascii="Arial" w:hAnsi="Arial"/>
                <w:b/>
                <w:color w:val="000000"/>
                <w:sz w:val="18"/>
              </w:rPr>
              <w:t>Research/Academic Experience</w:t>
            </w:r>
          </w:p>
        </w:tc>
        <w:tc>
          <w:tcPr>
            <w:tcW w:w="89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78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74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102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80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66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99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65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69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92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71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113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60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r>
      <w:tr>
        <w:trPr/>
        <w:tc>
          <w:tcPr>
            <w:tcW w:w="1445" w:type="dxa"/>
            <w:tcBorders>
              <w:bottom w:val="single" w:sz="12" w:space="0" w:color="575756"/>
            </w:tcBorders>
            <w:shd w:fill="auto" w:val="clear"/>
            <w:tcMar>
              <w:bottom w:w="105" w:type="dxa"/>
            </w:tcMar>
            <w:vAlign w:val="center"/>
          </w:tcPr>
          <w:p>
            <w:pPr>
              <w:pStyle w:val="TableContents"/>
              <w:pBdr/>
              <w:spacing w:before="15" w:after="15"/>
              <w:ind w:left="15" w:right="0" w:hanging="0"/>
              <w:rPr>
                <w:rFonts w:ascii="Arial" w:hAnsi="Arial"/>
                <w:b/>
                <w:color w:val="000000"/>
                <w:sz w:val="18"/>
              </w:rPr>
            </w:pPr>
            <w:r>
              <w:rPr>
                <w:rFonts w:ascii="Arial" w:hAnsi="Arial"/>
                <w:b/>
                <w:color w:val="000000"/>
                <w:sz w:val="18"/>
              </w:rPr>
              <w:t>Business Strategy/Operations Experience</w:t>
            </w:r>
          </w:p>
        </w:tc>
        <w:tc>
          <w:tcPr>
            <w:tcW w:w="89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78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74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102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80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66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99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65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69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92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71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113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60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r>
      <w:tr>
        <w:trPr/>
        <w:tc>
          <w:tcPr>
            <w:tcW w:w="1445" w:type="dxa"/>
            <w:tcBorders>
              <w:top w:val="single" w:sz="2" w:space="0" w:color="F2F2F2"/>
              <w:bottom w:val="single" w:sz="12" w:space="0" w:color="575756"/>
            </w:tcBorders>
            <w:shd w:fill="F2F2F2" w:val="clear"/>
            <w:tcMar>
              <w:top w:w="105" w:type="dxa"/>
              <w:bottom w:w="105" w:type="dxa"/>
            </w:tcMar>
            <w:vAlign w:val="center"/>
          </w:tcPr>
          <w:p>
            <w:pPr>
              <w:pStyle w:val="TableContents"/>
              <w:pBdr/>
              <w:spacing w:before="15" w:after="15"/>
              <w:ind w:left="15" w:right="0" w:hanging="0"/>
              <w:rPr>
                <w:rFonts w:ascii="Arial" w:hAnsi="Arial"/>
                <w:b/>
                <w:color w:val="000000"/>
                <w:sz w:val="18"/>
              </w:rPr>
            </w:pPr>
            <w:r>
              <w:rPr>
                <w:rFonts w:ascii="Arial" w:hAnsi="Arial"/>
                <w:b/>
                <w:color w:val="000000"/>
                <w:sz w:val="18"/>
              </w:rPr>
              <w:t>Financial Expertise</w:t>
            </w:r>
          </w:p>
        </w:tc>
        <w:tc>
          <w:tcPr>
            <w:tcW w:w="89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78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74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102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80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66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99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65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69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92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71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113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60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r>
      <w:tr>
        <w:trPr/>
        <w:tc>
          <w:tcPr>
            <w:tcW w:w="1445" w:type="dxa"/>
            <w:tcBorders>
              <w:bottom w:val="single" w:sz="12" w:space="0" w:color="575756"/>
            </w:tcBorders>
            <w:shd w:fill="auto" w:val="clear"/>
            <w:tcMar>
              <w:bottom w:w="105" w:type="dxa"/>
            </w:tcMar>
            <w:vAlign w:val="center"/>
          </w:tcPr>
          <w:p>
            <w:pPr>
              <w:pStyle w:val="TableContents"/>
              <w:pBdr/>
              <w:spacing w:before="15" w:after="15"/>
              <w:ind w:left="15" w:right="0" w:hanging="0"/>
              <w:rPr>
                <w:rFonts w:ascii="Arial" w:hAnsi="Arial"/>
                <w:b/>
                <w:color w:val="000000"/>
                <w:sz w:val="18"/>
              </w:rPr>
            </w:pPr>
            <w:r>
              <w:rPr>
                <w:rFonts w:ascii="Arial" w:hAnsi="Arial"/>
                <w:b/>
                <w:color w:val="000000"/>
                <w:sz w:val="18"/>
              </w:rPr>
              <w:t>Public Company CEO Experience</w:t>
            </w:r>
          </w:p>
        </w:tc>
        <w:tc>
          <w:tcPr>
            <w:tcW w:w="89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78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74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102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80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66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99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65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69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92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71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113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60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r>
      <w:tr>
        <w:trPr/>
        <w:tc>
          <w:tcPr>
            <w:tcW w:w="1445" w:type="dxa"/>
            <w:tcBorders>
              <w:top w:val="single" w:sz="2" w:space="0" w:color="F2F2F2"/>
              <w:bottom w:val="single" w:sz="12" w:space="0" w:color="575756"/>
            </w:tcBorders>
            <w:shd w:fill="F2F2F2" w:val="clear"/>
            <w:tcMar>
              <w:top w:w="105" w:type="dxa"/>
              <w:bottom w:w="105" w:type="dxa"/>
            </w:tcMar>
            <w:vAlign w:val="center"/>
          </w:tcPr>
          <w:p>
            <w:pPr>
              <w:pStyle w:val="TableContents"/>
              <w:pBdr/>
              <w:spacing w:before="15" w:after="15"/>
              <w:ind w:left="15" w:right="0" w:hanging="0"/>
              <w:rPr>
                <w:rFonts w:ascii="Arial" w:hAnsi="Arial"/>
                <w:b/>
                <w:color w:val="000000"/>
                <w:sz w:val="18"/>
              </w:rPr>
            </w:pPr>
            <w:r>
              <w:rPr>
                <w:rFonts w:ascii="Arial" w:hAnsi="Arial"/>
                <w:b/>
                <w:color w:val="000000"/>
                <w:sz w:val="18"/>
              </w:rPr>
              <w:t>National Academy of Sciences Membership</w:t>
            </w:r>
          </w:p>
        </w:tc>
        <w:tc>
          <w:tcPr>
            <w:tcW w:w="89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78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74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102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80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66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99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65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69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92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71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1130"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605" w:type="dxa"/>
            <w:tcBorders>
              <w:top w:val="single" w:sz="2" w:space="0" w:color="F2F2F2"/>
              <w:bottom w:val="single" w:sz="12" w:space="0" w:color="575756"/>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r>
      <w:tr>
        <w:trPr/>
        <w:tc>
          <w:tcPr>
            <w:tcW w:w="1445" w:type="dxa"/>
            <w:tcBorders>
              <w:bottom w:val="single" w:sz="12" w:space="0" w:color="575756"/>
            </w:tcBorders>
            <w:shd w:fill="auto" w:val="clear"/>
            <w:tcMar>
              <w:bottom w:w="105" w:type="dxa"/>
            </w:tcMar>
            <w:vAlign w:val="center"/>
          </w:tcPr>
          <w:p>
            <w:pPr>
              <w:pStyle w:val="TableContents"/>
              <w:pBdr/>
              <w:spacing w:before="15" w:after="15"/>
              <w:ind w:left="15" w:right="0" w:hanging="0"/>
              <w:rPr>
                <w:rFonts w:ascii="Arial" w:hAnsi="Arial"/>
                <w:b/>
                <w:color w:val="000000"/>
                <w:sz w:val="18"/>
              </w:rPr>
            </w:pPr>
            <w:r>
              <w:rPr>
                <w:rFonts w:ascii="Arial" w:hAnsi="Arial"/>
                <w:b/>
                <w:color w:val="000000"/>
                <w:sz w:val="18"/>
              </w:rPr>
              <w:t>Diverse by Gender</w:t>
            </w:r>
          </w:p>
        </w:tc>
        <w:tc>
          <w:tcPr>
            <w:tcW w:w="89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78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74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102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80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c>
          <w:tcPr>
            <w:tcW w:w="66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99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65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69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92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71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1130"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 </w:t>
            </w:r>
          </w:p>
        </w:tc>
        <w:tc>
          <w:tcPr>
            <w:tcW w:w="605" w:type="dxa"/>
            <w:tcBorders>
              <w:bottom w:val="single" w:sz="12" w:space="0" w:color="575756"/>
            </w:tcBorders>
            <w:shd w:fill="auto" w:val="clear"/>
            <w:tcMar>
              <w:bottom w:w="28" w:type="dxa"/>
            </w:tcMar>
            <w:vAlign w:val="center"/>
          </w:tcPr>
          <w:p>
            <w:pPr>
              <w:pStyle w:val="TableContents"/>
              <w:pBdr/>
              <w:spacing w:before="0" w:after="0"/>
              <w:ind w:left="0" w:right="0" w:hanging="0"/>
              <w:jc w:val="center"/>
              <w:rPr>
                <w:color w:val="D31B5D"/>
              </w:rPr>
            </w:pPr>
            <w:r>
              <w:rPr>
                <w:color w:val="D31B5D"/>
              </w:rPr>
              <w:t>●</w:t>
            </w:r>
          </w:p>
        </w:tc>
      </w:tr>
      <w:tr>
        <w:trPr/>
        <w:tc>
          <w:tcPr>
            <w:tcW w:w="1445" w:type="dxa"/>
            <w:tcBorders>
              <w:top w:val="single" w:sz="2" w:space="0" w:color="F2F2F2"/>
              <w:bottom w:val="single" w:sz="12" w:space="0" w:color="245BA7"/>
            </w:tcBorders>
            <w:shd w:fill="F2F2F2" w:val="clear"/>
            <w:tcMar>
              <w:top w:w="105" w:type="dxa"/>
              <w:bottom w:w="105" w:type="dxa"/>
            </w:tcMar>
            <w:vAlign w:val="center"/>
          </w:tcPr>
          <w:p>
            <w:pPr>
              <w:pStyle w:val="TableContents"/>
              <w:pBdr/>
              <w:spacing w:before="15" w:after="15"/>
              <w:ind w:left="15" w:right="0" w:hanging="0"/>
              <w:rPr>
                <w:rFonts w:ascii="Arial" w:hAnsi="Arial"/>
                <w:b/>
                <w:color w:val="000000"/>
                <w:sz w:val="18"/>
              </w:rPr>
            </w:pPr>
            <w:r>
              <w:rPr>
                <w:rFonts w:ascii="Arial" w:hAnsi="Arial"/>
                <w:b/>
                <w:color w:val="000000"/>
                <w:sz w:val="18"/>
              </w:rPr>
              <w:t>Diverse by Race/Ethnicity</w:t>
            </w:r>
          </w:p>
        </w:tc>
        <w:tc>
          <w:tcPr>
            <w:tcW w:w="890" w:type="dxa"/>
            <w:tcBorders>
              <w:top w:val="single" w:sz="2" w:space="0" w:color="F2F2F2"/>
              <w:bottom w:val="single" w:sz="12" w:space="0" w:color="245BA7"/>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785" w:type="dxa"/>
            <w:tcBorders>
              <w:top w:val="single" w:sz="2" w:space="0" w:color="F2F2F2"/>
              <w:bottom w:val="single" w:sz="12" w:space="0" w:color="245BA7"/>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740" w:type="dxa"/>
            <w:tcBorders>
              <w:top w:val="single" w:sz="2" w:space="0" w:color="F2F2F2"/>
              <w:bottom w:val="single" w:sz="12" w:space="0" w:color="245BA7"/>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1025" w:type="dxa"/>
            <w:tcBorders>
              <w:top w:val="single" w:sz="2" w:space="0" w:color="F2F2F2"/>
              <w:bottom w:val="single" w:sz="12" w:space="0" w:color="245BA7"/>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800" w:type="dxa"/>
            <w:tcBorders>
              <w:top w:val="single" w:sz="2" w:space="0" w:color="F2F2F2"/>
              <w:bottom w:val="single" w:sz="12" w:space="0" w:color="245BA7"/>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665" w:type="dxa"/>
            <w:tcBorders>
              <w:top w:val="single" w:sz="2" w:space="0" w:color="F2F2F2"/>
              <w:bottom w:val="single" w:sz="12" w:space="0" w:color="245BA7"/>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995" w:type="dxa"/>
            <w:tcBorders>
              <w:top w:val="single" w:sz="2" w:space="0" w:color="F2F2F2"/>
              <w:bottom w:val="single" w:sz="12" w:space="0" w:color="245BA7"/>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650" w:type="dxa"/>
            <w:tcBorders>
              <w:top w:val="single" w:sz="2" w:space="0" w:color="F2F2F2"/>
              <w:bottom w:val="single" w:sz="12" w:space="0" w:color="245BA7"/>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c>
          <w:tcPr>
            <w:tcW w:w="695" w:type="dxa"/>
            <w:tcBorders>
              <w:top w:val="single" w:sz="2" w:space="0" w:color="F2F2F2"/>
              <w:bottom w:val="single" w:sz="12" w:space="0" w:color="245BA7"/>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920" w:type="dxa"/>
            <w:tcBorders>
              <w:top w:val="single" w:sz="2" w:space="0" w:color="F2F2F2"/>
              <w:bottom w:val="single" w:sz="12" w:space="0" w:color="245BA7"/>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710" w:type="dxa"/>
            <w:tcBorders>
              <w:top w:val="single" w:sz="2" w:space="0" w:color="F2F2F2"/>
              <w:bottom w:val="single" w:sz="12" w:space="0" w:color="245BA7"/>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1130" w:type="dxa"/>
            <w:tcBorders>
              <w:top w:val="single" w:sz="2" w:space="0" w:color="F2F2F2"/>
              <w:bottom w:val="single" w:sz="12" w:space="0" w:color="245BA7"/>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 </w:t>
            </w:r>
          </w:p>
        </w:tc>
        <w:tc>
          <w:tcPr>
            <w:tcW w:w="605" w:type="dxa"/>
            <w:tcBorders>
              <w:top w:val="single" w:sz="2" w:space="0" w:color="F2F2F2"/>
              <w:bottom w:val="single" w:sz="12" w:space="0" w:color="245BA7"/>
            </w:tcBorders>
            <w:shd w:fill="F2F2F2" w:val="clear"/>
            <w:tcMar>
              <w:top w:w="28" w:type="dxa"/>
              <w:bottom w:w="28" w:type="dxa"/>
            </w:tcMar>
            <w:vAlign w:val="center"/>
          </w:tcPr>
          <w:p>
            <w:pPr>
              <w:pStyle w:val="TableContents"/>
              <w:pBdr/>
              <w:spacing w:before="0" w:after="0"/>
              <w:ind w:left="0" w:right="0" w:hanging="0"/>
              <w:jc w:val="center"/>
              <w:rPr>
                <w:color w:val="D31B5D"/>
              </w:rPr>
            </w:pPr>
            <w:r>
              <w:rPr>
                <w:color w:val="D31B5D"/>
              </w:rPr>
              <w:t>●</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370"/>
        <w:gridCol w:w="1380"/>
        <w:gridCol w:w="455"/>
      </w:tblGrid>
      <w:tr>
        <w:trPr/>
        <w:tc>
          <w:tcPr>
            <w:tcW w:w="837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838200" cy="142875"/>
                          </a:xfrm>
                          <a:prstGeom prst="rect">
                            <a:avLst/>
                          </a:prstGeom>
                        </pic:spPr>
                      </pic:pic>
                    </a:graphicData>
                  </a:graphic>
                </wp:inline>
              </w:drawing>
            </w:r>
            <w:r>
              <w:rPr/>
              <w:t> </w:t>
            </w:r>
          </w:p>
        </w:tc>
        <w:tc>
          <w:tcPr>
            <w:tcW w:w="455" w:type="dxa"/>
            <w:tcBorders/>
            <w:shd w:fill="auto" w:val="clear"/>
            <w:vAlign w:val="center"/>
          </w:tcPr>
          <w:p>
            <w:pPr>
              <w:pStyle w:val="TableContents"/>
              <w:spacing w:before="0" w:after="283"/>
              <w:jc w:val="right"/>
              <w:rPr/>
            </w:pPr>
            <w:r>
              <w:rPr>
                <w:color w:val="00ADEE"/>
              </w:rPr>
              <w:t>  </w:t>
            </w:r>
            <w:r>
              <w:rPr>
                <w:b/>
                <w:color w:val="00ADEE"/>
              </w:rPr>
              <w:t>/  </w:t>
            </w:r>
            <w:r>
              <w:rPr>
                <w:b/>
              </w:rPr>
              <w:t>6</w:t>
            </w:r>
          </w:p>
        </w:tc>
      </w:tr>
      <w:tr>
        <w:trPr/>
        <w:tc>
          <w:tcPr>
            <w:tcW w:w="837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45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22" w:name="new_id-17"/>
      <w:bookmarkEnd w:id="22"/>
      <w:r>
        <w:rPr>
          <w:rFonts w:ascii="Arial" w:hAnsi="Arial"/>
          <w:b/>
          <w:i w:val="false"/>
          <w:caps w:val="false"/>
          <w:smallCaps w:val="false"/>
          <w:color w:val="D31B5D"/>
          <w:sz w:val="30"/>
          <w:bdr w:val="single" w:sz="12" w:space="2" w:color="245BA7"/>
        </w:rPr>
        <w:t xml:space="preserve">NOMINEES FOR CLASS II DIRECTORS FOR ELECTION AT THE 2023 ANNUAL MEETING FOR A TERM EXPIRING AT THE 2026 ANNUAL MEETING1 </w:t>
      </w:r>
    </w:p>
    <w:p>
      <w:pPr>
        <w:pStyle w:val="TextBody"/>
        <w:pBdr/>
        <w:spacing w:before="0" w:after="0"/>
        <w:ind w:left="135" w:right="0" w:hanging="0"/>
        <w:rPr>
          <w:rFonts w:ascii="Arial" w:hAnsi="Arial"/>
          <w:b/>
          <w:color w:val="FFFFFF"/>
          <w:sz w:val="30"/>
          <w:highlight w:val="darkBlue"/>
          <w:bdr w:val="single" w:sz="2" w:space="6" w:color="245BA7"/>
        </w:rPr>
      </w:pPr>
      <w:bookmarkStart w:id="23" w:name="new_id-18"/>
      <w:bookmarkEnd w:id="23"/>
      <w:r>
        <w:rPr>
          <w:rFonts w:ascii="Arial" w:hAnsi="Arial"/>
          <w:b/>
          <w:color w:val="FFFFFF"/>
          <w:sz w:val="30"/>
          <w:highlight w:val="darkBlue"/>
          <w:bdr w:val="single" w:sz="2" w:space="6" w:color="245BA7"/>
        </w:rPr>
        <w:t xml:space="preserve">JOSEPH L. GOLDSTEIN, M.D. </w:t>
      </w:r>
    </w:p>
    <w:p>
      <w:pPr>
        <w:pStyle w:val="TextBody"/>
        <w:pBdr/>
        <w:spacing w:before="0" w:after="210"/>
        <w:ind w:left="0" w:right="0" w:hanging="0"/>
        <w:rPr>
          <w:rFonts w:ascii="Arial" w:hAnsi="Arial"/>
          <w:color w:val="000000"/>
          <w:sz w:val="21"/>
        </w:rPr>
      </w:pPr>
      <w:r>
        <w:rPr>
          <w:rFonts w:ascii="Arial" w:hAnsi="Arial"/>
          <w:color w:val="000000"/>
          <w:sz w:val="21"/>
        </w:rPr>
        <w:br/>
        <w:t>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943735" cy="4612640"/>
                <wp:effectExtent l="0" t="0" r="0" b="0"/>
                <wp:wrapSquare wrapText="largest"/>
                <wp:docPr id="54" name="Frame5"/>
                <a:graphic xmlns:a="http://schemas.openxmlformats.org/drawingml/2006/main">
                  <a:graphicData uri="http://schemas.microsoft.com/office/word/2010/wordprocessingShape">
                    <wps:wsp>
                      <wps:cNvSpPr txBox="1"/>
                      <wps:spPr>
                        <a:xfrm>
                          <a:off x="0" y="0"/>
                          <a:ext cx="1943735" cy="4612640"/>
                        </a:xfrm>
                        <a:prstGeom prst="rect"/>
                      </wps:spPr>
                      <wps:txbx>
                        <w:txbxContent>
                          <w:tbl>
                            <w:tblPr>
                              <w:tblW w:w="5719" w:type="dxa"/>
                              <w:jc w:val="left"/>
                              <w:tblInd w:w="0" w:type="dxa"/>
                              <w:tblCellMar>
                                <w:top w:w="0" w:type="dxa"/>
                                <w:left w:w="0" w:type="dxa"/>
                                <w:bottom w:w="0" w:type="dxa"/>
                                <w:right w:w="0" w:type="dxa"/>
                              </w:tblCellMar>
                            </w:tblPr>
                            <w:tblGrid>
                              <w:gridCol w:w="5140"/>
                              <w:gridCol w:w="579"/>
                            </w:tblGrid>
                            <w:tr>
                              <w:trPr/>
                              <w:tc>
                                <w:tcPr>
                                  <w:tcW w:w="5719" w:type="dxa"/>
                                  <w:gridSpan w:val="2"/>
                                  <w:tcBorders/>
                                  <w:shd w:fill="auto" w:val="clear"/>
                                  <w:vAlign w:val="center"/>
                                </w:tcPr>
                                <w:p>
                                  <w:pPr>
                                    <w:pStyle w:val="TableContents"/>
                                    <w:jc w:val="left"/>
                                    <w:rPr/>
                                  </w:pPr>
                                  <w:r>
                                    <w:rPr/>
                                    <w:drawing>
                                      <wp:inline distT="76200" distB="200025" distL="0" distR="0">
                                        <wp:extent cx="1209675" cy="1209675"/>
                                        <wp:effectExtent l="0" t="0" r="0" b="0"/>
                                        <wp:docPr id="5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0" descr=""/>
                                                <pic:cNvPicPr>
                                                  <a:picLocks noChangeAspect="1" noChangeArrowheads="1"/>
                                                </pic:cNvPicPr>
                                              </pic:nvPicPr>
                                              <pic:blipFill>
                                                <a:blip r:embed="rId51"/>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1991</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82</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514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57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514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Corporate Governance and Compliance Committee: </w:t>
                                  </w:r>
                                </w:p>
                              </w:tc>
                              <w:tc>
                                <w:tcPr>
                                  <w:tcW w:w="57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5/5</w:t>
                                  </w:r>
                                </w:p>
                              </w:tc>
                            </w:tr>
                            <w:tr>
                              <w:trPr/>
                              <w:tc>
                                <w:tcPr>
                                  <w:tcW w:w="514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Technology Committee: </w:t>
                                  </w:r>
                                </w:p>
                              </w:tc>
                              <w:tc>
                                <w:tcPr>
                                  <w:tcW w:w="57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5140" w:type="dxa"/>
                                  <w:tcBorders/>
                                  <w:shd w:fill="auto" w:val="clear"/>
                                  <w:vAlign w:val="center"/>
                                </w:tcPr>
                                <w:p>
                                  <w:pPr>
                                    <w:pStyle w:val="TableContents"/>
                                    <w:spacing w:before="0" w:after="283"/>
                                    <w:rPr/>
                                  </w:pPr>
                                  <w:r>
                                    <w:rPr/>
                                    <w:t> </w:t>
                                  </w:r>
                                </w:p>
                              </w:tc>
                              <w:tc>
                                <w:tcPr>
                                  <w:tcW w:w="579"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514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57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5,000</w:t>
                                  </w:r>
                                </w:p>
                              </w:tc>
                            </w:tr>
                            <w:tr>
                              <w:trPr/>
                              <w:tc>
                                <w:tcPr>
                                  <w:tcW w:w="514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57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3,537</w:t>
                                  </w:r>
                                </w:p>
                              </w:tc>
                            </w:tr>
                            <w:tr>
                              <w:trPr/>
                              <w:tc>
                                <w:tcPr>
                                  <w:tcW w:w="514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Restricted Stock Units (“RSUs”): </w:t>
                                  </w:r>
                                </w:p>
                              </w:tc>
                              <w:tc>
                                <w:tcPr>
                                  <w:tcW w:w="57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63.2pt;mso-wrap-distance-left:0pt;mso-wrap-distance-right:0pt;mso-wrap-distance-top:0pt;mso-wrap-distance-bottom:0pt;margin-top:0pt;mso-position-vertical:top;mso-position-vertical-relative:text;margin-left:0pt;mso-position-horizontal:left;mso-position-horizontal-relative:text">
                <v:textbox>
                  <w:txbxContent>
                    <w:tbl>
                      <w:tblPr>
                        <w:tblW w:w="5719" w:type="dxa"/>
                        <w:jc w:val="left"/>
                        <w:tblInd w:w="0" w:type="dxa"/>
                        <w:tblCellMar>
                          <w:top w:w="0" w:type="dxa"/>
                          <w:left w:w="0" w:type="dxa"/>
                          <w:bottom w:w="0" w:type="dxa"/>
                          <w:right w:w="0" w:type="dxa"/>
                        </w:tblCellMar>
                      </w:tblPr>
                      <w:tblGrid>
                        <w:gridCol w:w="5140"/>
                        <w:gridCol w:w="579"/>
                      </w:tblGrid>
                      <w:tr>
                        <w:trPr/>
                        <w:tc>
                          <w:tcPr>
                            <w:tcW w:w="5719" w:type="dxa"/>
                            <w:gridSpan w:val="2"/>
                            <w:tcBorders/>
                            <w:shd w:fill="auto" w:val="clear"/>
                            <w:vAlign w:val="center"/>
                          </w:tcPr>
                          <w:p>
                            <w:pPr>
                              <w:pStyle w:val="TableContents"/>
                              <w:jc w:val="left"/>
                              <w:rPr/>
                            </w:pPr>
                            <w:r>
                              <w:rPr/>
                              <w:drawing>
                                <wp:inline distT="76200" distB="200025" distL="0" distR="0">
                                  <wp:extent cx="1209675" cy="1209675"/>
                                  <wp:effectExtent l="0" t="0" r="0" b="0"/>
                                  <wp:docPr id="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0" descr=""/>
                                          <pic:cNvPicPr>
                                            <a:picLocks noChangeAspect="1" noChangeArrowheads="1"/>
                                          </pic:cNvPicPr>
                                        </pic:nvPicPr>
                                        <pic:blipFill>
                                          <a:blip r:embed="rId51"/>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1991</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82</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514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57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514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Corporate Governance and Compliance Committee: </w:t>
                            </w:r>
                          </w:p>
                        </w:tc>
                        <w:tc>
                          <w:tcPr>
                            <w:tcW w:w="57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5/5</w:t>
                            </w:r>
                          </w:p>
                        </w:tc>
                      </w:tr>
                      <w:tr>
                        <w:trPr/>
                        <w:tc>
                          <w:tcPr>
                            <w:tcW w:w="514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Technology Committee: </w:t>
                            </w:r>
                          </w:p>
                        </w:tc>
                        <w:tc>
                          <w:tcPr>
                            <w:tcW w:w="57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5140" w:type="dxa"/>
                            <w:tcBorders/>
                            <w:shd w:fill="auto" w:val="clear"/>
                            <w:vAlign w:val="center"/>
                          </w:tcPr>
                          <w:p>
                            <w:pPr>
                              <w:pStyle w:val="TableContents"/>
                              <w:spacing w:before="0" w:after="283"/>
                              <w:rPr/>
                            </w:pPr>
                            <w:r>
                              <w:rPr/>
                              <w:t> </w:t>
                            </w:r>
                          </w:p>
                        </w:tc>
                        <w:tc>
                          <w:tcPr>
                            <w:tcW w:w="579"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514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57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5,000</w:t>
                            </w:r>
                          </w:p>
                        </w:tc>
                      </w:tr>
                      <w:tr>
                        <w:trPr/>
                        <w:tc>
                          <w:tcPr>
                            <w:tcW w:w="514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57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3,537</w:t>
                            </w:r>
                          </w:p>
                        </w:tc>
                      </w:tr>
                      <w:tr>
                        <w:trPr/>
                        <w:tc>
                          <w:tcPr>
                            <w:tcW w:w="514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Restricted Stock Units (“RSUs”): </w:t>
                            </w:r>
                          </w:p>
                        </w:tc>
                        <w:tc>
                          <w:tcPr>
                            <w:tcW w:w="57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5">
                <wp:simplePos x="0" y="0"/>
                <wp:positionH relativeFrom="column">
                  <wp:align>right</wp:align>
                </wp:positionH>
                <wp:positionV relativeFrom="line">
                  <wp:posOffset>635</wp:posOffset>
                </wp:positionV>
                <wp:extent cx="4276725" cy="3825240"/>
                <wp:effectExtent l="0" t="0" r="0" b="0"/>
                <wp:wrapSquare wrapText="largest"/>
                <wp:docPr id="57" name="Frame6"/>
                <a:graphic xmlns:a="http://schemas.openxmlformats.org/drawingml/2006/main">
                  <a:graphicData uri="http://schemas.microsoft.com/office/word/2010/wordprocessingShape">
                    <wps:wsp>
                      <wps:cNvSpPr txBox="1"/>
                      <wps:spPr>
                        <a:xfrm>
                          <a:off x="0" y="0"/>
                          <a:ext cx="4276725" cy="3825240"/>
                        </a:xfrm>
                        <a:prstGeom prst="rect"/>
                      </wps:spPr>
                      <wps:txb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Professor of Molecular Genetics and Internal Medicine and Chair of the Department of Molecular Genetics at The University of Texas Southwestern Medical Center at Dallas since 1977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Member of the boards of trustees of The Rockefeller University and the Howard Hughes Medical Institute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Nobel Prize for Physiology or Medicine in 1985 (jointly with Dr. Brown)</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U.S. National Medal of Science in 1988 (jointly with Dr. Brown) </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Scientific Society Memberships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Medicine</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Royal Society of London</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Goldstein’s extensive research experience, his distinguished scientific and academic credentials, including his receipt of the Nobel Prize for Physiology or Medicine in 1985, and his substantial understanding of the Company gained through his service as a director, led to the board’s decision to nominate Dr. Goldstein for reelection to the board.</w:t>
                                  </w:r>
                                </w:p>
                              </w:tc>
                            </w:tr>
                          </w:tbl>
                          <w:p>
                            <w:pPr>
                              <w:pStyle w:val="TextBody"/>
                              <w:spacing w:before="0" w:after="283"/>
                              <w:rPr/>
                            </w:pPr>
                            <w:r>
                              <w:rPr/>
                            </w:r>
                          </w:p>
                        </w:txbxContent>
                      </wps:txbx>
                      <wps:bodyPr anchor="t" lIns="0" tIns="0" rIns="0" bIns="0">
                        <a:noAutofit/>
                      </wps:bodyPr>
                    </wps:wsp>
                  </a:graphicData>
                </a:graphic>
                <wp14:sizeRelH relativeFrom="margin">
                  <wp14:pctWidth>66000</wp14:pctWidth>
                </wp14:sizeRelH>
              </wp:anchor>
            </w:drawing>
          </mc:Choice>
          <mc:Fallback>
            <w:pict>
              <v:rect style="position:absolute;rotation:0;width:336.75pt;height:301.2pt;mso-wrap-distance-left:0pt;mso-wrap-distance-right:0pt;mso-wrap-distance-top:0pt;mso-wrap-distance-bottom:0pt;margin-top:0pt;mso-position-vertical:top;mso-position-vertical-relative:text;margin-left:173.5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Professor of Molecular Genetics and Internal Medicine and Chair of the Department of Molecular Genetics at The University of Texas Southwestern Medical Center at Dallas since 1977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Member of the boards of trustees of The Rockefeller University and the Howard Hughes Medical Institute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Nobel Prize for Physiology or Medicine in 1985 (jointly with Dr. Brown)</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U.S. National Medal of Science in 1988 (jointly with Dr. Brown) </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Scientific Society Memberships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Medicine</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Royal Society of London</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Goldstein’s extensive research experience, his distinguished scientific and academic credentials, including his receipt of the Nobel Prize for Physiology or Medicine in 1985, and his substantial understanding of the Company gained through his service as a director, led to the board’s decision to nominate Dr. Goldstein for reelection to the board.</w:t>
                            </w:r>
                          </w:p>
                        </w:tc>
                      </w:tr>
                    </w:tbl>
                    <w:p>
                      <w:pPr>
                        <w:pStyle w:val="TextBody"/>
                        <w:spacing w:before="0" w:after="283"/>
                        <w:rPr/>
                      </w:pPr>
                      <w:r>
                        <w:rPr/>
                      </w:r>
                    </w:p>
                  </w:txbxContent>
                </v:textbox>
                <w10:wrap type="square" side="left"/>
              </v:rect>
            </w:pict>
          </mc:Fallback>
        </mc:AlternateContent>
      </w:r>
    </w:p>
    <w:tbl>
      <w:tblPr>
        <w:tblW w:w="10205" w:type="dxa"/>
        <w:jc w:val="left"/>
        <w:tblInd w:w="0" w:type="dxa"/>
        <w:tblCellMar>
          <w:top w:w="45" w:type="dxa"/>
          <w:left w:w="0" w:type="dxa"/>
          <w:bottom w:w="0" w:type="dxa"/>
          <w:right w:w="0" w:type="dxa"/>
        </w:tblCellMar>
      </w:tblPr>
      <w:tblGrid>
        <w:gridCol w:w="140"/>
        <w:gridCol w:w="10065"/>
      </w:tblGrid>
      <w:tr>
        <w:trPr/>
        <w:tc>
          <w:tcPr>
            <w:tcW w:w="140" w:type="dxa"/>
            <w:tcBorders>
              <w:top w:val="single" w:sz="12" w:space="0" w:color="000000"/>
            </w:tcBorders>
            <w:shd w:fill="auto" w:val="clear"/>
            <w:vAlign w:val="center"/>
          </w:tcPr>
          <w:p>
            <w:pPr>
              <w:pStyle w:val="TableContents"/>
              <w:pBdr/>
              <w:spacing w:before="60" w:after="0"/>
              <w:ind w:left="0" w:right="0" w:hanging="0"/>
              <w:rPr>
                <w:rFonts w:ascii="Arial" w:hAnsi="Arial"/>
                <w:color w:val="245BA7"/>
                <w:sz w:val="20"/>
              </w:rPr>
            </w:pPr>
            <w:r>
              <w:rPr>
                <w:rFonts w:ascii="Arial" w:hAnsi="Arial"/>
                <w:color w:val="245BA7"/>
                <w:sz w:val="20"/>
              </w:rPr>
              <w:t>1</w:t>
            </w:r>
          </w:p>
        </w:tc>
        <w:tc>
          <w:tcPr>
            <w:tcW w:w="10065" w:type="dxa"/>
            <w:tcBorders>
              <w:top w:val="single" w:sz="12" w:space="0" w:color="000000"/>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Biographical information is given, as of April 11, 2023, for each nominee and for each of the other directors whose term of office will continue after the 2023 Annual Meeting. All nominees are presently directors and, with the exception of Dr. Thompson, were previously elected by the shareholders. None of the corporations or other organizations referred to below with which a director has been or is currently employed or otherwise associated is a parent, subsidiary, or affiliate of the Company.</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370"/>
        <w:gridCol w:w="1380"/>
        <w:gridCol w:w="455"/>
      </w:tblGrid>
      <w:tr>
        <w:trPr/>
        <w:tc>
          <w:tcPr>
            <w:tcW w:w="837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5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1" descr=""/>
                          <pic:cNvPicPr>
                            <a:picLocks noChangeAspect="1" noChangeArrowheads="1"/>
                          </pic:cNvPicPr>
                        </pic:nvPicPr>
                        <pic:blipFill>
                          <a:blip r:embed="rId52"/>
                          <a:stretch>
                            <a:fillRect/>
                          </a:stretch>
                        </pic:blipFill>
                        <pic:spPr bwMode="auto">
                          <a:xfrm>
                            <a:off x="0" y="0"/>
                            <a:ext cx="838200" cy="142875"/>
                          </a:xfrm>
                          <a:prstGeom prst="rect">
                            <a:avLst/>
                          </a:prstGeom>
                        </pic:spPr>
                      </pic:pic>
                    </a:graphicData>
                  </a:graphic>
                </wp:inline>
              </w:drawing>
            </w:r>
            <w:r>
              <w:rPr/>
              <w:t> </w:t>
            </w:r>
          </w:p>
        </w:tc>
        <w:tc>
          <w:tcPr>
            <w:tcW w:w="455" w:type="dxa"/>
            <w:tcBorders/>
            <w:shd w:fill="auto" w:val="clear"/>
            <w:vAlign w:val="center"/>
          </w:tcPr>
          <w:p>
            <w:pPr>
              <w:pStyle w:val="TableContents"/>
              <w:spacing w:before="0" w:after="283"/>
              <w:jc w:val="right"/>
              <w:rPr/>
            </w:pPr>
            <w:r>
              <w:rPr>
                <w:color w:val="00ADEE"/>
              </w:rPr>
              <w:t>  </w:t>
            </w:r>
            <w:r>
              <w:rPr>
                <w:b/>
                <w:color w:val="00ADEE"/>
              </w:rPr>
              <w:t>/  </w:t>
            </w:r>
            <w:r>
              <w:rPr>
                <w:b/>
              </w:rPr>
              <w:t>7</w:t>
            </w:r>
          </w:p>
        </w:tc>
      </w:tr>
      <w:tr>
        <w:trPr/>
        <w:tc>
          <w:tcPr>
            <w:tcW w:w="837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45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0"/>
        <w:ind w:left="135" w:right="0" w:hanging="0"/>
        <w:rPr>
          <w:rFonts w:ascii="Arial" w:hAnsi="Arial"/>
          <w:b/>
          <w:color w:val="FFFFFF"/>
          <w:sz w:val="30"/>
          <w:highlight w:val="darkBlue"/>
          <w:bdr w:val="single" w:sz="2" w:space="6" w:color="245BA7"/>
        </w:rPr>
      </w:pPr>
      <w:bookmarkStart w:id="24" w:name="new_id-19"/>
      <w:bookmarkEnd w:id="24"/>
      <w:r>
        <w:rPr>
          <w:rFonts w:ascii="Arial" w:hAnsi="Arial"/>
          <w:b/>
          <w:color w:val="FFFFFF"/>
          <w:sz w:val="30"/>
          <w:highlight w:val="darkBlue"/>
          <w:bdr w:val="single" w:sz="2" w:space="6" w:color="245BA7"/>
        </w:rPr>
        <w:t xml:space="preserve">CHRISTINE A. POON </w:t>
      </w:r>
    </w:p>
    <w:p>
      <w:pPr>
        <w:pStyle w:val="TextBody"/>
        <w:pBdr/>
        <w:spacing w:before="0" w:after="210"/>
        <w:ind w:left="0" w:right="0" w:hanging="0"/>
        <w:rPr/>
      </w:pPr>
      <w:r>
        <w:rPr/>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1943735" cy="4826000"/>
                <wp:effectExtent l="0" t="0" r="0" b="0"/>
                <wp:wrapSquare wrapText="largest"/>
                <wp:docPr id="59" name="Frame7"/>
                <a:graphic xmlns:a="http://schemas.openxmlformats.org/drawingml/2006/main">
                  <a:graphicData uri="http://schemas.microsoft.com/office/word/2010/wordprocessingShape">
                    <wps:wsp>
                      <wps:cNvSpPr txBox="1"/>
                      <wps:spPr>
                        <a:xfrm>
                          <a:off x="0" y="0"/>
                          <a:ext cx="1943735" cy="4826000"/>
                        </a:xfrm>
                        <a:prstGeom prst="rect"/>
                      </wps:spPr>
                      <wps:txbx>
                        <w:txbxContent>
                          <w:tbl>
                            <w:tblPr>
                              <w:tblW w:w="5719" w:type="dxa"/>
                              <w:jc w:val="left"/>
                              <w:tblInd w:w="0" w:type="dxa"/>
                              <w:tblCellMar>
                                <w:top w:w="0" w:type="dxa"/>
                                <w:left w:w="0" w:type="dxa"/>
                                <w:bottom w:w="0" w:type="dxa"/>
                                <w:right w:w="0" w:type="dxa"/>
                              </w:tblCellMar>
                            </w:tblPr>
                            <w:tblGrid>
                              <w:gridCol w:w="5036"/>
                              <w:gridCol w:w="683"/>
                            </w:tblGrid>
                            <w:tr>
                              <w:trPr/>
                              <w:tc>
                                <w:tcPr>
                                  <w:tcW w:w="5719" w:type="dxa"/>
                                  <w:gridSpan w:val="2"/>
                                  <w:tcBorders/>
                                  <w:shd w:fill="auto" w:val="clear"/>
                                  <w:vAlign w:val="center"/>
                                </w:tcPr>
                                <w:p>
                                  <w:pPr>
                                    <w:pStyle w:val="TableContents"/>
                                    <w:jc w:val="left"/>
                                    <w:rPr/>
                                  </w:pPr>
                                  <w:r>
                                    <w:rPr/>
                                    <w:drawing>
                                      <wp:inline distT="76200" distB="200025" distL="0" distR="0">
                                        <wp:extent cx="1209675" cy="1209675"/>
                                        <wp:effectExtent l="0" t="0" r="0" b="0"/>
                                        <wp:docPr id="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2" descr=""/>
                                                <pic:cNvPicPr>
                                                  <a:picLocks noChangeAspect="1" noChangeArrowheads="1"/>
                                                </pic:cNvPicPr>
                                              </pic:nvPicPr>
                                              <pic:blipFill>
                                                <a:blip r:embed="rId53"/>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2010</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70</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Compensation Committee (Chair): </w:t>
                                  </w:r>
                                </w:p>
                                <w:p>
                                  <w:pPr>
                                    <w:pStyle w:val="TableContents"/>
                                    <w:pBdr/>
                                    <w:spacing w:before="60" w:after="0"/>
                                    <w:ind w:left="0" w:right="0" w:hanging="0"/>
                                    <w:rPr>
                                      <w:rFonts w:ascii="Arial" w:hAnsi="Arial"/>
                                      <w:color w:val="000000"/>
                                      <w:sz w:val="20"/>
                                    </w:rPr>
                                  </w:pPr>
                                  <w:r>
                                    <w:rPr>
                                      <w:rFonts w:ascii="Arial" w:hAnsi="Arial"/>
                                      <w:color w:val="000000"/>
                                      <w:sz w:val="20"/>
                                    </w:rPr>
                                    <w:t xml:space="preserve">Corporate Governance and Compliance Committee: </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12/12</w:t>
                                  </w:r>
                                </w:p>
                                <w:p>
                                  <w:pPr>
                                    <w:pStyle w:val="TableContents"/>
                                    <w:pBdr/>
                                    <w:spacing w:before="60" w:after="0"/>
                                    <w:ind w:left="0" w:right="0" w:hanging="0"/>
                                    <w:jc w:val="right"/>
                                    <w:rPr>
                                      <w:color w:val="245BA7"/>
                                    </w:rPr>
                                  </w:pPr>
                                  <w:r>
                                    <w:rPr>
                                      <w:color w:val="245BA7"/>
                                    </w:rPr>
                                    <w:t> </w:t>
                                  </w:r>
                                </w:p>
                                <w:p>
                                  <w:pPr>
                                    <w:pStyle w:val="TableContents"/>
                                    <w:pBdr/>
                                    <w:spacing w:before="60" w:after="0"/>
                                    <w:ind w:left="0" w:right="0" w:hanging="0"/>
                                    <w:jc w:val="right"/>
                                    <w:rPr>
                                      <w:rFonts w:ascii="Arial" w:hAnsi="Arial"/>
                                      <w:b/>
                                      <w:color w:val="245BA7"/>
                                      <w:sz w:val="20"/>
                                    </w:rPr>
                                  </w:pPr>
                                  <w:r>
                                    <w:rPr>
                                      <w:rFonts w:ascii="Arial" w:hAnsi="Arial"/>
                                      <w:b/>
                                      <w:color w:val="245BA7"/>
                                      <w:sz w:val="20"/>
                                    </w:rPr>
                                    <w:t>5/5</w:t>
                                  </w:r>
                                </w:p>
                              </w:tc>
                            </w:tr>
                            <w:tr>
                              <w:trPr/>
                              <w:tc>
                                <w:tcPr>
                                  <w:tcW w:w="5036" w:type="dxa"/>
                                  <w:tcBorders/>
                                  <w:shd w:fill="auto" w:val="clear"/>
                                  <w:vAlign w:val="center"/>
                                </w:tcPr>
                                <w:p>
                                  <w:pPr>
                                    <w:pStyle w:val="TableContents"/>
                                    <w:spacing w:before="0" w:after="283"/>
                                    <w:rPr/>
                                  </w:pPr>
                                  <w:r>
                                    <w:rPr/>
                                    <w:t> </w:t>
                                  </w:r>
                                </w:p>
                              </w:tc>
                              <w:tc>
                                <w:tcPr>
                                  <w:tcW w:w="683"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790</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62,894</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80pt;mso-wrap-distance-left:0pt;mso-wrap-distance-right:0pt;mso-wrap-distance-top:0pt;mso-wrap-distance-bottom:0pt;margin-top:0pt;mso-position-vertical:top;mso-position-vertical-relative:text;margin-left:0pt;mso-position-horizontal:left;mso-position-horizontal-relative:text">
                <v:textbox>
                  <w:txbxContent>
                    <w:tbl>
                      <w:tblPr>
                        <w:tblW w:w="5719" w:type="dxa"/>
                        <w:jc w:val="left"/>
                        <w:tblInd w:w="0" w:type="dxa"/>
                        <w:tblCellMar>
                          <w:top w:w="0" w:type="dxa"/>
                          <w:left w:w="0" w:type="dxa"/>
                          <w:bottom w:w="0" w:type="dxa"/>
                          <w:right w:w="0" w:type="dxa"/>
                        </w:tblCellMar>
                      </w:tblPr>
                      <w:tblGrid>
                        <w:gridCol w:w="5036"/>
                        <w:gridCol w:w="683"/>
                      </w:tblGrid>
                      <w:tr>
                        <w:trPr/>
                        <w:tc>
                          <w:tcPr>
                            <w:tcW w:w="5719" w:type="dxa"/>
                            <w:gridSpan w:val="2"/>
                            <w:tcBorders/>
                            <w:shd w:fill="auto" w:val="clear"/>
                            <w:vAlign w:val="center"/>
                          </w:tcPr>
                          <w:p>
                            <w:pPr>
                              <w:pStyle w:val="TableContents"/>
                              <w:jc w:val="left"/>
                              <w:rPr/>
                            </w:pPr>
                            <w:r>
                              <w:rPr/>
                              <w:drawing>
                                <wp:inline distT="76200" distB="200025" distL="0" distR="0">
                                  <wp:extent cx="1209675" cy="1209675"/>
                                  <wp:effectExtent l="0" t="0" r="0" b="0"/>
                                  <wp:docPr id="6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2" descr=""/>
                                          <pic:cNvPicPr>
                                            <a:picLocks noChangeAspect="1" noChangeArrowheads="1"/>
                                          </pic:cNvPicPr>
                                        </pic:nvPicPr>
                                        <pic:blipFill>
                                          <a:blip r:embed="rId53"/>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2010</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70</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Compensation Committee (Chair): </w:t>
                            </w:r>
                          </w:p>
                          <w:p>
                            <w:pPr>
                              <w:pStyle w:val="TableContents"/>
                              <w:pBdr/>
                              <w:spacing w:before="60" w:after="0"/>
                              <w:ind w:left="0" w:right="0" w:hanging="0"/>
                              <w:rPr>
                                <w:rFonts w:ascii="Arial" w:hAnsi="Arial"/>
                                <w:color w:val="000000"/>
                                <w:sz w:val="20"/>
                              </w:rPr>
                            </w:pPr>
                            <w:r>
                              <w:rPr>
                                <w:rFonts w:ascii="Arial" w:hAnsi="Arial"/>
                                <w:color w:val="000000"/>
                                <w:sz w:val="20"/>
                              </w:rPr>
                              <w:t xml:space="preserve">Corporate Governance and Compliance Committee: </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12/12</w:t>
                            </w:r>
                          </w:p>
                          <w:p>
                            <w:pPr>
                              <w:pStyle w:val="TableContents"/>
                              <w:pBdr/>
                              <w:spacing w:before="60" w:after="0"/>
                              <w:ind w:left="0" w:right="0" w:hanging="0"/>
                              <w:jc w:val="right"/>
                              <w:rPr>
                                <w:color w:val="245BA7"/>
                              </w:rPr>
                            </w:pPr>
                            <w:r>
                              <w:rPr>
                                <w:color w:val="245BA7"/>
                              </w:rPr>
                              <w:t> </w:t>
                            </w:r>
                          </w:p>
                          <w:p>
                            <w:pPr>
                              <w:pStyle w:val="TableContents"/>
                              <w:pBdr/>
                              <w:spacing w:before="60" w:after="0"/>
                              <w:ind w:left="0" w:right="0" w:hanging="0"/>
                              <w:jc w:val="right"/>
                              <w:rPr>
                                <w:rFonts w:ascii="Arial" w:hAnsi="Arial"/>
                                <w:b/>
                                <w:color w:val="245BA7"/>
                                <w:sz w:val="20"/>
                              </w:rPr>
                            </w:pPr>
                            <w:r>
                              <w:rPr>
                                <w:rFonts w:ascii="Arial" w:hAnsi="Arial"/>
                                <w:b/>
                                <w:color w:val="245BA7"/>
                                <w:sz w:val="20"/>
                              </w:rPr>
                              <w:t>5/5</w:t>
                            </w:r>
                          </w:p>
                        </w:tc>
                      </w:tr>
                      <w:tr>
                        <w:trPr/>
                        <w:tc>
                          <w:tcPr>
                            <w:tcW w:w="5036" w:type="dxa"/>
                            <w:tcBorders/>
                            <w:shd w:fill="auto" w:val="clear"/>
                            <w:vAlign w:val="center"/>
                          </w:tcPr>
                          <w:p>
                            <w:pPr>
                              <w:pStyle w:val="TableContents"/>
                              <w:spacing w:before="0" w:after="283"/>
                              <w:rPr/>
                            </w:pPr>
                            <w:r>
                              <w:rPr/>
                              <w:t> </w:t>
                            </w:r>
                          </w:p>
                        </w:tc>
                        <w:tc>
                          <w:tcPr>
                            <w:tcW w:w="683"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790</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62,894</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7">
                <wp:simplePos x="0" y="0"/>
                <wp:positionH relativeFrom="column">
                  <wp:align>right</wp:align>
                </wp:positionH>
                <wp:positionV relativeFrom="line">
                  <wp:posOffset>635</wp:posOffset>
                </wp:positionV>
                <wp:extent cx="4276725" cy="3957320"/>
                <wp:effectExtent l="0" t="0" r="0" b="0"/>
                <wp:wrapSquare wrapText="largest"/>
                <wp:docPr id="62" name="Frame8"/>
                <a:graphic xmlns:a="http://schemas.openxmlformats.org/drawingml/2006/main">
                  <a:graphicData uri="http://schemas.microsoft.com/office/word/2010/wordprocessingShape">
                    <wps:wsp>
                      <wps:cNvSpPr txBox="1"/>
                      <wps:spPr>
                        <a:xfrm>
                          <a:off x="0" y="0"/>
                          <a:ext cx="4276725" cy="3957320"/>
                        </a:xfrm>
                        <a:prstGeom prst="rect"/>
                      </wps:spPr>
                      <wps:txb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Executive-in-Residence in the Department of Management and Human Resources and former Dean and John W. Berry, Sr. Chair in Business at The Max M. Fisher College of Business at The Ohio State University</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Former vice chair, worldwide chair of pharmaceuticals, member of the executive committee, and director at Johnson &amp; Johnson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Held senior leadership positions at Bristol-Myers Squibb Company, including president of international medicines and president of medical devices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member of the Supervisory Board of Royal Philips Electronics and the board of directors of Decibel Therapeutics, Inc.</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Other Public Boards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Prudential Financial, Inc.</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Sherwin-Williams Company</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Ms. Poon’s extensive expertise in domestic and international business operations, including sales and marketing and commercial operations, and her deep strategic and operational knowledge of the pharmaceutical industry, led to the board’s decision to nominate Ms. Poon for reelection to the board.</w:t>
                                  </w:r>
                                </w:p>
                              </w:tc>
                            </w:tr>
                          </w:tbl>
                          <w:p>
                            <w:pPr>
                              <w:pStyle w:val="TextBody"/>
                              <w:spacing w:before="0" w:after="283"/>
                              <w:rPr/>
                            </w:pPr>
                            <w:r>
                              <w:rPr/>
                            </w:r>
                          </w:p>
                        </w:txbxContent>
                      </wps:txbx>
                      <wps:bodyPr anchor="t" lIns="0" tIns="0" rIns="0" bIns="0">
                        <a:noAutofit/>
                      </wps:bodyPr>
                    </wps:wsp>
                  </a:graphicData>
                </a:graphic>
                <wp14:sizeRelH relativeFrom="margin">
                  <wp14:pctWidth>66000</wp14:pctWidth>
                </wp14:sizeRelH>
              </wp:anchor>
            </w:drawing>
          </mc:Choice>
          <mc:Fallback>
            <w:pict>
              <v:rect style="position:absolute;rotation:0;width:336.75pt;height:311.6pt;mso-wrap-distance-left:0pt;mso-wrap-distance-right:0pt;mso-wrap-distance-top:0pt;mso-wrap-distance-bottom:0pt;margin-top:0pt;mso-position-vertical:top;mso-position-vertical-relative:text;margin-left:173.5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Executive-in-Residence in the Department of Management and Human Resources and former Dean and John W. Berry, Sr. Chair in Business at The Max M. Fisher College of Business at The Ohio State University</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Former vice chair, worldwide chair of pharmaceuticals, member of the executive committee, and director at Johnson &amp; Johnson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Held senior leadership positions at Bristol-Myers Squibb Company, including president of international medicines and president of medical devices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member of the Supervisory Board of Royal Philips Electronics and the board of directors of Decibel Therapeutics, Inc.</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Other Public Boards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Prudential Financial, Inc.</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Sherwin-Williams Company</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Ms. Poon’s extensive expertise in domestic and international business operations, including sales and marketing and commercial operations, and her deep strategic and operational knowledge of the pharmaceutical industry, led to the board’s decision to nominate Ms. Poon for reelection to the board.</w:t>
                            </w:r>
                          </w:p>
                        </w:tc>
                      </w:tr>
                    </w:tbl>
                    <w:p>
                      <w:pPr>
                        <w:pStyle w:val="TextBody"/>
                        <w:spacing w:before="0" w:after="283"/>
                        <w:rPr/>
                      </w:pPr>
                      <w:r>
                        <w:rPr/>
                      </w:r>
                    </w:p>
                  </w:txbxContent>
                </v:textbox>
                <w10:wrap type="square" side="left"/>
              </v:rect>
            </w:pict>
          </mc:Fallback>
        </mc:AlternateConten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370"/>
        <w:gridCol w:w="1380"/>
        <w:gridCol w:w="455"/>
      </w:tblGrid>
      <w:tr>
        <w:trPr/>
        <w:tc>
          <w:tcPr>
            <w:tcW w:w="837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6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3" descr=""/>
                          <pic:cNvPicPr>
                            <a:picLocks noChangeAspect="1" noChangeArrowheads="1"/>
                          </pic:cNvPicPr>
                        </pic:nvPicPr>
                        <pic:blipFill>
                          <a:blip r:embed="rId54"/>
                          <a:stretch>
                            <a:fillRect/>
                          </a:stretch>
                        </pic:blipFill>
                        <pic:spPr bwMode="auto">
                          <a:xfrm>
                            <a:off x="0" y="0"/>
                            <a:ext cx="838200" cy="142875"/>
                          </a:xfrm>
                          <a:prstGeom prst="rect">
                            <a:avLst/>
                          </a:prstGeom>
                        </pic:spPr>
                      </pic:pic>
                    </a:graphicData>
                  </a:graphic>
                </wp:inline>
              </w:drawing>
            </w:r>
            <w:r>
              <w:rPr/>
              <w:t> </w:t>
            </w:r>
          </w:p>
        </w:tc>
        <w:tc>
          <w:tcPr>
            <w:tcW w:w="455" w:type="dxa"/>
            <w:tcBorders/>
            <w:shd w:fill="auto" w:val="clear"/>
            <w:vAlign w:val="center"/>
          </w:tcPr>
          <w:p>
            <w:pPr>
              <w:pStyle w:val="TableContents"/>
              <w:spacing w:before="0" w:after="283"/>
              <w:jc w:val="right"/>
              <w:rPr/>
            </w:pPr>
            <w:r>
              <w:rPr>
                <w:color w:val="00ADEE"/>
              </w:rPr>
              <w:t>  </w:t>
            </w:r>
            <w:r>
              <w:rPr>
                <w:b/>
                <w:color w:val="00ADEE"/>
              </w:rPr>
              <w:t>/  </w:t>
            </w:r>
            <w:r>
              <w:rPr>
                <w:b/>
              </w:rPr>
              <w:t>8</w:t>
            </w:r>
          </w:p>
        </w:tc>
      </w:tr>
      <w:tr>
        <w:trPr/>
        <w:tc>
          <w:tcPr>
            <w:tcW w:w="837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45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0"/>
        <w:ind w:left="135" w:right="0" w:hanging="0"/>
        <w:rPr>
          <w:rFonts w:ascii="Arial" w:hAnsi="Arial"/>
          <w:b/>
          <w:color w:val="FFFFFF"/>
          <w:sz w:val="30"/>
          <w:highlight w:val="darkBlue"/>
          <w:bdr w:val="single" w:sz="2" w:space="6" w:color="245BA7"/>
        </w:rPr>
      </w:pPr>
      <w:bookmarkStart w:id="25" w:name="new_id-20"/>
      <w:bookmarkEnd w:id="25"/>
      <w:r>
        <w:rPr>
          <w:rFonts w:ascii="Arial" w:hAnsi="Arial"/>
          <w:b/>
          <w:color w:val="FFFFFF"/>
          <w:sz w:val="30"/>
          <w:highlight w:val="darkBlue"/>
          <w:bdr w:val="single" w:sz="2" w:space="6" w:color="245BA7"/>
        </w:rPr>
        <w:t xml:space="preserve">CRAIG B. THOMPSON, M.D. </w:t>
      </w:r>
    </w:p>
    <w:p>
      <w:pPr>
        <w:pStyle w:val="TextBody"/>
        <w:pBdr/>
        <w:spacing w:before="0" w:after="210"/>
        <w:ind w:left="0" w:right="0" w:hanging="0"/>
        <w:rPr/>
      </w:pPr>
      <w:r>
        <w:rPr/>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1943735" cy="4587240"/>
                <wp:effectExtent l="0" t="0" r="0" b="0"/>
                <wp:wrapSquare wrapText="largest"/>
                <wp:docPr id="64" name="Frame9"/>
                <a:graphic xmlns:a="http://schemas.openxmlformats.org/drawingml/2006/main">
                  <a:graphicData uri="http://schemas.microsoft.com/office/word/2010/wordprocessingShape">
                    <wps:wsp>
                      <wps:cNvSpPr txBox="1"/>
                      <wps:spPr>
                        <a:xfrm>
                          <a:off x="0" y="0"/>
                          <a:ext cx="1943735" cy="4587240"/>
                        </a:xfrm>
                        <a:prstGeom prst="rect"/>
                      </wps:spPr>
                      <wps:txbx>
                        <w:txbxContent>
                          <w:tbl>
                            <w:tblPr>
                              <w:tblW w:w="8284" w:type="dxa"/>
                              <w:jc w:val="left"/>
                              <w:tblInd w:w="0" w:type="dxa"/>
                              <w:tblCellMar>
                                <w:top w:w="0" w:type="dxa"/>
                                <w:left w:w="0" w:type="dxa"/>
                                <w:bottom w:w="0" w:type="dxa"/>
                                <w:right w:w="0" w:type="dxa"/>
                              </w:tblCellMar>
                            </w:tblPr>
                            <w:tblGrid>
                              <w:gridCol w:w="6657"/>
                              <w:gridCol w:w="1627"/>
                            </w:tblGrid>
                            <w:tr>
                              <w:trPr/>
                              <w:tc>
                                <w:tcPr>
                                  <w:tcW w:w="6657" w:type="dxa"/>
                                  <w:tcBorders/>
                                  <w:shd w:fill="auto" w:val="clear"/>
                                  <w:vAlign w:val="center"/>
                                </w:tcPr>
                                <w:p>
                                  <w:pPr>
                                    <w:pStyle w:val="TableContents"/>
                                    <w:jc w:val="left"/>
                                    <w:rPr/>
                                  </w:pPr>
                                  <w:r>
                                    <w:rPr/>
                                    <w:drawing>
                                      <wp:inline distT="76200" distB="200025" distL="0" distR="0">
                                        <wp:extent cx="1209675" cy="1209675"/>
                                        <wp:effectExtent l="0" t="0" r="0" b="0"/>
                                        <wp:docPr id="6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4" descr=""/>
                                                <pic:cNvPicPr>
                                                  <a:picLocks noChangeAspect="1" noChangeArrowheads="1"/>
                                                </pic:cNvPicPr>
                                              </pic:nvPicPr>
                                              <pic:blipFill>
                                                <a:blip r:embed="rId55"/>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2022</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70</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1627" w:type="dxa"/>
                                  <w:tcBorders/>
                                  <w:shd w:fill="auto" w:val="clear"/>
                                  <w:vAlign w:val="center"/>
                                </w:tcPr>
                                <w:p>
                                  <w:pPr>
                                    <w:pStyle w:val="TableContents"/>
                                    <w:pBdr/>
                                    <w:spacing w:before="0" w:after="45"/>
                                    <w:ind w:left="0" w:right="0" w:hanging="0"/>
                                    <w:rPr>
                                      <w:color w:val="245BA7"/>
                                    </w:rPr>
                                  </w:pPr>
                                  <w:r>
                                    <w:rPr>
                                      <w:color w:val="245BA7"/>
                                    </w:rPr>
                                    <w:t> </w:t>
                                  </w:r>
                                </w:p>
                              </w:tc>
                            </w:tr>
                            <w:tr>
                              <w:trPr/>
                              <w:tc>
                                <w:tcPr>
                                  <w:tcW w:w="8284"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6657"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1627"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6657"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Technology Committee:</w:t>
                                  </w:r>
                                </w:p>
                              </w:tc>
                              <w:tc>
                                <w:tcPr>
                                  <w:tcW w:w="1627"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w:t>
                                  </w:r>
                                </w:p>
                              </w:tc>
                            </w:tr>
                            <w:tr>
                              <w:trPr/>
                              <w:tc>
                                <w:tcPr>
                                  <w:tcW w:w="8284" w:type="dxa"/>
                                  <w:gridSpan w:val="2"/>
                                  <w:tcBorders/>
                                  <w:shd w:fill="auto" w:val="clear"/>
                                  <w:vAlign w:val="center"/>
                                </w:tcPr>
                                <w:p>
                                  <w:pPr>
                                    <w:pStyle w:val="TableContents"/>
                                    <w:pBdr/>
                                    <w:spacing w:before="60" w:after="0"/>
                                    <w:ind w:left="0" w:right="0" w:hanging="0"/>
                                    <w:rPr>
                                      <w:rFonts w:ascii="Arial" w:hAnsi="Arial"/>
                                      <w:color w:val="000000"/>
                                      <w:sz w:val="16"/>
                                    </w:rPr>
                                  </w:pPr>
                                  <w:r>
                                    <w:rPr>
                                      <w:rFonts w:ascii="Arial" w:hAnsi="Arial"/>
                                      <w:color w:val="000000"/>
                                      <w:sz w:val="16"/>
                                    </w:rPr>
                                    <w:t>* Dr. Thompson was elected as a member of the board and the Technology Committee effective October 3, 2022.</w:t>
                                  </w:r>
                                </w:p>
                              </w:tc>
                            </w:tr>
                            <w:tr>
                              <w:trPr/>
                              <w:tc>
                                <w:tcPr>
                                  <w:tcW w:w="8284" w:type="dxa"/>
                                  <w:gridSpan w:val="2"/>
                                  <w:tcBorders/>
                                  <w:shd w:fill="auto" w:val="clear"/>
                                  <w:vAlign w:val="center"/>
                                </w:tcPr>
                                <w:p>
                                  <w:pPr>
                                    <w:pStyle w:val="TableContents"/>
                                    <w:spacing w:before="0" w:after="283"/>
                                    <w:rPr/>
                                  </w:pPr>
                                  <w:r>
                                    <w:rPr/>
                                    <w:t> </w:t>
                                  </w:r>
                                </w:p>
                              </w:tc>
                            </w:tr>
                            <w:tr>
                              <w:trPr/>
                              <w:tc>
                                <w:tcPr>
                                  <w:tcW w:w="8284"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6657"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Common Stock: </w:t>
                                  </w:r>
                                </w:p>
                              </w:tc>
                              <w:tc>
                                <w:tcPr>
                                  <w:tcW w:w="1627"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0</w:t>
                                  </w:r>
                                </w:p>
                              </w:tc>
                            </w:tr>
                            <w:tr>
                              <w:trPr/>
                              <w:tc>
                                <w:tcPr>
                                  <w:tcW w:w="6657"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1627"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2,399</w:t>
                                  </w:r>
                                </w:p>
                              </w:tc>
                            </w:tr>
                            <w:tr>
                              <w:trPr/>
                              <w:tc>
                                <w:tcPr>
                                  <w:tcW w:w="6657"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1627"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207</w:t>
                                  </w:r>
                                </w:p>
                              </w:tc>
                            </w:tr>
                          </w:tbl>
                          <w:p>
                            <w:pPr>
                              <w:pStyle w:val="TextBody"/>
                              <w:spacing w:before="0" w:after="283"/>
                              <w:rPr/>
                            </w:pPr>
                            <w:r>
                              <w:rPr/>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61.2pt;mso-wrap-distance-left:0pt;mso-wrap-distance-right:0pt;mso-wrap-distance-top:0pt;mso-wrap-distance-bottom:0pt;margin-top:0pt;mso-position-vertical:top;mso-position-vertical-relative:text;margin-left:0pt;mso-position-horizontal:left;mso-position-horizontal-relative:text">
                <v:textbox>
                  <w:txbxContent>
                    <w:tbl>
                      <w:tblPr>
                        <w:tblW w:w="8284" w:type="dxa"/>
                        <w:jc w:val="left"/>
                        <w:tblInd w:w="0" w:type="dxa"/>
                        <w:tblCellMar>
                          <w:top w:w="0" w:type="dxa"/>
                          <w:left w:w="0" w:type="dxa"/>
                          <w:bottom w:w="0" w:type="dxa"/>
                          <w:right w:w="0" w:type="dxa"/>
                        </w:tblCellMar>
                      </w:tblPr>
                      <w:tblGrid>
                        <w:gridCol w:w="6657"/>
                        <w:gridCol w:w="1627"/>
                      </w:tblGrid>
                      <w:tr>
                        <w:trPr/>
                        <w:tc>
                          <w:tcPr>
                            <w:tcW w:w="6657" w:type="dxa"/>
                            <w:tcBorders/>
                            <w:shd w:fill="auto" w:val="clear"/>
                            <w:vAlign w:val="center"/>
                          </w:tcPr>
                          <w:p>
                            <w:pPr>
                              <w:pStyle w:val="TableContents"/>
                              <w:jc w:val="left"/>
                              <w:rPr/>
                            </w:pPr>
                            <w:r>
                              <w:rPr/>
                              <w:drawing>
                                <wp:inline distT="76200" distB="200025" distL="0" distR="0">
                                  <wp:extent cx="1209675" cy="1209675"/>
                                  <wp:effectExtent l="0" t="0" r="0" b="0"/>
                                  <wp:docPr id="6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4" descr=""/>
                                          <pic:cNvPicPr>
                                            <a:picLocks noChangeAspect="1" noChangeArrowheads="1"/>
                                          </pic:cNvPicPr>
                                        </pic:nvPicPr>
                                        <pic:blipFill>
                                          <a:blip r:embed="rId55"/>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2022</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70</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1627" w:type="dxa"/>
                            <w:tcBorders/>
                            <w:shd w:fill="auto" w:val="clear"/>
                            <w:vAlign w:val="center"/>
                          </w:tcPr>
                          <w:p>
                            <w:pPr>
                              <w:pStyle w:val="TableContents"/>
                              <w:pBdr/>
                              <w:spacing w:before="0" w:after="45"/>
                              <w:ind w:left="0" w:right="0" w:hanging="0"/>
                              <w:rPr>
                                <w:color w:val="245BA7"/>
                              </w:rPr>
                            </w:pPr>
                            <w:r>
                              <w:rPr>
                                <w:color w:val="245BA7"/>
                              </w:rPr>
                              <w:t> </w:t>
                            </w:r>
                          </w:p>
                        </w:tc>
                      </w:tr>
                      <w:tr>
                        <w:trPr/>
                        <w:tc>
                          <w:tcPr>
                            <w:tcW w:w="8284"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6657"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1627"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6657"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Technology Committee:</w:t>
                            </w:r>
                          </w:p>
                        </w:tc>
                        <w:tc>
                          <w:tcPr>
                            <w:tcW w:w="1627"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w:t>
                            </w:r>
                          </w:p>
                        </w:tc>
                      </w:tr>
                      <w:tr>
                        <w:trPr/>
                        <w:tc>
                          <w:tcPr>
                            <w:tcW w:w="8284" w:type="dxa"/>
                            <w:gridSpan w:val="2"/>
                            <w:tcBorders/>
                            <w:shd w:fill="auto" w:val="clear"/>
                            <w:vAlign w:val="center"/>
                          </w:tcPr>
                          <w:p>
                            <w:pPr>
                              <w:pStyle w:val="TableContents"/>
                              <w:pBdr/>
                              <w:spacing w:before="60" w:after="0"/>
                              <w:ind w:left="0" w:right="0" w:hanging="0"/>
                              <w:rPr>
                                <w:rFonts w:ascii="Arial" w:hAnsi="Arial"/>
                                <w:color w:val="000000"/>
                                <w:sz w:val="16"/>
                              </w:rPr>
                            </w:pPr>
                            <w:r>
                              <w:rPr>
                                <w:rFonts w:ascii="Arial" w:hAnsi="Arial"/>
                                <w:color w:val="000000"/>
                                <w:sz w:val="16"/>
                              </w:rPr>
                              <w:t>* Dr. Thompson was elected as a member of the board and the Technology Committee effective October 3, 2022.</w:t>
                            </w:r>
                          </w:p>
                        </w:tc>
                      </w:tr>
                      <w:tr>
                        <w:trPr/>
                        <w:tc>
                          <w:tcPr>
                            <w:tcW w:w="8284" w:type="dxa"/>
                            <w:gridSpan w:val="2"/>
                            <w:tcBorders/>
                            <w:shd w:fill="auto" w:val="clear"/>
                            <w:vAlign w:val="center"/>
                          </w:tcPr>
                          <w:p>
                            <w:pPr>
                              <w:pStyle w:val="TableContents"/>
                              <w:spacing w:before="0" w:after="283"/>
                              <w:rPr/>
                            </w:pPr>
                            <w:r>
                              <w:rPr/>
                              <w:t> </w:t>
                            </w:r>
                          </w:p>
                        </w:tc>
                      </w:tr>
                      <w:tr>
                        <w:trPr/>
                        <w:tc>
                          <w:tcPr>
                            <w:tcW w:w="8284"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6657"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Common Stock: </w:t>
                            </w:r>
                          </w:p>
                        </w:tc>
                        <w:tc>
                          <w:tcPr>
                            <w:tcW w:w="1627"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0</w:t>
                            </w:r>
                          </w:p>
                        </w:tc>
                      </w:tr>
                      <w:tr>
                        <w:trPr/>
                        <w:tc>
                          <w:tcPr>
                            <w:tcW w:w="6657"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1627"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2,399</w:t>
                            </w:r>
                          </w:p>
                        </w:tc>
                      </w:tr>
                      <w:tr>
                        <w:trPr/>
                        <w:tc>
                          <w:tcPr>
                            <w:tcW w:w="6657"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1627"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207</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4">
                <wp:simplePos x="0" y="0"/>
                <wp:positionH relativeFrom="column">
                  <wp:align>right</wp:align>
                </wp:positionH>
                <wp:positionV relativeFrom="line">
                  <wp:posOffset>635</wp:posOffset>
                </wp:positionV>
                <wp:extent cx="4276725" cy="4900295"/>
                <wp:effectExtent l="0" t="0" r="0" b="0"/>
                <wp:wrapSquare wrapText="largest"/>
                <wp:docPr id="67" name="Frame10"/>
                <a:graphic xmlns:a="http://schemas.openxmlformats.org/drawingml/2006/main">
                  <a:graphicData uri="http://schemas.microsoft.com/office/word/2010/wordprocessingShape">
                    <wps:wsp>
                      <wps:cNvSpPr txBox="1"/>
                      <wps:spPr>
                        <a:xfrm>
                          <a:off x="0" y="0"/>
                          <a:ext cx="4276725" cy="4900295"/>
                        </a:xfrm>
                        <a:prstGeom prst="rect"/>
                      </wps:spPr>
                      <wps:txb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President and Chief Executive Officer of Memorial Sloan Kettering Cancer Center</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Co-founder of Agios Pharmaceuticals, Inc.</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director of Merck &amp; Co., Inc.</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Scientific Society Memberships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Medicine</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American Academy of Arts and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American Society for Clinical Investigation</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Association of American Physicians</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Other Public Boards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Charles River Laboratories International, Inc.</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Thompson’s extensive research and leadership experience in the pharmaceutical and healthcare industries, as well as his experience as a corporate director, led to the board’s decision to nominate Dr. Thompson for reelection to the board.</w:t>
                                  </w:r>
                                </w:p>
                              </w:tc>
                            </w:tr>
                            <w:tr>
                              <w:trPr/>
                              <w:tc>
                                <w:tcPr>
                                  <w:tcW w:w="10205" w:type="dxa"/>
                                  <w:tcBorders/>
                                  <w:shd w:fill="auto" w:val="clear"/>
                                  <w:vAlign w:val="center"/>
                                </w:tcPr>
                                <w:p>
                                  <w:pPr>
                                    <w:pStyle w:val="TableContents"/>
                                    <w:spacing w:before="0" w:after="283"/>
                                    <w:ind w:left="0" w:right="30" w:hanging="0"/>
                                    <w:rPr>
                                      <w:sz w:val="4"/>
                                      <w:szCs w:val="4"/>
                                    </w:rPr>
                                  </w:pPr>
                                  <w:r>
                                    <w:rPr>
                                      <w:sz w:val="4"/>
                                      <w:szCs w:val="4"/>
                                    </w:rPr>
                                  </w:r>
                                </w:p>
                              </w:tc>
                            </w:tr>
                            <w:tr>
                              <w:trPr/>
                              <w:tc>
                                <w:tcPr>
                                  <w:tcW w:w="10205" w:type="dxa"/>
                                  <w:tcBorders/>
                                  <w:shd w:fill="auto" w:val="clear"/>
                                  <w:vAlign w:val="center"/>
                                </w:tcPr>
                                <w:p>
                                  <w:pPr>
                                    <w:pStyle w:val="TableContents"/>
                                    <w:pBdr/>
                                    <w:spacing w:before="0" w:after="60"/>
                                    <w:ind w:left="0" w:right="0" w:hanging="0"/>
                                    <w:rPr>
                                      <w:color w:val="000000"/>
                                    </w:rPr>
                                  </w:pPr>
                                  <w:r>
                                    <w:rPr>
                                      <w:color w:val="000000"/>
                                    </w:rPr>
                                    <w:t> </w:t>
                                  </w:r>
                                </w:p>
                              </w:tc>
                            </w:tr>
                          </w:tbl>
                          <w:p>
                            <w:pPr>
                              <w:pStyle w:val="TextBody"/>
                              <w:spacing w:before="0" w:after="283"/>
                              <w:rPr/>
                            </w:pPr>
                            <w:r>
                              <w:rPr/>
                            </w:r>
                          </w:p>
                        </w:txbxContent>
                      </wps:txbx>
                      <wps:bodyPr anchor="t" lIns="0" tIns="0" rIns="0" bIns="0">
                        <a:noAutofit/>
                      </wps:bodyPr>
                    </wps:wsp>
                  </a:graphicData>
                </a:graphic>
                <wp14:sizeRelH relativeFrom="margin">
                  <wp14:pctWidth>66000</wp14:pctWidth>
                </wp14:sizeRelH>
              </wp:anchor>
            </w:drawing>
          </mc:Choice>
          <mc:Fallback>
            <w:pict>
              <v:rect style="position:absolute;rotation:0;width:336.75pt;height:385.85pt;mso-wrap-distance-left:0pt;mso-wrap-distance-right:0pt;mso-wrap-distance-top:0pt;mso-wrap-distance-bottom:0pt;margin-top:0pt;mso-position-vertical:top;mso-position-vertical-relative:text;margin-left:173.5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President and Chief Executive Officer of Memorial Sloan Kettering Cancer Center</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Co-founder of Agios Pharmaceuticals, Inc.</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director of Merck &amp; Co., Inc.</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Scientific Society Memberships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Medicine</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American Academy of Arts and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American Society for Clinical Investigation</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Association of American Physicians</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Other Public Boards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Charles River Laboratories International, Inc.</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Thompson’s extensive research and leadership experience in the pharmaceutical and healthcare industries, as well as his experience as a corporate director, led to the board’s decision to nominate Dr. Thompson for reelection to the board.</w:t>
                            </w:r>
                          </w:p>
                        </w:tc>
                      </w:tr>
                      <w:tr>
                        <w:trPr/>
                        <w:tc>
                          <w:tcPr>
                            <w:tcW w:w="10205" w:type="dxa"/>
                            <w:tcBorders/>
                            <w:shd w:fill="auto" w:val="clear"/>
                            <w:vAlign w:val="center"/>
                          </w:tcPr>
                          <w:p>
                            <w:pPr>
                              <w:pStyle w:val="TableContents"/>
                              <w:spacing w:before="0" w:after="283"/>
                              <w:ind w:left="0" w:right="30" w:hanging="0"/>
                              <w:rPr>
                                <w:sz w:val="4"/>
                                <w:szCs w:val="4"/>
                              </w:rPr>
                            </w:pPr>
                            <w:r>
                              <w:rPr>
                                <w:sz w:val="4"/>
                                <w:szCs w:val="4"/>
                              </w:rPr>
                            </w:r>
                          </w:p>
                        </w:tc>
                      </w:tr>
                      <w:tr>
                        <w:trPr/>
                        <w:tc>
                          <w:tcPr>
                            <w:tcW w:w="10205" w:type="dxa"/>
                            <w:tcBorders/>
                            <w:shd w:fill="auto" w:val="clear"/>
                            <w:vAlign w:val="center"/>
                          </w:tcPr>
                          <w:p>
                            <w:pPr>
                              <w:pStyle w:val="TableContents"/>
                              <w:pBdr/>
                              <w:spacing w:before="0" w:after="60"/>
                              <w:ind w:left="0" w:right="0" w:hanging="0"/>
                              <w:rPr>
                                <w:color w:val="000000"/>
                              </w:rPr>
                            </w:pPr>
                            <w:r>
                              <w:rPr>
                                <w:color w:val="000000"/>
                              </w:rPr>
                              <w:t> </w:t>
                            </w:r>
                          </w:p>
                        </w:tc>
                      </w:tr>
                    </w:tbl>
                    <w:p>
                      <w:pPr>
                        <w:pStyle w:val="TextBody"/>
                        <w:spacing w:before="0" w:after="283"/>
                        <w:rPr/>
                      </w:pPr>
                      <w:r>
                        <w:rPr/>
                      </w:r>
                    </w:p>
                  </w:txbxContent>
                </v:textbox>
                <w10:wrap type="square" side="left"/>
              </v:rect>
            </w:pict>
          </mc:Fallback>
        </mc:AlternateConten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370"/>
        <w:gridCol w:w="1380"/>
        <w:gridCol w:w="455"/>
      </w:tblGrid>
      <w:tr>
        <w:trPr/>
        <w:tc>
          <w:tcPr>
            <w:tcW w:w="837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6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5" descr=""/>
                          <pic:cNvPicPr>
                            <a:picLocks noChangeAspect="1" noChangeArrowheads="1"/>
                          </pic:cNvPicPr>
                        </pic:nvPicPr>
                        <pic:blipFill>
                          <a:blip r:embed="rId56"/>
                          <a:stretch>
                            <a:fillRect/>
                          </a:stretch>
                        </pic:blipFill>
                        <pic:spPr bwMode="auto">
                          <a:xfrm>
                            <a:off x="0" y="0"/>
                            <a:ext cx="838200" cy="142875"/>
                          </a:xfrm>
                          <a:prstGeom prst="rect">
                            <a:avLst/>
                          </a:prstGeom>
                        </pic:spPr>
                      </pic:pic>
                    </a:graphicData>
                  </a:graphic>
                </wp:inline>
              </w:drawing>
            </w:r>
            <w:r>
              <w:rPr/>
              <w:t> </w:t>
            </w:r>
          </w:p>
        </w:tc>
        <w:tc>
          <w:tcPr>
            <w:tcW w:w="455" w:type="dxa"/>
            <w:tcBorders/>
            <w:shd w:fill="auto" w:val="clear"/>
            <w:vAlign w:val="center"/>
          </w:tcPr>
          <w:p>
            <w:pPr>
              <w:pStyle w:val="TableContents"/>
              <w:spacing w:before="0" w:after="283"/>
              <w:jc w:val="right"/>
              <w:rPr/>
            </w:pPr>
            <w:r>
              <w:rPr>
                <w:color w:val="00ADEE"/>
              </w:rPr>
              <w:t>  </w:t>
            </w:r>
            <w:r>
              <w:rPr>
                <w:b/>
                <w:color w:val="00ADEE"/>
              </w:rPr>
              <w:t>/  </w:t>
            </w:r>
            <w:r>
              <w:rPr>
                <w:b/>
              </w:rPr>
              <w:t>9</w:t>
            </w:r>
          </w:p>
        </w:tc>
      </w:tr>
      <w:tr>
        <w:trPr/>
        <w:tc>
          <w:tcPr>
            <w:tcW w:w="837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45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0"/>
        <w:ind w:left="135" w:right="0" w:hanging="0"/>
        <w:rPr>
          <w:rFonts w:ascii="Arial" w:hAnsi="Arial"/>
          <w:b/>
          <w:color w:val="FFFFFF"/>
          <w:sz w:val="30"/>
          <w:highlight w:val="darkBlue"/>
          <w:bdr w:val="single" w:sz="2" w:space="6" w:color="245BA7"/>
        </w:rPr>
      </w:pPr>
      <w:bookmarkStart w:id="26" w:name="new_id-21"/>
      <w:bookmarkEnd w:id="26"/>
      <w:r>
        <w:rPr>
          <w:rFonts w:ascii="Arial" w:hAnsi="Arial"/>
          <w:b/>
          <w:color w:val="FFFFFF"/>
          <w:sz w:val="30"/>
          <w:highlight w:val="darkBlue"/>
          <w:bdr w:val="single" w:sz="2" w:space="6" w:color="245BA7"/>
        </w:rPr>
        <w:t xml:space="preserve">HUDA Y. ZOGHBI, M.D. </w:t>
      </w:r>
    </w:p>
    <w:p>
      <w:pPr>
        <w:pStyle w:val="TextBody"/>
        <w:pBdr/>
        <w:spacing w:before="0" w:after="210"/>
        <w:ind w:left="0" w:right="0" w:hanging="0"/>
        <w:rPr/>
      </w:pPr>
      <w:r>
        <w:rPr/>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1943735" cy="4612640"/>
                <wp:effectExtent l="0" t="0" r="0" b="0"/>
                <wp:wrapSquare wrapText="largest"/>
                <wp:docPr id="69" name="Frame11"/>
                <a:graphic xmlns:a="http://schemas.openxmlformats.org/drawingml/2006/main">
                  <a:graphicData uri="http://schemas.microsoft.com/office/word/2010/wordprocessingShape">
                    <wps:wsp>
                      <wps:cNvSpPr txBox="1"/>
                      <wps:spPr>
                        <a:xfrm>
                          <a:off x="0" y="0"/>
                          <a:ext cx="1943735" cy="4612640"/>
                        </a:xfrm>
                        <a:prstGeom prst="rect"/>
                      </wps:spPr>
                      <wps:txbx>
                        <w:txbxContent>
                          <w:tbl>
                            <w:tblPr>
                              <w:tblW w:w="5719" w:type="dxa"/>
                              <w:jc w:val="left"/>
                              <w:tblInd w:w="0" w:type="dxa"/>
                              <w:tblCellMar>
                                <w:top w:w="0" w:type="dxa"/>
                                <w:left w:w="0" w:type="dxa"/>
                                <w:bottom w:w="0" w:type="dxa"/>
                                <w:right w:w="0" w:type="dxa"/>
                              </w:tblCellMar>
                            </w:tblPr>
                            <w:tblGrid>
                              <w:gridCol w:w="4524"/>
                              <w:gridCol w:w="1195"/>
                            </w:tblGrid>
                            <w:tr>
                              <w:trPr/>
                              <w:tc>
                                <w:tcPr>
                                  <w:tcW w:w="4524" w:type="dxa"/>
                                  <w:tcBorders/>
                                  <w:shd w:fill="auto" w:val="clear"/>
                                  <w:vAlign w:val="center"/>
                                </w:tcPr>
                                <w:p>
                                  <w:pPr>
                                    <w:pStyle w:val="TableContents"/>
                                    <w:jc w:val="left"/>
                                    <w:rPr/>
                                  </w:pPr>
                                  <w:r>
                                    <w:rPr/>
                                    <w:drawing>
                                      <wp:inline distT="76200" distB="200025" distL="0" distR="0">
                                        <wp:extent cx="1209675" cy="1209675"/>
                                        <wp:effectExtent l="0" t="0" r="0" b="0"/>
                                        <wp:docPr id="7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6" descr=""/>
                                                <pic:cNvPicPr>
                                                  <a:picLocks noChangeAspect="1" noChangeArrowheads="1"/>
                                                </pic:cNvPicPr>
                                              </pic:nvPicPr>
                                              <pic:blipFill>
                                                <a:blip r:embed="rId57"/>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2016</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68</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1195"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6/7</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Compensation Committee:</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11/12</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Technology Committee:</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4524" w:type="dxa"/>
                                  <w:tcBorders/>
                                  <w:shd w:fill="auto" w:val="clear"/>
                                  <w:vAlign w:val="center"/>
                                </w:tcPr>
                                <w:p>
                                  <w:pPr>
                                    <w:pStyle w:val="TableContents"/>
                                    <w:spacing w:before="0" w:after="283"/>
                                    <w:rPr/>
                                  </w:pPr>
                                  <w:r>
                                    <w:rPr/>
                                    <w:t> </w:t>
                                  </w:r>
                                </w:p>
                              </w:tc>
                              <w:tc>
                                <w:tcPr>
                                  <w:tcW w:w="1195"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0</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27,289</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63.2pt;mso-wrap-distance-left:0pt;mso-wrap-distance-right:0pt;mso-wrap-distance-top:0pt;mso-wrap-distance-bottom:0pt;margin-top:0pt;mso-position-vertical:top;mso-position-vertical-relative:text;margin-left:0pt;mso-position-horizontal:left;mso-position-horizontal-relative:text">
                <v:textbox>
                  <w:txbxContent>
                    <w:tbl>
                      <w:tblPr>
                        <w:tblW w:w="5719" w:type="dxa"/>
                        <w:jc w:val="left"/>
                        <w:tblInd w:w="0" w:type="dxa"/>
                        <w:tblCellMar>
                          <w:top w:w="0" w:type="dxa"/>
                          <w:left w:w="0" w:type="dxa"/>
                          <w:bottom w:w="0" w:type="dxa"/>
                          <w:right w:w="0" w:type="dxa"/>
                        </w:tblCellMar>
                      </w:tblPr>
                      <w:tblGrid>
                        <w:gridCol w:w="4524"/>
                        <w:gridCol w:w="1195"/>
                      </w:tblGrid>
                      <w:tr>
                        <w:trPr/>
                        <w:tc>
                          <w:tcPr>
                            <w:tcW w:w="4524" w:type="dxa"/>
                            <w:tcBorders/>
                            <w:shd w:fill="auto" w:val="clear"/>
                            <w:vAlign w:val="center"/>
                          </w:tcPr>
                          <w:p>
                            <w:pPr>
                              <w:pStyle w:val="TableContents"/>
                              <w:jc w:val="left"/>
                              <w:rPr/>
                            </w:pPr>
                            <w:r>
                              <w:rPr/>
                              <w:drawing>
                                <wp:inline distT="76200" distB="200025" distL="0" distR="0">
                                  <wp:extent cx="1209675" cy="1209675"/>
                                  <wp:effectExtent l="0" t="0" r="0" b="0"/>
                                  <wp:docPr id="7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6" descr=""/>
                                          <pic:cNvPicPr>
                                            <a:picLocks noChangeAspect="1" noChangeArrowheads="1"/>
                                          </pic:cNvPicPr>
                                        </pic:nvPicPr>
                                        <pic:blipFill>
                                          <a:blip r:embed="rId57"/>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2016</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68</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1195"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6/7</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Compensation Committee:</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11/12</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Technology Committee:</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4524" w:type="dxa"/>
                            <w:tcBorders/>
                            <w:shd w:fill="auto" w:val="clear"/>
                            <w:vAlign w:val="center"/>
                          </w:tcPr>
                          <w:p>
                            <w:pPr>
                              <w:pStyle w:val="TableContents"/>
                              <w:spacing w:before="0" w:after="283"/>
                              <w:rPr/>
                            </w:pPr>
                            <w:r>
                              <w:rPr/>
                              <w:t> </w:t>
                            </w:r>
                          </w:p>
                        </w:tc>
                        <w:tc>
                          <w:tcPr>
                            <w:tcW w:w="1195"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0</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27,289</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9">
                <wp:simplePos x="0" y="0"/>
                <wp:positionH relativeFrom="column">
                  <wp:align>right</wp:align>
                </wp:positionH>
                <wp:positionV relativeFrom="line">
                  <wp:posOffset>635</wp:posOffset>
                </wp:positionV>
                <wp:extent cx="4276725" cy="4175760"/>
                <wp:effectExtent l="0" t="0" r="0" b="0"/>
                <wp:wrapSquare wrapText="largest"/>
                <wp:docPr id="72" name="Frame12"/>
                <a:graphic xmlns:a="http://schemas.openxmlformats.org/drawingml/2006/main">
                  <a:graphicData uri="http://schemas.microsoft.com/office/word/2010/wordprocessingShape">
                    <wps:wsp>
                      <wps:cNvSpPr txBox="1"/>
                      <wps:spPr>
                        <a:xfrm>
                          <a:off x="0" y="0"/>
                          <a:ext cx="4276725" cy="4175760"/>
                        </a:xfrm>
                        <a:prstGeom prst="rect"/>
                      </wps:spPr>
                      <wps:txb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Professor in the departments of Pediatrics, Molecular and Human Genetics, and Neurology and Neuroscience at Baylor College of Medicine since 1994</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Director of the Jan and Dan Duncan Neurological Research Institute at Texas Children’s Hospital</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Howard Hughes Medical Institute Investigator</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Pearl Meister Greengard Prize</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March of Dimes Prize in Developmental Biology</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Vanderbilt Prize in Biomedical Science </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Scientific Society Memberships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Institute of Medicine</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American Association for the Advancement of Science</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Zoghbi’s extensive research experience and her scientific and academic career and accomplishments led to the board’s decision to nominate Dr. Zoghbi for reelection to the board.</w:t>
                                  </w:r>
                                </w:p>
                              </w:tc>
                            </w:tr>
                          </w:tbl>
                          <w:p>
                            <w:pPr>
                              <w:pStyle w:val="TextBody"/>
                              <w:spacing w:before="0" w:after="283"/>
                              <w:rPr/>
                            </w:pPr>
                            <w:r>
                              <w:rPr/>
                            </w:r>
                          </w:p>
                        </w:txbxContent>
                      </wps:txbx>
                      <wps:bodyPr anchor="t" lIns="0" tIns="0" rIns="0" bIns="0">
                        <a:noAutofit/>
                      </wps:bodyPr>
                    </wps:wsp>
                  </a:graphicData>
                </a:graphic>
                <wp14:sizeRelH relativeFrom="margin">
                  <wp14:pctWidth>66000</wp14:pctWidth>
                </wp14:sizeRelH>
              </wp:anchor>
            </w:drawing>
          </mc:Choice>
          <mc:Fallback>
            <w:pict>
              <v:rect style="position:absolute;rotation:0;width:336.75pt;height:328.8pt;mso-wrap-distance-left:0pt;mso-wrap-distance-right:0pt;mso-wrap-distance-top:0pt;mso-wrap-distance-bottom:0pt;margin-top:0pt;mso-position-vertical:top;mso-position-vertical-relative:text;margin-left:173.5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Professor in the departments of Pediatrics, Molecular and Human Genetics, and Neurology and Neuroscience at Baylor College of Medicine since 1994</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Director of the Jan and Dan Duncan Neurological Research Institute at Texas Children’s Hospital</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Howard Hughes Medical Institute Investigator</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Pearl Meister Greengard Prize</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March of Dimes Prize in Developmental Biology</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Vanderbilt Prize in Biomedical Science </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Scientific Society Memberships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Institute of Medicine</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American Association for the Advancement of Science</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Zoghbi’s extensive research experience and her scientific and academic career and accomplishments led to the board’s decision to nominate Dr. Zoghbi for reelection to the board.</w:t>
                            </w:r>
                          </w:p>
                        </w:tc>
                      </w:tr>
                    </w:tbl>
                    <w:p>
                      <w:pPr>
                        <w:pStyle w:val="TextBody"/>
                        <w:spacing w:before="0" w:after="283"/>
                        <w:rPr/>
                      </w:pPr>
                      <w:r>
                        <w:rPr/>
                      </w:r>
                    </w:p>
                  </w:txbxContent>
                </v:textbox>
                <w10:wrap type="square" side="left"/>
              </v:rect>
            </w:pict>
          </mc:Fallback>
        </mc:AlternateConten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7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7" descr=""/>
                          <pic:cNvPicPr>
                            <a:picLocks noChangeAspect="1" noChangeArrowheads="1"/>
                          </pic:cNvPicPr>
                        </pic:nvPicPr>
                        <pic:blipFill>
                          <a:blip r:embed="rId58"/>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10</w:t>
            </w:r>
          </w:p>
        </w:tc>
      </w:tr>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27" w:name="new_id-22"/>
      <w:bookmarkEnd w:id="27"/>
      <w:r>
        <w:rPr>
          <w:rFonts w:ascii="Arial" w:hAnsi="Arial"/>
          <w:b/>
          <w:i w:val="false"/>
          <w:caps w:val="false"/>
          <w:smallCaps w:val="false"/>
          <w:color w:val="D31B5D"/>
          <w:sz w:val="30"/>
          <w:bdr w:val="single" w:sz="12" w:space="2" w:color="245BA7"/>
        </w:rPr>
        <w:t xml:space="preserve">CLASS III DIRECTORS CONTINUING IN OFFICE TERM EXPIRES AT THE 2024 ANNUAL MEETING </w:t>
      </w:r>
    </w:p>
    <w:p>
      <w:pPr>
        <w:pStyle w:val="TextBody"/>
        <w:pBdr/>
        <w:spacing w:before="0" w:after="0"/>
        <w:ind w:left="135" w:right="0" w:hanging="0"/>
        <w:rPr>
          <w:rFonts w:ascii="Arial" w:hAnsi="Arial"/>
          <w:b/>
          <w:color w:val="FFFFFF"/>
          <w:sz w:val="30"/>
          <w:highlight w:val="darkBlue"/>
          <w:bdr w:val="single" w:sz="2" w:space="6" w:color="245BA7"/>
        </w:rPr>
      </w:pPr>
      <w:bookmarkStart w:id="28" w:name="new_id-23"/>
      <w:bookmarkEnd w:id="28"/>
      <w:r>
        <w:rPr>
          <w:rFonts w:ascii="Arial" w:hAnsi="Arial"/>
          <w:b/>
          <w:color w:val="FFFFFF"/>
          <w:sz w:val="30"/>
          <w:highlight w:val="darkBlue"/>
          <w:bdr w:val="single" w:sz="2" w:space="6" w:color="245BA7"/>
        </w:rPr>
        <w:t xml:space="preserve">N. ANTHONY COLES, M.D. </w:t>
      </w:r>
    </w:p>
    <w:p>
      <w:pPr>
        <w:pStyle w:val="TextBody"/>
        <w:pBdr/>
        <w:spacing w:before="0" w:after="210"/>
        <w:ind w:left="0" w:right="0" w:hanging="0"/>
        <w:rPr/>
      </w:pPr>
      <w:r>
        <w:rPr/>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1943735" cy="4432300"/>
                <wp:effectExtent l="0" t="0" r="0" b="0"/>
                <wp:wrapSquare wrapText="largest"/>
                <wp:docPr id="74" name="Frame13"/>
                <a:graphic xmlns:a="http://schemas.openxmlformats.org/drawingml/2006/main">
                  <a:graphicData uri="http://schemas.microsoft.com/office/word/2010/wordprocessingShape">
                    <wps:wsp>
                      <wps:cNvSpPr txBox="1"/>
                      <wps:spPr>
                        <a:xfrm>
                          <a:off x="0" y="0"/>
                          <a:ext cx="1943735" cy="4432300"/>
                        </a:xfrm>
                        <a:prstGeom prst="rect"/>
                      </wps:spPr>
                      <wps:txbx>
                        <w:txbxContent>
                          <w:tbl>
                            <w:tblPr>
                              <w:tblW w:w="6229" w:type="dxa"/>
                              <w:jc w:val="left"/>
                              <w:tblInd w:w="0" w:type="dxa"/>
                              <w:tblCellMar>
                                <w:top w:w="0" w:type="dxa"/>
                                <w:left w:w="0" w:type="dxa"/>
                                <w:bottom w:w="0" w:type="dxa"/>
                                <w:right w:w="0" w:type="dxa"/>
                              </w:tblCellMar>
                            </w:tblPr>
                            <w:tblGrid>
                              <w:gridCol w:w="4943"/>
                              <w:gridCol w:w="1286"/>
                            </w:tblGrid>
                            <w:tr>
                              <w:trPr/>
                              <w:tc>
                                <w:tcPr>
                                  <w:tcW w:w="4943" w:type="dxa"/>
                                  <w:tcBorders/>
                                  <w:shd w:fill="auto" w:val="clear"/>
                                  <w:vAlign w:val="center"/>
                                </w:tcPr>
                                <w:p>
                                  <w:pPr>
                                    <w:pStyle w:val="TableContents"/>
                                    <w:jc w:val="left"/>
                                    <w:rPr/>
                                  </w:pPr>
                                  <w:r>
                                    <w:rPr/>
                                    <w:drawing>
                                      <wp:inline distT="76200" distB="200025" distL="0" distR="0">
                                        <wp:extent cx="1209675" cy="1209675"/>
                                        <wp:effectExtent l="0" t="0" r="0" b="0"/>
                                        <wp:docPr id="7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8" descr=""/>
                                                <pic:cNvPicPr>
                                                  <a:picLocks noChangeAspect="1" noChangeArrowheads="1"/>
                                                </pic:cNvPicPr>
                                              </pic:nvPicPr>
                                              <pic:blipFill>
                                                <a:blip r:embed="rId59"/>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2017</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62</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1286" w:type="dxa"/>
                                  <w:tcBorders/>
                                  <w:shd w:fill="auto" w:val="clear"/>
                                  <w:vAlign w:val="center"/>
                                </w:tcPr>
                                <w:p>
                                  <w:pPr>
                                    <w:pStyle w:val="TableContents"/>
                                    <w:pBdr/>
                                    <w:spacing w:before="0" w:after="45"/>
                                    <w:ind w:left="0" w:right="0" w:hanging="0"/>
                                    <w:rPr>
                                      <w:color w:val="245BA7"/>
                                    </w:rPr>
                                  </w:pPr>
                                  <w:r>
                                    <w:rPr>
                                      <w:color w:val="245BA7"/>
                                    </w:rPr>
                                    <w:t> </w:t>
                                  </w:r>
                                </w:p>
                              </w:tc>
                            </w:tr>
                            <w:tr>
                              <w:trPr/>
                              <w:tc>
                                <w:tcPr>
                                  <w:tcW w:w="622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4943"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1286"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6/7</w:t>
                                  </w:r>
                                </w:p>
                              </w:tc>
                            </w:tr>
                            <w:tr>
                              <w:trPr/>
                              <w:tc>
                                <w:tcPr>
                                  <w:tcW w:w="4943"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Audit Committee:</w:t>
                                  </w:r>
                                </w:p>
                              </w:tc>
                              <w:tc>
                                <w:tcPr>
                                  <w:tcW w:w="1286"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8/9</w:t>
                                  </w:r>
                                </w:p>
                              </w:tc>
                            </w:tr>
                            <w:tr>
                              <w:trPr/>
                              <w:tc>
                                <w:tcPr>
                                  <w:tcW w:w="4943"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rPr/>
                                  </w:pPr>
                                  <w:r>
                                    <w:rPr/>
                                    <w:t> </w:t>
                                  </w:r>
                                </w:p>
                              </w:tc>
                            </w:tr>
                            <w:tr>
                              <w:trPr/>
                              <w:tc>
                                <w:tcPr>
                                  <w:tcW w:w="622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Common Stock Beneficially Owned as of April 11, 2023</w:t>
                                  </w:r>
                                </w:p>
                              </w:tc>
                            </w:tr>
                            <w:tr>
                              <w:trPr/>
                              <w:tc>
                                <w:tcPr>
                                  <w:tcW w:w="4943"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1286"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w:t>
                                  </w:r>
                                </w:p>
                              </w:tc>
                            </w:tr>
                            <w:tr>
                              <w:trPr/>
                              <w:tc>
                                <w:tcPr>
                                  <w:tcW w:w="4943"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1286"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3,537</w:t>
                                  </w:r>
                                </w:p>
                              </w:tc>
                            </w:tr>
                            <w:tr>
                              <w:trPr/>
                              <w:tc>
                                <w:tcPr>
                                  <w:tcW w:w="4943"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1286"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49pt;mso-wrap-distance-left:0pt;mso-wrap-distance-right:0pt;mso-wrap-distance-top:0pt;mso-wrap-distance-bottom:0pt;margin-top:0pt;mso-position-vertical:top;mso-position-vertical-relative:text;margin-left:0pt;mso-position-horizontal:left;mso-position-horizontal-relative:text">
                <v:textbox>
                  <w:txbxContent>
                    <w:tbl>
                      <w:tblPr>
                        <w:tblW w:w="6229" w:type="dxa"/>
                        <w:jc w:val="left"/>
                        <w:tblInd w:w="0" w:type="dxa"/>
                        <w:tblCellMar>
                          <w:top w:w="0" w:type="dxa"/>
                          <w:left w:w="0" w:type="dxa"/>
                          <w:bottom w:w="0" w:type="dxa"/>
                          <w:right w:w="0" w:type="dxa"/>
                        </w:tblCellMar>
                      </w:tblPr>
                      <w:tblGrid>
                        <w:gridCol w:w="4943"/>
                        <w:gridCol w:w="1286"/>
                      </w:tblGrid>
                      <w:tr>
                        <w:trPr/>
                        <w:tc>
                          <w:tcPr>
                            <w:tcW w:w="4943" w:type="dxa"/>
                            <w:tcBorders/>
                            <w:shd w:fill="auto" w:val="clear"/>
                            <w:vAlign w:val="center"/>
                          </w:tcPr>
                          <w:p>
                            <w:pPr>
                              <w:pStyle w:val="TableContents"/>
                              <w:jc w:val="left"/>
                              <w:rPr/>
                            </w:pPr>
                            <w:r>
                              <w:rPr/>
                              <w:drawing>
                                <wp:inline distT="76200" distB="200025" distL="0" distR="0">
                                  <wp:extent cx="1209675" cy="1209675"/>
                                  <wp:effectExtent l="0" t="0" r="0" b="0"/>
                                  <wp:docPr id="7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8" descr=""/>
                                          <pic:cNvPicPr>
                                            <a:picLocks noChangeAspect="1" noChangeArrowheads="1"/>
                                          </pic:cNvPicPr>
                                        </pic:nvPicPr>
                                        <pic:blipFill>
                                          <a:blip r:embed="rId59"/>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2017</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62</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1286" w:type="dxa"/>
                            <w:tcBorders/>
                            <w:shd w:fill="auto" w:val="clear"/>
                            <w:vAlign w:val="center"/>
                          </w:tcPr>
                          <w:p>
                            <w:pPr>
                              <w:pStyle w:val="TableContents"/>
                              <w:pBdr/>
                              <w:spacing w:before="0" w:after="45"/>
                              <w:ind w:left="0" w:right="0" w:hanging="0"/>
                              <w:rPr>
                                <w:color w:val="245BA7"/>
                              </w:rPr>
                            </w:pPr>
                            <w:r>
                              <w:rPr>
                                <w:color w:val="245BA7"/>
                              </w:rPr>
                              <w:t> </w:t>
                            </w:r>
                          </w:p>
                        </w:tc>
                      </w:tr>
                      <w:tr>
                        <w:trPr/>
                        <w:tc>
                          <w:tcPr>
                            <w:tcW w:w="622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4943"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1286"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6/7</w:t>
                            </w:r>
                          </w:p>
                        </w:tc>
                      </w:tr>
                      <w:tr>
                        <w:trPr/>
                        <w:tc>
                          <w:tcPr>
                            <w:tcW w:w="4943"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Audit Committee:</w:t>
                            </w:r>
                          </w:p>
                        </w:tc>
                        <w:tc>
                          <w:tcPr>
                            <w:tcW w:w="1286"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8/9</w:t>
                            </w:r>
                          </w:p>
                        </w:tc>
                      </w:tr>
                      <w:tr>
                        <w:trPr/>
                        <w:tc>
                          <w:tcPr>
                            <w:tcW w:w="4943"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rPr/>
                            </w:pPr>
                            <w:r>
                              <w:rPr/>
                              <w:t> </w:t>
                            </w:r>
                          </w:p>
                        </w:tc>
                      </w:tr>
                      <w:tr>
                        <w:trPr/>
                        <w:tc>
                          <w:tcPr>
                            <w:tcW w:w="622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Common Stock Beneficially Owned as of April 11, 2023</w:t>
                            </w:r>
                          </w:p>
                        </w:tc>
                      </w:tr>
                      <w:tr>
                        <w:trPr/>
                        <w:tc>
                          <w:tcPr>
                            <w:tcW w:w="4943"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1286"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w:t>
                            </w:r>
                          </w:p>
                        </w:tc>
                      </w:tr>
                      <w:tr>
                        <w:trPr/>
                        <w:tc>
                          <w:tcPr>
                            <w:tcW w:w="4943"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1286"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3,537</w:t>
                            </w:r>
                          </w:p>
                        </w:tc>
                      </w:tr>
                      <w:tr>
                        <w:trPr/>
                        <w:tc>
                          <w:tcPr>
                            <w:tcW w:w="4943"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1286"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0">
                <wp:simplePos x="0" y="0"/>
                <wp:positionH relativeFrom="column">
                  <wp:align>right</wp:align>
                </wp:positionH>
                <wp:positionV relativeFrom="line">
                  <wp:posOffset>635</wp:posOffset>
                </wp:positionV>
                <wp:extent cx="4276725" cy="4615180"/>
                <wp:effectExtent l="0" t="0" r="0" b="0"/>
                <wp:wrapSquare wrapText="largest"/>
                <wp:docPr id="77" name="Frame14"/>
                <a:graphic xmlns:a="http://schemas.openxmlformats.org/drawingml/2006/main">
                  <a:graphicData uri="http://schemas.microsoft.com/office/word/2010/wordprocessingShape">
                    <wps:wsp>
                      <wps:cNvSpPr txBox="1"/>
                      <wps:spPr>
                        <a:xfrm>
                          <a:off x="0" y="0"/>
                          <a:ext cx="4276725" cy="4615180"/>
                        </a:xfrm>
                        <a:prstGeom prst="rect"/>
                      </wps:spPr>
                      <wps:txb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President and Chief Executive Officer since 2019 and Chair since 2018 of Cerevel Therapeutics Holdings, Inc., the parent entity of Cerevel Therapeutics, Inc.</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Chair and CEO of TRATE Enterprises LLC, a privately-held company, since 2013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Former Chief Executive Officer and Chair of the Board of Yumanity Therapeutics, Inc.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President, Chief Executive Officer and Chair of the Board of Onyx Pharmaceuticals, Inc.</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President, Chief Executive Officer, and member of the board of directors of NPS Pharmaceuticals, Inc.</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Previously held various leadership positions in the biopharmaceutical and pharmaceutical industries, including at Merck &amp; Co., Inc., Bristol-Myers Squibb Company, and Vertex Pharmaceuticals Incorporated</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director of Laboratory Corporation of America Holdings, Campus Crest Communities, Inc., CRISPR Therapeutics AG, and McKesson Corporation</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Other Public Boards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Cerevel Therapeutics Holdings, Inc.</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Coles’s experience as a seasoned executive and corporate director with extensive knowledge of highly regulated biopharmaceutical and pharmaceutical companies, as well as his in-depth knowledge and understanding of the regulatory environment in which Regeneron operates, led the board to conclude that Dr. Coles should serve as a director.</w:t>
                                  </w:r>
                                </w:p>
                              </w:tc>
                            </w:tr>
                          </w:tbl>
                          <w:p>
                            <w:pPr>
                              <w:pStyle w:val="TextBody"/>
                              <w:spacing w:before="0" w:after="283"/>
                              <w:rPr/>
                            </w:pPr>
                            <w:r>
                              <w:rPr/>
                            </w:r>
                          </w:p>
                        </w:txbxContent>
                      </wps:txbx>
                      <wps:bodyPr anchor="t" lIns="0" tIns="0" rIns="0" bIns="0">
                        <a:noAutofit/>
                      </wps:bodyPr>
                    </wps:wsp>
                  </a:graphicData>
                </a:graphic>
                <wp14:sizeRelH relativeFrom="margin">
                  <wp14:pctWidth>66000</wp14:pctWidth>
                </wp14:sizeRelH>
              </wp:anchor>
            </w:drawing>
          </mc:Choice>
          <mc:Fallback>
            <w:pict>
              <v:rect style="position:absolute;rotation:0;width:336.75pt;height:363.4pt;mso-wrap-distance-left:0pt;mso-wrap-distance-right:0pt;mso-wrap-distance-top:0pt;mso-wrap-distance-bottom:0pt;margin-top:0pt;mso-position-vertical:top;mso-position-vertical-relative:text;margin-left:173.5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President and Chief Executive Officer since 2019 and Chair since 2018 of Cerevel Therapeutics Holdings, Inc., the parent entity of Cerevel Therapeutics, Inc.</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Chair and CEO of TRATE Enterprises LLC, a privately-held company, since 2013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Former Chief Executive Officer and Chair of the Board of Yumanity Therapeutics, Inc.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President, Chief Executive Officer and Chair of the Board of Onyx Pharmaceuticals, Inc.</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President, Chief Executive Officer, and member of the board of directors of NPS Pharmaceuticals, Inc.</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Previously held various leadership positions in the biopharmaceutical and pharmaceutical industries, including at Merck &amp; Co., Inc., Bristol-Myers Squibb Company, and Vertex Pharmaceuticals Incorporated</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director of Laboratory Corporation of America Holdings, Campus Crest Communities, Inc., CRISPR Therapeutics AG, and McKesson Corporation</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Other Public Boards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Cerevel Therapeutics Holdings, Inc.</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Coles’s experience as a seasoned executive and corporate director with extensive knowledge of highly regulated biopharmaceutical and pharmaceutical companies, as well as his in-depth knowledge and understanding of the regulatory environment in which Regeneron operates, led the board to conclude that Dr. Coles should serve as a director.</w:t>
                            </w:r>
                          </w:p>
                        </w:tc>
                      </w:tr>
                    </w:tbl>
                    <w:p>
                      <w:pPr>
                        <w:pStyle w:val="TextBody"/>
                        <w:spacing w:before="0" w:after="283"/>
                        <w:rPr/>
                      </w:pPr>
                      <w:r>
                        <w:rPr/>
                      </w:r>
                    </w:p>
                  </w:txbxContent>
                </v:textbox>
                <w10:wrap type="square" side="left"/>
              </v:rect>
            </w:pict>
          </mc:Fallback>
        </mc:AlternateConten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7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9" descr=""/>
                          <pic:cNvPicPr>
                            <a:picLocks noChangeAspect="1" noChangeArrowheads="1"/>
                          </pic:cNvPicPr>
                        </pic:nvPicPr>
                        <pic:blipFill>
                          <a:blip r:embed="rId60"/>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11</w:t>
            </w:r>
          </w:p>
        </w:tc>
      </w:tr>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0"/>
        <w:ind w:left="135" w:right="0" w:hanging="0"/>
        <w:rPr>
          <w:rFonts w:ascii="Arial" w:hAnsi="Arial"/>
          <w:b/>
          <w:color w:val="FFFFFF"/>
          <w:sz w:val="30"/>
          <w:highlight w:val="darkBlue"/>
          <w:bdr w:val="single" w:sz="2" w:space="6" w:color="245BA7"/>
        </w:rPr>
      </w:pPr>
      <w:bookmarkStart w:id="29" w:name="new_id-24"/>
      <w:bookmarkEnd w:id="29"/>
      <w:r>
        <w:rPr>
          <w:rFonts w:ascii="Arial" w:hAnsi="Arial"/>
          <w:b/>
          <w:color w:val="FFFFFF"/>
          <w:sz w:val="30"/>
          <w:highlight w:val="darkBlue"/>
          <w:bdr w:val="single" w:sz="2" w:space="6" w:color="245BA7"/>
        </w:rPr>
        <w:t xml:space="preserve">ARTHUR F. RYAN </w:t>
      </w:r>
    </w:p>
    <w:p>
      <w:pPr>
        <w:pStyle w:val="TextBody"/>
        <w:pBdr/>
        <w:spacing w:before="0" w:after="210"/>
        <w:ind w:left="0" w:right="0" w:hanging="0"/>
        <w:rPr/>
      </w:pPr>
      <w:r>
        <w:rPr/>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1943735" cy="4612640"/>
                <wp:effectExtent l="0" t="0" r="0" b="0"/>
                <wp:wrapSquare wrapText="largest"/>
                <wp:docPr id="79" name="Frame15"/>
                <a:graphic xmlns:a="http://schemas.openxmlformats.org/drawingml/2006/main">
                  <a:graphicData uri="http://schemas.microsoft.com/office/word/2010/wordprocessingShape">
                    <wps:wsp>
                      <wps:cNvSpPr txBox="1"/>
                      <wps:spPr>
                        <a:xfrm>
                          <a:off x="0" y="0"/>
                          <a:ext cx="1943735" cy="4612640"/>
                        </a:xfrm>
                        <a:prstGeom prst="rect"/>
                      </wps:spPr>
                      <wps:txbx>
                        <w:txbxContent>
                          <w:tbl>
                            <w:tblPr>
                              <w:tblW w:w="5815" w:type="dxa"/>
                              <w:jc w:val="left"/>
                              <w:tblInd w:w="0" w:type="dxa"/>
                              <w:tblCellMar>
                                <w:top w:w="0" w:type="dxa"/>
                                <w:left w:w="0" w:type="dxa"/>
                                <w:bottom w:w="0" w:type="dxa"/>
                                <w:right w:w="0" w:type="dxa"/>
                              </w:tblCellMar>
                            </w:tblPr>
                            <w:tblGrid>
                              <w:gridCol w:w="5195"/>
                              <w:gridCol w:w="620"/>
                            </w:tblGrid>
                            <w:tr>
                              <w:trPr/>
                              <w:tc>
                                <w:tcPr>
                                  <w:tcW w:w="5195" w:type="dxa"/>
                                  <w:tcBorders/>
                                  <w:shd w:fill="auto" w:val="clear"/>
                                  <w:vAlign w:val="center"/>
                                </w:tcPr>
                                <w:p>
                                  <w:pPr>
                                    <w:pStyle w:val="TableContents"/>
                                    <w:jc w:val="left"/>
                                    <w:rPr/>
                                  </w:pPr>
                                  <w:r>
                                    <w:rPr/>
                                    <w:drawing>
                                      <wp:inline distT="76200" distB="200025" distL="0" distR="0">
                                        <wp:extent cx="1209675" cy="1209675"/>
                                        <wp:effectExtent l="0" t="0" r="0" b="0"/>
                                        <wp:docPr id="8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0" descr=""/>
                                                <pic:cNvPicPr>
                                                  <a:picLocks noChangeAspect="1" noChangeArrowheads="1"/>
                                                </pic:cNvPicPr>
                                              </pic:nvPicPr>
                                              <pic:blipFill>
                                                <a:blip r:embed="rId61"/>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2003</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80</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620"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815"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5195"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 (Presiding Director):</w:t>
                                  </w:r>
                                </w:p>
                              </w:tc>
                              <w:tc>
                                <w:tcPr>
                                  <w:tcW w:w="62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5195"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Audit Committee:</w:t>
                                  </w:r>
                                </w:p>
                              </w:tc>
                              <w:tc>
                                <w:tcPr>
                                  <w:tcW w:w="62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9/9</w:t>
                                  </w:r>
                                </w:p>
                              </w:tc>
                            </w:tr>
                            <w:tr>
                              <w:trPr/>
                              <w:tc>
                                <w:tcPr>
                                  <w:tcW w:w="5195"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Corporate Governance and Compliance Committee (Chair): </w:t>
                                  </w:r>
                                </w:p>
                              </w:tc>
                              <w:tc>
                                <w:tcPr>
                                  <w:tcW w:w="62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5/5</w:t>
                                  </w:r>
                                </w:p>
                              </w:tc>
                            </w:tr>
                            <w:tr>
                              <w:trPr/>
                              <w:tc>
                                <w:tcPr>
                                  <w:tcW w:w="5195"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r>
                            <w:tr>
                              <w:trPr/>
                              <w:tc>
                                <w:tcPr>
                                  <w:tcW w:w="5815"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5195"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62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17,800</w:t>
                                  </w:r>
                                </w:p>
                              </w:tc>
                            </w:tr>
                            <w:tr>
                              <w:trPr/>
                              <w:tc>
                                <w:tcPr>
                                  <w:tcW w:w="5195"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62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3,537</w:t>
                                  </w:r>
                                </w:p>
                              </w:tc>
                            </w:tr>
                            <w:tr>
                              <w:trPr/>
                              <w:tc>
                                <w:tcPr>
                                  <w:tcW w:w="5195"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RSUs: </w:t>
                                  </w:r>
                                </w:p>
                              </w:tc>
                              <w:tc>
                                <w:tcPr>
                                  <w:tcW w:w="62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63.2pt;mso-wrap-distance-left:0pt;mso-wrap-distance-right:0pt;mso-wrap-distance-top:0pt;mso-wrap-distance-bottom:0pt;margin-top:0pt;mso-position-vertical:top;mso-position-vertical-relative:text;margin-left:0pt;mso-position-horizontal:left;mso-position-horizontal-relative:text">
                <v:textbox>
                  <w:txbxContent>
                    <w:tbl>
                      <w:tblPr>
                        <w:tblW w:w="5815" w:type="dxa"/>
                        <w:jc w:val="left"/>
                        <w:tblInd w:w="0" w:type="dxa"/>
                        <w:tblCellMar>
                          <w:top w:w="0" w:type="dxa"/>
                          <w:left w:w="0" w:type="dxa"/>
                          <w:bottom w:w="0" w:type="dxa"/>
                          <w:right w:w="0" w:type="dxa"/>
                        </w:tblCellMar>
                      </w:tblPr>
                      <w:tblGrid>
                        <w:gridCol w:w="5195"/>
                        <w:gridCol w:w="620"/>
                      </w:tblGrid>
                      <w:tr>
                        <w:trPr/>
                        <w:tc>
                          <w:tcPr>
                            <w:tcW w:w="5195" w:type="dxa"/>
                            <w:tcBorders/>
                            <w:shd w:fill="auto" w:val="clear"/>
                            <w:vAlign w:val="center"/>
                          </w:tcPr>
                          <w:p>
                            <w:pPr>
                              <w:pStyle w:val="TableContents"/>
                              <w:jc w:val="left"/>
                              <w:rPr/>
                            </w:pPr>
                            <w:r>
                              <w:rPr/>
                              <w:drawing>
                                <wp:inline distT="76200" distB="200025" distL="0" distR="0">
                                  <wp:extent cx="1209675" cy="1209675"/>
                                  <wp:effectExtent l="0" t="0" r="0" b="0"/>
                                  <wp:docPr id="8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0" descr=""/>
                                          <pic:cNvPicPr>
                                            <a:picLocks noChangeAspect="1" noChangeArrowheads="1"/>
                                          </pic:cNvPicPr>
                                        </pic:nvPicPr>
                                        <pic:blipFill>
                                          <a:blip r:embed="rId61"/>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2003</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80</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620"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815"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5195"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 (Presiding Director):</w:t>
                            </w:r>
                          </w:p>
                        </w:tc>
                        <w:tc>
                          <w:tcPr>
                            <w:tcW w:w="62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5195"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Audit Committee:</w:t>
                            </w:r>
                          </w:p>
                        </w:tc>
                        <w:tc>
                          <w:tcPr>
                            <w:tcW w:w="62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9/9</w:t>
                            </w:r>
                          </w:p>
                        </w:tc>
                      </w:tr>
                      <w:tr>
                        <w:trPr/>
                        <w:tc>
                          <w:tcPr>
                            <w:tcW w:w="5195"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Corporate Governance and Compliance Committee (Chair): </w:t>
                            </w:r>
                          </w:p>
                        </w:tc>
                        <w:tc>
                          <w:tcPr>
                            <w:tcW w:w="62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5/5</w:t>
                            </w:r>
                          </w:p>
                        </w:tc>
                      </w:tr>
                      <w:tr>
                        <w:trPr/>
                        <w:tc>
                          <w:tcPr>
                            <w:tcW w:w="5195"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r>
                      <w:tr>
                        <w:trPr/>
                        <w:tc>
                          <w:tcPr>
                            <w:tcW w:w="5815"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5195"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62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17,800</w:t>
                            </w:r>
                          </w:p>
                        </w:tc>
                      </w:tr>
                      <w:tr>
                        <w:trPr/>
                        <w:tc>
                          <w:tcPr>
                            <w:tcW w:w="5195"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62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3,537</w:t>
                            </w:r>
                          </w:p>
                        </w:tc>
                      </w:tr>
                      <w:tr>
                        <w:trPr/>
                        <w:tc>
                          <w:tcPr>
                            <w:tcW w:w="5195"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RSUs: </w:t>
                            </w:r>
                          </w:p>
                        </w:tc>
                        <w:tc>
                          <w:tcPr>
                            <w:tcW w:w="62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4">
                <wp:simplePos x="0" y="0"/>
                <wp:positionH relativeFrom="column">
                  <wp:align>right</wp:align>
                </wp:positionH>
                <wp:positionV relativeFrom="line">
                  <wp:posOffset>635</wp:posOffset>
                </wp:positionV>
                <wp:extent cx="4276725" cy="2557780"/>
                <wp:effectExtent l="0" t="0" r="0" b="0"/>
                <wp:wrapSquare wrapText="largest"/>
                <wp:docPr id="82" name="Frame16"/>
                <a:graphic xmlns:a="http://schemas.openxmlformats.org/drawingml/2006/main">
                  <a:graphicData uri="http://schemas.microsoft.com/office/word/2010/wordprocessingShape">
                    <wps:wsp>
                      <wps:cNvSpPr txBox="1"/>
                      <wps:spPr>
                        <a:xfrm>
                          <a:off x="0" y="0"/>
                          <a:ext cx="4276725" cy="2557780"/>
                        </a:xfrm>
                        <a:prstGeom prst="rect"/>
                      </wps:spPr>
                      <wps:txb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Chief Executive Officer and Chair of the Board of Prudential Financial, Inc.</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President and Chief Operating Officer of Chase Manhattan Bank from 1990 to 1994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Managed Chase’s worldwide retail bank between 1984 and 1990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Non-executive director of the Royal Bank of Scotland Group plc from 2008 to 2013</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Director of Citizens Financial Group, Inc. from 2009 to 2019</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Mr. Ryan’s substantial leadership experience as a chief executive officer of leading companies in the banking and insurance industries, and his extensive business experience and financial expertise, led the board to conclude that Mr. Ryan should serve as a director.</w:t>
                                  </w:r>
                                </w:p>
                              </w:tc>
                            </w:tr>
                          </w:tbl>
                          <w:p>
                            <w:pPr>
                              <w:pStyle w:val="TextBody"/>
                              <w:spacing w:before="0" w:after="283"/>
                              <w:rPr/>
                            </w:pPr>
                            <w:r>
                              <w:rPr/>
                            </w:r>
                          </w:p>
                        </w:txbxContent>
                      </wps:txbx>
                      <wps:bodyPr anchor="t" lIns="0" tIns="0" rIns="0" bIns="0">
                        <a:noAutofit/>
                      </wps:bodyPr>
                    </wps:wsp>
                  </a:graphicData>
                </a:graphic>
                <wp14:sizeRelH relativeFrom="margin">
                  <wp14:pctWidth>66000</wp14:pctWidth>
                </wp14:sizeRelH>
              </wp:anchor>
            </w:drawing>
          </mc:Choice>
          <mc:Fallback>
            <w:pict>
              <v:rect style="position:absolute;rotation:0;width:336.75pt;height:201.4pt;mso-wrap-distance-left:0pt;mso-wrap-distance-right:0pt;mso-wrap-distance-top:0pt;mso-wrap-distance-bottom:0pt;margin-top:0pt;mso-position-vertical:top;mso-position-vertical-relative:text;margin-left:173.5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Chief Executive Officer and Chair of the Board of Prudential Financial, Inc.</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President and Chief Operating Officer of Chase Manhattan Bank from 1990 to 1994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Managed Chase’s worldwide retail bank between 1984 and 1990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Non-executive director of the Royal Bank of Scotland Group plc from 2008 to 2013</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Director of Citizens Financial Group, Inc. from 2009 to 2019</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Mr. Ryan’s substantial leadership experience as a chief executive officer of leading companies in the banking and insurance industries, and his extensive business experience and financial expertise, led the board to conclude that Mr. Ryan should serve as a director.</w:t>
                            </w:r>
                          </w:p>
                        </w:tc>
                      </w:tr>
                    </w:tbl>
                    <w:p>
                      <w:pPr>
                        <w:pStyle w:val="TextBody"/>
                        <w:spacing w:before="0" w:after="283"/>
                        <w:rPr/>
                      </w:pPr>
                      <w:r>
                        <w:rPr/>
                      </w:r>
                    </w:p>
                  </w:txbxContent>
                </v:textbox>
                <w10:wrap type="square" side="left"/>
              </v:rect>
            </w:pict>
          </mc:Fallback>
        </mc:AlternateConten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8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1" descr=""/>
                          <pic:cNvPicPr>
                            <a:picLocks noChangeAspect="1" noChangeArrowheads="1"/>
                          </pic:cNvPicPr>
                        </pic:nvPicPr>
                        <pic:blipFill>
                          <a:blip r:embed="rId62"/>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12</w:t>
            </w:r>
          </w:p>
        </w:tc>
      </w:tr>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0"/>
        <w:ind w:left="135" w:right="0" w:hanging="0"/>
        <w:rPr>
          <w:rFonts w:ascii="Arial" w:hAnsi="Arial"/>
          <w:b/>
          <w:color w:val="FFFFFF"/>
          <w:sz w:val="30"/>
          <w:highlight w:val="darkBlue"/>
          <w:bdr w:val="single" w:sz="2" w:space="6" w:color="245BA7"/>
        </w:rPr>
      </w:pPr>
      <w:bookmarkStart w:id="30" w:name="new_id-25"/>
      <w:bookmarkEnd w:id="30"/>
      <w:r>
        <w:rPr>
          <w:rFonts w:ascii="Arial" w:hAnsi="Arial"/>
          <w:b/>
          <w:color w:val="FFFFFF"/>
          <w:sz w:val="30"/>
          <w:highlight w:val="darkBlue"/>
          <w:bdr w:val="single" w:sz="2" w:space="6" w:color="245BA7"/>
        </w:rPr>
        <w:t xml:space="preserve">GEORGE L. SING </w:t>
      </w:r>
    </w:p>
    <w:p>
      <w:pPr>
        <w:pStyle w:val="TextBody"/>
        <w:pBdr/>
        <w:spacing w:before="0" w:after="210"/>
        <w:ind w:left="0" w:right="0" w:hanging="0"/>
        <w:rPr/>
      </w:pPr>
      <w:r>
        <w:rPr/>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1943735" cy="4612640"/>
                <wp:effectExtent l="0" t="0" r="0" b="0"/>
                <wp:wrapSquare wrapText="largest"/>
                <wp:docPr id="84" name="Frame17"/>
                <a:graphic xmlns:a="http://schemas.openxmlformats.org/drawingml/2006/main">
                  <a:graphicData uri="http://schemas.microsoft.com/office/word/2010/wordprocessingShape">
                    <wps:wsp>
                      <wps:cNvSpPr txBox="1"/>
                      <wps:spPr>
                        <a:xfrm>
                          <a:off x="0" y="0"/>
                          <a:ext cx="1943735" cy="4612640"/>
                        </a:xfrm>
                        <a:prstGeom prst="rect"/>
                      </wps:spPr>
                      <wps:txbx>
                        <w:txbxContent>
                          <w:tbl>
                            <w:tblPr>
                              <w:tblW w:w="5719" w:type="dxa"/>
                              <w:jc w:val="left"/>
                              <w:tblInd w:w="0" w:type="dxa"/>
                              <w:tblCellMar>
                                <w:top w:w="0" w:type="dxa"/>
                                <w:left w:w="0" w:type="dxa"/>
                                <w:bottom w:w="0" w:type="dxa"/>
                                <w:right w:w="0" w:type="dxa"/>
                              </w:tblCellMar>
                            </w:tblPr>
                            <w:tblGrid>
                              <w:gridCol w:w="4524"/>
                              <w:gridCol w:w="1195"/>
                            </w:tblGrid>
                            <w:tr>
                              <w:trPr/>
                              <w:tc>
                                <w:tcPr>
                                  <w:tcW w:w="4524" w:type="dxa"/>
                                  <w:tcBorders/>
                                  <w:shd w:fill="auto" w:val="clear"/>
                                  <w:vAlign w:val="center"/>
                                </w:tcPr>
                                <w:p>
                                  <w:pPr>
                                    <w:pStyle w:val="TableContents"/>
                                    <w:jc w:val="left"/>
                                    <w:rPr/>
                                  </w:pPr>
                                  <w:r>
                                    <w:rPr/>
                                    <w:drawing>
                                      <wp:inline distT="76200" distB="200025" distL="0" distR="0">
                                        <wp:extent cx="1209675" cy="1209675"/>
                                        <wp:effectExtent l="0" t="0" r="0" b="0"/>
                                        <wp:docPr id="8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2" descr=""/>
                                                <pic:cNvPicPr>
                                                  <a:picLocks noChangeAspect="1" noChangeArrowheads="1"/>
                                                </pic:cNvPicPr>
                                              </pic:nvPicPr>
                                              <pic:blipFill>
                                                <a:blip r:embed="rId63"/>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1988</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73</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1195"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Audit Committee (Chair): </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9/9</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Compensation Committee:</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12/12</w:t>
                                  </w:r>
                                </w:p>
                              </w:tc>
                            </w:tr>
                            <w:tr>
                              <w:trPr/>
                              <w:tc>
                                <w:tcPr>
                                  <w:tcW w:w="4524" w:type="dxa"/>
                                  <w:tcBorders/>
                                  <w:shd w:fill="auto" w:val="clear"/>
                                  <w:vAlign w:val="center"/>
                                </w:tcPr>
                                <w:p>
                                  <w:pPr>
                                    <w:pStyle w:val="TableContents"/>
                                    <w:spacing w:before="0" w:after="283"/>
                                    <w:rPr/>
                                  </w:pPr>
                                  <w:r>
                                    <w:rPr/>
                                    <w:t> </w:t>
                                  </w:r>
                                </w:p>
                              </w:tc>
                              <w:tc>
                                <w:tcPr>
                                  <w:tcW w:w="1195"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27,117</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50,614</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63.2pt;mso-wrap-distance-left:0pt;mso-wrap-distance-right:0pt;mso-wrap-distance-top:0pt;mso-wrap-distance-bottom:0pt;margin-top:0pt;mso-position-vertical:top;mso-position-vertical-relative:text;margin-left:0pt;mso-position-horizontal:left;mso-position-horizontal-relative:text">
                <v:textbox>
                  <w:txbxContent>
                    <w:tbl>
                      <w:tblPr>
                        <w:tblW w:w="5719" w:type="dxa"/>
                        <w:jc w:val="left"/>
                        <w:tblInd w:w="0" w:type="dxa"/>
                        <w:tblCellMar>
                          <w:top w:w="0" w:type="dxa"/>
                          <w:left w:w="0" w:type="dxa"/>
                          <w:bottom w:w="0" w:type="dxa"/>
                          <w:right w:w="0" w:type="dxa"/>
                        </w:tblCellMar>
                      </w:tblPr>
                      <w:tblGrid>
                        <w:gridCol w:w="4524"/>
                        <w:gridCol w:w="1195"/>
                      </w:tblGrid>
                      <w:tr>
                        <w:trPr/>
                        <w:tc>
                          <w:tcPr>
                            <w:tcW w:w="4524" w:type="dxa"/>
                            <w:tcBorders/>
                            <w:shd w:fill="auto" w:val="clear"/>
                            <w:vAlign w:val="center"/>
                          </w:tcPr>
                          <w:p>
                            <w:pPr>
                              <w:pStyle w:val="TableContents"/>
                              <w:jc w:val="left"/>
                              <w:rPr/>
                            </w:pPr>
                            <w:r>
                              <w:rPr/>
                              <w:drawing>
                                <wp:inline distT="76200" distB="200025" distL="0" distR="0">
                                  <wp:extent cx="1209675" cy="1209675"/>
                                  <wp:effectExtent l="0" t="0" r="0" b="0"/>
                                  <wp:docPr id="8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2" descr=""/>
                                          <pic:cNvPicPr>
                                            <a:picLocks noChangeAspect="1" noChangeArrowheads="1"/>
                                          </pic:cNvPicPr>
                                        </pic:nvPicPr>
                                        <pic:blipFill>
                                          <a:blip r:embed="rId63"/>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1988</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73</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1195"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Audit Committee (Chair): </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9/9</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Compensation Committee:</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12/12</w:t>
                            </w:r>
                          </w:p>
                        </w:tc>
                      </w:tr>
                      <w:tr>
                        <w:trPr/>
                        <w:tc>
                          <w:tcPr>
                            <w:tcW w:w="4524" w:type="dxa"/>
                            <w:tcBorders/>
                            <w:shd w:fill="auto" w:val="clear"/>
                            <w:vAlign w:val="center"/>
                          </w:tcPr>
                          <w:p>
                            <w:pPr>
                              <w:pStyle w:val="TableContents"/>
                              <w:spacing w:before="0" w:after="283"/>
                              <w:rPr/>
                            </w:pPr>
                            <w:r>
                              <w:rPr/>
                              <w:t> </w:t>
                            </w:r>
                          </w:p>
                        </w:tc>
                        <w:tc>
                          <w:tcPr>
                            <w:tcW w:w="1195"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27,117</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50,614</w:t>
                            </w:r>
                          </w:p>
                        </w:tc>
                      </w:tr>
                      <w:tr>
                        <w:trPr/>
                        <w:tc>
                          <w:tcPr>
                            <w:tcW w:w="4524"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1195"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9">
                <wp:simplePos x="0" y="0"/>
                <wp:positionH relativeFrom="column">
                  <wp:align>right</wp:align>
                </wp:positionH>
                <wp:positionV relativeFrom="line">
                  <wp:posOffset>635</wp:posOffset>
                </wp:positionV>
                <wp:extent cx="4276725" cy="1899920"/>
                <wp:effectExtent l="0" t="0" r="0" b="0"/>
                <wp:wrapSquare wrapText="largest"/>
                <wp:docPr id="87" name="Frame18"/>
                <a:graphic xmlns:a="http://schemas.openxmlformats.org/drawingml/2006/main">
                  <a:graphicData uri="http://schemas.microsoft.com/office/word/2010/wordprocessingShape">
                    <wps:wsp>
                      <wps:cNvSpPr txBox="1"/>
                      <wps:spPr>
                        <a:xfrm>
                          <a:off x="0" y="0"/>
                          <a:ext cx="4276725" cy="1899920"/>
                        </a:xfrm>
                        <a:prstGeom prst="rect"/>
                      </wps:spPr>
                      <wps:txb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Chief Executive Officer of GanD, Inc. since 2016</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Chair of Grace Science, LLC since 2017</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Extensive venture capital and leadership experience in the biotechnology sector and high technology</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Mr. Sing’s extensive healthcare and financial expertise as a healthcare venture capital investor and biomedical company chief executive officer, his executive leadership experience, and his substantial knowledge of the Company led the board to conclude that Mr. Sing should serve as a director.</w:t>
                                  </w:r>
                                </w:p>
                              </w:tc>
                            </w:tr>
                          </w:tbl>
                          <w:p>
                            <w:pPr>
                              <w:pStyle w:val="TextBody"/>
                              <w:spacing w:before="0" w:after="283"/>
                              <w:rPr/>
                            </w:pPr>
                            <w:r>
                              <w:rPr/>
                            </w:r>
                          </w:p>
                        </w:txbxContent>
                      </wps:txbx>
                      <wps:bodyPr anchor="t" lIns="0" tIns="0" rIns="0" bIns="0">
                        <a:noAutofit/>
                      </wps:bodyPr>
                    </wps:wsp>
                  </a:graphicData>
                </a:graphic>
                <wp14:sizeRelH relativeFrom="margin">
                  <wp14:pctWidth>66000</wp14:pctWidth>
                </wp14:sizeRelH>
              </wp:anchor>
            </w:drawing>
          </mc:Choice>
          <mc:Fallback>
            <w:pict>
              <v:rect style="position:absolute;rotation:0;width:336.75pt;height:149.6pt;mso-wrap-distance-left:0pt;mso-wrap-distance-right:0pt;mso-wrap-distance-top:0pt;mso-wrap-distance-bottom:0pt;margin-top:0pt;mso-position-vertical:top;mso-position-vertical-relative:text;margin-left:173.5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Chief Executive Officer of GanD, Inc. since 2016</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Chair of Grace Science, LLC since 2017</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Extensive venture capital and leadership experience in the biotechnology sector and high technology</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Mr. Sing’s extensive healthcare and financial expertise as a healthcare venture capital investor and biomedical company chief executive officer, his executive leadership experience, and his substantial knowledge of the Company led the board to conclude that Mr. Sing should serve as a director.</w:t>
                            </w:r>
                          </w:p>
                        </w:tc>
                      </w:tr>
                    </w:tbl>
                    <w:p>
                      <w:pPr>
                        <w:pStyle w:val="TextBody"/>
                        <w:spacing w:before="0" w:after="283"/>
                        <w:rPr/>
                      </w:pPr>
                      <w:r>
                        <w:rPr/>
                      </w:r>
                    </w:p>
                  </w:txbxContent>
                </v:textbox>
                <w10:wrap type="square" side="left"/>
              </v:rect>
            </w:pict>
          </mc:Fallback>
        </mc:AlternateConten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8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3" descr=""/>
                          <pic:cNvPicPr>
                            <a:picLocks noChangeAspect="1" noChangeArrowheads="1"/>
                          </pic:cNvPicPr>
                        </pic:nvPicPr>
                        <pic:blipFill>
                          <a:blip r:embed="rId64"/>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13</w:t>
            </w:r>
          </w:p>
        </w:tc>
      </w:tr>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0"/>
        <w:ind w:left="135" w:right="0" w:hanging="0"/>
        <w:rPr>
          <w:rFonts w:ascii="Arial" w:hAnsi="Arial"/>
          <w:b/>
          <w:color w:val="FFFFFF"/>
          <w:sz w:val="30"/>
          <w:highlight w:val="darkBlue"/>
          <w:bdr w:val="single" w:sz="2" w:space="6" w:color="245BA7"/>
        </w:rPr>
      </w:pPr>
      <w:bookmarkStart w:id="31" w:name="new_id-26"/>
      <w:bookmarkEnd w:id="31"/>
      <w:r>
        <w:rPr>
          <w:rFonts w:ascii="Arial" w:hAnsi="Arial"/>
          <w:b/>
          <w:color w:val="FFFFFF"/>
          <w:sz w:val="30"/>
          <w:highlight w:val="darkBlue"/>
          <w:bdr w:val="single" w:sz="2" w:space="6" w:color="245BA7"/>
        </w:rPr>
        <w:t xml:space="preserve">MARC TESSIER-LAVIGNE, PH.D. </w:t>
      </w:r>
    </w:p>
    <w:p>
      <w:pPr>
        <w:pStyle w:val="TextBody"/>
        <w:pBdr/>
        <w:spacing w:before="0" w:after="210"/>
        <w:ind w:left="0" w:right="0" w:hanging="0"/>
        <w:rPr/>
      </w:pPr>
      <w:r>
        <w:rPr/>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1943735" cy="4432300"/>
                <wp:effectExtent l="0" t="0" r="0" b="0"/>
                <wp:wrapSquare wrapText="largest"/>
                <wp:docPr id="89" name="Frame19"/>
                <a:graphic xmlns:a="http://schemas.openxmlformats.org/drawingml/2006/main">
                  <a:graphicData uri="http://schemas.microsoft.com/office/word/2010/wordprocessingShape">
                    <wps:wsp>
                      <wps:cNvSpPr txBox="1"/>
                      <wps:spPr>
                        <a:xfrm>
                          <a:off x="0" y="0"/>
                          <a:ext cx="1943735" cy="4432300"/>
                        </a:xfrm>
                        <a:prstGeom prst="rect"/>
                      </wps:spPr>
                      <wps:txbx>
                        <w:txbxContent>
                          <w:tbl>
                            <w:tblPr>
                              <w:tblW w:w="5719" w:type="dxa"/>
                              <w:jc w:val="left"/>
                              <w:tblInd w:w="0" w:type="dxa"/>
                              <w:tblCellMar>
                                <w:top w:w="0" w:type="dxa"/>
                                <w:left w:w="0" w:type="dxa"/>
                                <w:bottom w:w="0" w:type="dxa"/>
                                <w:right w:w="0" w:type="dxa"/>
                              </w:tblCellMar>
                            </w:tblPr>
                            <w:tblGrid>
                              <w:gridCol w:w="4419"/>
                              <w:gridCol w:w="1300"/>
                            </w:tblGrid>
                            <w:tr>
                              <w:trPr/>
                              <w:tc>
                                <w:tcPr>
                                  <w:tcW w:w="4419" w:type="dxa"/>
                                  <w:tcBorders/>
                                  <w:shd w:fill="auto" w:val="clear"/>
                                  <w:vAlign w:val="center"/>
                                </w:tcPr>
                                <w:p>
                                  <w:pPr>
                                    <w:pStyle w:val="TableContents"/>
                                    <w:jc w:val="left"/>
                                    <w:rPr/>
                                  </w:pPr>
                                  <w:r>
                                    <w:rPr/>
                                    <w:drawing>
                                      <wp:inline distT="76200" distB="200025" distL="0" distR="0">
                                        <wp:extent cx="1209675" cy="1209675"/>
                                        <wp:effectExtent l="0" t="0" r="0" b="0"/>
                                        <wp:docPr id="9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4" descr=""/>
                                                <pic:cNvPicPr>
                                                  <a:picLocks noChangeAspect="1" noChangeArrowheads="1"/>
                                                </pic:cNvPicPr>
                                              </pic:nvPicPr>
                                              <pic:blipFill>
                                                <a:blip r:embed="rId65"/>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2011</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63</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1300"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4419"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130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4419"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Technology Committee:</w:t>
                                  </w:r>
                                </w:p>
                              </w:tc>
                              <w:tc>
                                <w:tcPr>
                                  <w:tcW w:w="130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4419"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4419"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130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1,187</w:t>
                                  </w:r>
                                </w:p>
                              </w:tc>
                            </w:tr>
                            <w:tr>
                              <w:trPr/>
                              <w:tc>
                                <w:tcPr>
                                  <w:tcW w:w="4419"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130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16,362</w:t>
                                  </w:r>
                                </w:p>
                              </w:tc>
                            </w:tr>
                            <w:tr>
                              <w:trPr/>
                              <w:tc>
                                <w:tcPr>
                                  <w:tcW w:w="4419"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130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49pt;mso-wrap-distance-left:0pt;mso-wrap-distance-right:0pt;mso-wrap-distance-top:0pt;mso-wrap-distance-bottom:0pt;margin-top:0pt;mso-position-vertical:top;mso-position-vertical-relative:text;margin-left:0pt;mso-position-horizontal:left;mso-position-horizontal-relative:text">
                <v:textbox>
                  <w:txbxContent>
                    <w:tbl>
                      <w:tblPr>
                        <w:tblW w:w="5719" w:type="dxa"/>
                        <w:jc w:val="left"/>
                        <w:tblInd w:w="0" w:type="dxa"/>
                        <w:tblCellMar>
                          <w:top w:w="0" w:type="dxa"/>
                          <w:left w:w="0" w:type="dxa"/>
                          <w:bottom w:w="0" w:type="dxa"/>
                          <w:right w:w="0" w:type="dxa"/>
                        </w:tblCellMar>
                      </w:tblPr>
                      <w:tblGrid>
                        <w:gridCol w:w="4419"/>
                        <w:gridCol w:w="1300"/>
                      </w:tblGrid>
                      <w:tr>
                        <w:trPr/>
                        <w:tc>
                          <w:tcPr>
                            <w:tcW w:w="4419" w:type="dxa"/>
                            <w:tcBorders/>
                            <w:shd w:fill="auto" w:val="clear"/>
                            <w:vAlign w:val="center"/>
                          </w:tcPr>
                          <w:p>
                            <w:pPr>
                              <w:pStyle w:val="TableContents"/>
                              <w:jc w:val="left"/>
                              <w:rPr/>
                            </w:pPr>
                            <w:r>
                              <w:rPr/>
                              <w:drawing>
                                <wp:inline distT="76200" distB="200025" distL="0" distR="0">
                                  <wp:extent cx="1209675" cy="1209675"/>
                                  <wp:effectExtent l="0" t="0" r="0" b="0"/>
                                  <wp:docPr id="9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4" descr=""/>
                                          <pic:cNvPicPr>
                                            <a:picLocks noChangeAspect="1" noChangeArrowheads="1"/>
                                          </pic:cNvPicPr>
                                        </pic:nvPicPr>
                                        <pic:blipFill>
                                          <a:blip r:embed="rId65"/>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2011</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63</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1300"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4419"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130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4419"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Technology Committee:</w:t>
                            </w:r>
                          </w:p>
                        </w:tc>
                        <w:tc>
                          <w:tcPr>
                            <w:tcW w:w="130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4419"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4419"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130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1,187</w:t>
                            </w:r>
                          </w:p>
                        </w:tc>
                      </w:tr>
                      <w:tr>
                        <w:trPr/>
                        <w:tc>
                          <w:tcPr>
                            <w:tcW w:w="4419"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130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16,362</w:t>
                            </w:r>
                          </w:p>
                        </w:tc>
                      </w:tr>
                      <w:tr>
                        <w:trPr/>
                        <w:tc>
                          <w:tcPr>
                            <w:tcW w:w="4419"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1300"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1">
                <wp:simplePos x="0" y="0"/>
                <wp:positionH relativeFrom="column">
                  <wp:align>right</wp:align>
                </wp:positionH>
                <wp:positionV relativeFrom="line">
                  <wp:posOffset>635</wp:posOffset>
                </wp:positionV>
                <wp:extent cx="4276725" cy="5267960"/>
                <wp:effectExtent l="0" t="0" r="0" b="0"/>
                <wp:wrapSquare wrapText="largest"/>
                <wp:docPr id="92" name="Frame20"/>
                <a:graphic xmlns:a="http://schemas.openxmlformats.org/drawingml/2006/main">
                  <a:graphicData uri="http://schemas.microsoft.com/office/word/2010/wordprocessingShape">
                    <wps:wsp>
                      <wps:cNvSpPr txBox="1"/>
                      <wps:spPr>
                        <a:xfrm>
                          <a:off x="0" y="0"/>
                          <a:ext cx="4276725" cy="5267960"/>
                        </a:xfrm>
                        <a:prstGeom prst="rect"/>
                      </wps:spPr>
                      <wps:txb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President of Stanford University since 2016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President of The Rockefeller University and Carson Family Professor and head of the Laboratory of Brain Development at The Rockefeller University from 2011 to 2016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Executive Vice President and Chief Scientific Officer at Genentech, Inc. from 2003 to 2011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Professor at Stanford University from 2001 to 2003 and at the University of California, San Francisco from 1991 to 2001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Former member of the board of directors of Pfizer Inc., Agios Pharmaceuticals, Inc., and Juno Therapeutics, Inc. </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Scientific Society Memberships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Medicine</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Royal Society of London</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Royal Society of Canada</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Other Public Boards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Denali Therapeutics Inc.</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Tessier-Lavigne’s distinguished scientific and academic background, and his significant industry experience, including experience in senior scientific leadership roles at a leading biopharmaceutical company, led the board to conclude that Dr. Tessier-Lavigne should serve as a director.</w:t>
                                  </w:r>
                                </w:p>
                              </w:tc>
                            </w:tr>
                          </w:tbl>
                          <w:p>
                            <w:pPr>
                              <w:pStyle w:val="TextBody"/>
                              <w:spacing w:before="0" w:after="283"/>
                              <w:rPr/>
                            </w:pPr>
                            <w:r>
                              <w:rPr/>
                            </w:r>
                          </w:p>
                        </w:txbxContent>
                      </wps:txbx>
                      <wps:bodyPr anchor="t" lIns="0" tIns="0" rIns="0" bIns="0">
                        <a:noAutofit/>
                      </wps:bodyPr>
                    </wps:wsp>
                  </a:graphicData>
                </a:graphic>
                <wp14:sizeRelH relativeFrom="margin">
                  <wp14:pctWidth>66000</wp14:pctWidth>
                </wp14:sizeRelH>
              </wp:anchor>
            </w:drawing>
          </mc:Choice>
          <mc:Fallback>
            <w:pict>
              <v:rect style="position:absolute;rotation:0;width:336.75pt;height:414.8pt;mso-wrap-distance-left:0pt;mso-wrap-distance-right:0pt;mso-wrap-distance-top:0pt;mso-wrap-distance-bottom:0pt;margin-top:0pt;mso-position-vertical:top;mso-position-vertical-relative:text;margin-left:173.5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President of Stanford University since 2016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President of The Rockefeller University and Carson Family Professor and head of the Laboratory of Brain Development at The Rockefeller University from 2011 to 2016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Executive Vice President and Chief Scientific Officer at Genentech, Inc. from 2003 to 2011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Professor at Stanford University from 2001 to 2003 and at the University of California, San Francisco from 1991 to 2001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Former member of the board of directors of Pfizer Inc., Agios Pharmaceuticals, Inc., and Juno Therapeutics, Inc. </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Scientific Society Memberships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Medicine</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Royal Society of London</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Royal Society of Canada</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Other Public Boards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Denali Therapeutics Inc.</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Tessier-Lavigne’s distinguished scientific and academic background, and his significant industry experience, including experience in senior scientific leadership roles at a leading biopharmaceutical company, led the board to conclude that Dr. Tessier-Lavigne should serve as a director.</w:t>
                            </w:r>
                          </w:p>
                        </w:tc>
                      </w:tr>
                    </w:tbl>
                    <w:p>
                      <w:pPr>
                        <w:pStyle w:val="TextBody"/>
                        <w:spacing w:before="0" w:after="283"/>
                        <w:rPr/>
                      </w:pPr>
                      <w:r>
                        <w:rPr/>
                      </w:r>
                    </w:p>
                  </w:txbxContent>
                </v:textbox>
                <w10:wrap type="square" side="left"/>
              </v:rect>
            </w:pict>
          </mc:Fallback>
        </mc:AlternateConten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9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5" descr=""/>
                          <pic:cNvPicPr>
                            <a:picLocks noChangeAspect="1" noChangeArrowheads="1"/>
                          </pic:cNvPicPr>
                        </pic:nvPicPr>
                        <pic:blipFill>
                          <a:blip r:embed="rId66"/>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14</w:t>
            </w:r>
          </w:p>
        </w:tc>
      </w:tr>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32" w:name="new_id-27"/>
      <w:bookmarkEnd w:id="32"/>
      <w:r>
        <w:rPr>
          <w:rFonts w:ascii="Arial" w:hAnsi="Arial"/>
          <w:b/>
          <w:i w:val="false"/>
          <w:caps w:val="false"/>
          <w:smallCaps w:val="false"/>
          <w:color w:val="D31B5D"/>
          <w:sz w:val="30"/>
          <w:bdr w:val="single" w:sz="12" w:space="2" w:color="245BA7"/>
        </w:rPr>
        <w:t xml:space="preserve">CLASS I DIRECTORS CONTINUING IN OFFICE TERM EXPIRES AT THE 2025 ANNUAL MEETING </w:t>
      </w:r>
    </w:p>
    <w:p>
      <w:pPr>
        <w:pStyle w:val="TextBody"/>
        <w:pBdr/>
        <w:spacing w:before="0" w:after="0"/>
        <w:ind w:left="135" w:right="0" w:hanging="0"/>
        <w:rPr>
          <w:rFonts w:ascii="Arial" w:hAnsi="Arial"/>
          <w:b/>
          <w:color w:val="FFFFFF"/>
          <w:sz w:val="30"/>
          <w:highlight w:val="darkBlue"/>
          <w:bdr w:val="single" w:sz="2" w:space="6" w:color="245BA7"/>
        </w:rPr>
      </w:pPr>
      <w:bookmarkStart w:id="33" w:name="new_id-28"/>
      <w:bookmarkEnd w:id="33"/>
      <w:r>
        <w:rPr>
          <w:rFonts w:ascii="Arial" w:hAnsi="Arial"/>
          <w:b/>
          <w:color w:val="FFFFFF"/>
          <w:sz w:val="30"/>
          <w:highlight w:val="darkBlue"/>
          <w:bdr w:val="single" w:sz="2" w:space="6" w:color="245BA7"/>
        </w:rPr>
        <w:t xml:space="preserve">BONNIE L. BASSLER, PH.D. </w:t>
      </w:r>
    </w:p>
    <w:p>
      <w:pPr>
        <w:pStyle w:val="TextBody"/>
        <w:pBdr/>
        <w:spacing w:before="0" w:after="210"/>
        <w:ind w:left="0" w:right="0" w:hanging="0"/>
        <w:rPr/>
      </w:pPr>
      <w:r>
        <w:rPr/>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1943735" cy="4612640"/>
                <wp:effectExtent l="0" t="0" r="0" b="0"/>
                <wp:wrapSquare wrapText="largest"/>
                <wp:docPr id="94" name="Frame21"/>
                <a:graphic xmlns:a="http://schemas.openxmlformats.org/drawingml/2006/main">
                  <a:graphicData uri="http://schemas.microsoft.com/office/word/2010/wordprocessingShape">
                    <wps:wsp>
                      <wps:cNvSpPr txBox="1"/>
                      <wps:spPr>
                        <a:xfrm>
                          <a:off x="0" y="0"/>
                          <a:ext cx="1943735" cy="4612640"/>
                        </a:xfrm>
                        <a:prstGeom prst="rect"/>
                      </wps:spPr>
                      <wps:txbx>
                        <w:txbxContent>
                          <w:tbl>
                            <w:tblPr>
                              <w:tblW w:w="5719" w:type="dxa"/>
                              <w:jc w:val="left"/>
                              <w:tblInd w:w="0" w:type="dxa"/>
                              <w:tblCellMar>
                                <w:top w:w="0" w:type="dxa"/>
                                <w:left w:w="0" w:type="dxa"/>
                                <w:bottom w:w="0" w:type="dxa"/>
                                <w:right w:w="0" w:type="dxa"/>
                              </w:tblCellMar>
                            </w:tblPr>
                            <w:tblGrid>
                              <w:gridCol w:w="5028"/>
                              <w:gridCol w:w="691"/>
                            </w:tblGrid>
                            <w:tr>
                              <w:trPr/>
                              <w:tc>
                                <w:tcPr>
                                  <w:tcW w:w="5028" w:type="dxa"/>
                                  <w:tcBorders/>
                                  <w:shd w:fill="auto" w:val="clear"/>
                                  <w:vAlign w:val="center"/>
                                </w:tcPr>
                                <w:p>
                                  <w:pPr>
                                    <w:pStyle w:val="TableContents"/>
                                    <w:jc w:val="left"/>
                                    <w:rPr/>
                                  </w:pPr>
                                  <w:r>
                                    <w:rPr/>
                                    <w:drawing>
                                      <wp:inline distT="76200" distB="200025" distL="0" distR="0">
                                        <wp:extent cx="1209675" cy="1209675"/>
                                        <wp:effectExtent l="0" t="0" r="0" b="0"/>
                                        <wp:docPr id="9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6" descr=""/>
                                                <pic:cNvPicPr>
                                                  <a:picLocks noChangeAspect="1" noChangeArrowheads="1"/>
                                                </pic:cNvPicPr>
                                              </pic:nvPicPr>
                                              <pic:blipFill>
                                                <a:blip r:embed="rId67"/>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2016</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60</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691"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5028"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691"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5028"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Corporate Governance and Compliance Committee:</w:t>
                                  </w:r>
                                </w:p>
                              </w:tc>
                              <w:tc>
                                <w:tcPr>
                                  <w:tcW w:w="691"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5/5</w:t>
                                  </w:r>
                                </w:p>
                              </w:tc>
                            </w:tr>
                            <w:tr>
                              <w:trPr/>
                              <w:tc>
                                <w:tcPr>
                                  <w:tcW w:w="5028"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Technology Committee: </w:t>
                                  </w:r>
                                </w:p>
                              </w:tc>
                              <w:tc>
                                <w:tcPr>
                                  <w:tcW w:w="691"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5028"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5028"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691"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0</w:t>
                                  </w:r>
                                </w:p>
                              </w:tc>
                            </w:tr>
                            <w:tr>
                              <w:trPr/>
                              <w:tc>
                                <w:tcPr>
                                  <w:tcW w:w="5028"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691"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20,945</w:t>
                                  </w:r>
                                </w:p>
                              </w:tc>
                            </w:tr>
                            <w:tr>
                              <w:trPr/>
                              <w:tc>
                                <w:tcPr>
                                  <w:tcW w:w="5028"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691"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63.2pt;mso-wrap-distance-left:0pt;mso-wrap-distance-right:0pt;mso-wrap-distance-top:0pt;mso-wrap-distance-bottom:0pt;margin-top:0pt;mso-position-vertical:top;mso-position-vertical-relative:text;margin-left:0pt;mso-position-horizontal:left;mso-position-horizontal-relative:text">
                <v:textbox>
                  <w:txbxContent>
                    <w:tbl>
                      <w:tblPr>
                        <w:tblW w:w="5719" w:type="dxa"/>
                        <w:jc w:val="left"/>
                        <w:tblInd w:w="0" w:type="dxa"/>
                        <w:tblCellMar>
                          <w:top w:w="0" w:type="dxa"/>
                          <w:left w:w="0" w:type="dxa"/>
                          <w:bottom w:w="0" w:type="dxa"/>
                          <w:right w:w="0" w:type="dxa"/>
                        </w:tblCellMar>
                      </w:tblPr>
                      <w:tblGrid>
                        <w:gridCol w:w="5028"/>
                        <w:gridCol w:w="691"/>
                      </w:tblGrid>
                      <w:tr>
                        <w:trPr/>
                        <w:tc>
                          <w:tcPr>
                            <w:tcW w:w="5028" w:type="dxa"/>
                            <w:tcBorders/>
                            <w:shd w:fill="auto" w:val="clear"/>
                            <w:vAlign w:val="center"/>
                          </w:tcPr>
                          <w:p>
                            <w:pPr>
                              <w:pStyle w:val="TableContents"/>
                              <w:jc w:val="left"/>
                              <w:rPr/>
                            </w:pPr>
                            <w:r>
                              <w:rPr/>
                              <w:drawing>
                                <wp:inline distT="76200" distB="200025" distL="0" distR="0">
                                  <wp:extent cx="1209675" cy="1209675"/>
                                  <wp:effectExtent l="0" t="0" r="0" b="0"/>
                                  <wp:docPr id="9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6" descr=""/>
                                          <pic:cNvPicPr>
                                            <a:picLocks noChangeAspect="1" noChangeArrowheads="1"/>
                                          </pic:cNvPicPr>
                                        </pic:nvPicPr>
                                        <pic:blipFill>
                                          <a:blip r:embed="rId67"/>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2016</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60</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691"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5028"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691"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5028"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Corporate Governance and Compliance Committee:</w:t>
                            </w:r>
                          </w:p>
                        </w:tc>
                        <w:tc>
                          <w:tcPr>
                            <w:tcW w:w="691"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5/5</w:t>
                            </w:r>
                          </w:p>
                        </w:tc>
                      </w:tr>
                      <w:tr>
                        <w:trPr/>
                        <w:tc>
                          <w:tcPr>
                            <w:tcW w:w="5028"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Technology Committee: </w:t>
                            </w:r>
                          </w:p>
                        </w:tc>
                        <w:tc>
                          <w:tcPr>
                            <w:tcW w:w="691"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5028"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5028"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691"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0</w:t>
                            </w:r>
                          </w:p>
                        </w:tc>
                      </w:tr>
                      <w:tr>
                        <w:trPr/>
                        <w:tc>
                          <w:tcPr>
                            <w:tcW w:w="5028"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691"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20,945</w:t>
                            </w:r>
                          </w:p>
                        </w:tc>
                      </w:tr>
                      <w:tr>
                        <w:trPr/>
                        <w:tc>
                          <w:tcPr>
                            <w:tcW w:w="5028"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691"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3">
                <wp:simplePos x="0" y="0"/>
                <wp:positionH relativeFrom="column">
                  <wp:align>right</wp:align>
                </wp:positionH>
                <wp:positionV relativeFrom="line">
                  <wp:posOffset>635</wp:posOffset>
                </wp:positionV>
                <wp:extent cx="4276725" cy="7745730"/>
                <wp:effectExtent l="0" t="0" r="0" b="0"/>
                <wp:wrapSquare wrapText="largest"/>
                <wp:docPr id="97" name="Frame22"/>
                <a:graphic xmlns:a="http://schemas.openxmlformats.org/drawingml/2006/main">
                  <a:graphicData uri="http://schemas.microsoft.com/office/word/2010/wordprocessingShape">
                    <wps:wsp>
                      <wps:cNvSpPr txBox="1"/>
                      <wps:spPr>
                        <a:xfrm>
                          <a:off x="0" y="0"/>
                          <a:ext cx="4276725" cy="7745730"/>
                        </a:xfrm>
                        <a:prstGeom prst="rect"/>
                      </wps:spPr>
                      <wps:txb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Chair of the Department of Molecular Biology since 2013 and Squibb Professor in Molecular Biology since 2003 at Princeton University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Howard Hughes Medical Institute Investigator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President of the American Society for Microbiology</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Former member of the board of the American Association for the Advancement of Science, the National Science Foundation, and the American Academy of Microbiology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MacArthur Foundation Fellowship</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Lounsbery Award</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Shaw Prize for Life Science and Medicine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Gruber Prize in Genetics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Wolf Prize in Chemistry</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Canada Gairdner International Award</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director of Kaleido Biosciences, Inc.</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Scientific Society Memberships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Medicine</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American Academy of Arts and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Royal Society of London</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American Philosophical Society</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Other Public Boards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Cidara Therapeutics, Inc.</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Royalty Pharma plc</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Bassler’s extensive research experience and her scientific and academic career and accomplishments, as well as her experience as a corporate director, led to the board to conclude that Dr. Bassler should serve as a director.</w:t>
                                  </w:r>
                                </w:p>
                              </w:tc>
                            </w:tr>
                          </w:tbl>
                          <w:p>
                            <w:pPr>
                              <w:pStyle w:val="TextBody"/>
                              <w:spacing w:before="0" w:after="283"/>
                              <w:rPr/>
                            </w:pPr>
                            <w:r>
                              <w:rPr/>
                            </w:r>
                          </w:p>
                        </w:txbxContent>
                      </wps:txbx>
                      <wps:bodyPr anchor="t" lIns="0" tIns="0" rIns="0" bIns="0">
                        <a:noAutofit/>
                      </wps:bodyPr>
                    </wps:wsp>
                  </a:graphicData>
                </a:graphic>
                <wp14:sizeRelH relativeFrom="margin">
                  <wp14:pctWidth>66000</wp14:pctWidth>
                </wp14:sizeRelH>
              </wp:anchor>
            </w:drawing>
          </mc:Choice>
          <mc:Fallback>
            <w:pict>
              <v:rect style="position:absolute;rotation:0;width:336.75pt;height:609.9pt;mso-wrap-distance-left:0pt;mso-wrap-distance-right:0pt;mso-wrap-distance-top:0pt;mso-wrap-distance-bottom:0pt;margin-top:0pt;mso-position-vertical:top;mso-position-vertical-relative:text;margin-left:173.5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Chair of the Department of Molecular Biology since 2013 and Squibb Professor in Molecular Biology since 2003 at Princeton University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Howard Hughes Medical Institute Investigator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President of the American Society for Microbiology</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Former member of the board of the American Association for the Advancement of Science, the National Science Foundation, and the American Academy of Microbiology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MacArthur Foundation Fellowship</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Lounsbery Award</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Shaw Prize for Life Science and Medicine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Gruber Prize in Genetics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Wolf Prize in Chemistry</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Canada Gairdner International Award</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director of Kaleido Biosciences, Inc.</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Scientific Society Memberships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Medicine</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American Academy of Arts and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Royal Society of London</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American Philosophical Society</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Other Public Boards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Cidara Therapeutics, Inc.</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Royalty Pharma plc</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Bassler’s extensive research experience and her scientific and academic career and accomplishments, as well as her experience as a corporate director, led to the board to conclude that Dr. Bassler should serve as a director.</w:t>
                            </w:r>
                          </w:p>
                        </w:tc>
                      </w:tr>
                    </w:tbl>
                    <w:p>
                      <w:pPr>
                        <w:pStyle w:val="TextBody"/>
                        <w:spacing w:before="0" w:after="283"/>
                        <w:rPr/>
                      </w:pPr>
                      <w:r>
                        <w:rPr/>
                      </w:r>
                    </w:p>
                  </w:txbxContent>
                </v:textbox>
                <w10:wrap type="square" side="left"/>
              </v:rect>
            </w:pict>
          </mc:Fallback>
        </mc:AlternateConten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9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7" descr=""/>
                          <pic:cNvPicPr>
                            <a:picLocks noChangeAspect="1" noChangeArrowheads="1"/>
                          </pic:cNvPicPr>
                        </pic:nvPicPr>
                        <pic:blipFill>
                          <a:blip r:embed="rId68"/>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15</w:t>
            </w:r>
          </w:p>
        </w:tc>
      </w:tr>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0"/>
        <w:ind w:left="135" w:right="0" w:hanging="0"/>
        <w:rPr>
          <w:rFonts w:ascii="Arial" w:hAnsi="Arial"/>
          <w:b/>
          <w:color w:val="FFFFFF"/>
          <w:sz w:val="30"/>
          <w:highlight w:val="darkBlue"/>
          <w:bdr w:val="single" w:sz="2" w:space="6" w:color="245BA7"/>
        </w:rPr>
      </w:pPr>
      <w:bookmarkStart w:id="34" w:name="new_id-29"/>
      <w:bookmarkEnd w:id="34"/>
      <w:r>
        <w:rPr>
          <w:rFonts w:ascii="Arial" w:hAnsi="Arial"/>
          <w:b/>
          <w:color w:val="FFFFFF"/>
          <w:sz w:val="30"/>
          <w:highlight w:val="darkBlue"/>
          <w:bdr w:val="single" w:sz="2" w:space="6" w:color="245BA7"/>
        </w:rPr>
        <w:t xml:space="preserve">MICHAEL S. BROWN, M.D. </w:t>
      </w:r>
    </w:p>
    <w:p>
      <w:pPr>
        <w:pStyle w:val="TextBody"/>
        <w:pBdr/>
        <w:spacing w:before="0" w:after="210"/>
        <w:ind w:left="0" w:right="0" w:hanging="0"/>
        <w:rPr/>
      </w:pPr>
      <w:r>
        <w:rPr/>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1943735" cy="4612640"/>
                <wp:effectExtent l="0" t="0" r="0" b="0"/>
                <wp:wrapSquare wrapText="largest"/>
                <wp:docPr id="99" name="Frame23"/>
                <a:graphic xmlns:a="http://schemas.openxmlformats.org/drawingml/2006/main">
                  <a:graphicData uri="http://schemas.microsoft.com/office/word/2010/wordprocessingShape">
                    <wps:wsp>
                      <wps:cNvSpPr txBox="1"/>
                      <wps:spPr>
                        <a:xfrm>
                          <a:off x="0" y="0"/>
                          <a:ext cx="1943735" cy="4612640"/>
                        </a:xfrm>
                        <a:prstGeom prst="rect"/>
                      </wps:spPr>
                      <wps:txbx>
                        <w:txbxContent>
                          <w:tbl>
                            <w:tblPr>
                              <w:tblW w:w="5719" w:type="dxa"/>
                              <w:jc w:val="left"/>
                              <w:tblInd w:w="0" w:type="dxa"/>
                              <w:tblCellMar>
                                <w:top w:w="0" w:type="dxa"/>
                                <w:left w:w="0" w:type="dxa"/>
                                <w:bottom w:w="0" w:type="dxa"/>
                                <w:right w:w="0" w:type="dxa"/>
                              </w:tblCellMar>
                            </w:tblPr>
                            <w:tblGrid>
                              <w:gridCol w:w="5036"/>
                              <w:gridCol w:w="683"/>
                            </w:tblGrid>
                            <w:tr>
                              <w:trPr/>
                              <w:tc>
                                <w:tcPr>
                                  <w:tcW w:w="5036" w:type="dxa"/>
                                  <w:tcBorders/>
                                  <w:shd w:fill="auto" w:val="clear"/>
                                  <w:vAlign w:val="center"/>
                                </w:tcPr>
                                <w:p>
                                  <w:pPr>
                                    <w:pStyle w:val="TableContents"/>
                                    <w:jc w:val="left"/>
                                    <w:rPr/>
                                  </w:pPr>
                                  <w:r>
                                    <w:rPr/>
                                    <w:drawing>
                                      <wp:inline distT="76200" distB="200025" distL="0" distR="0">
                                        <wp:extent cx="1209675" cy="1209675"/>
                                        <wp:effectExtent l="0" t="0" r="0" b="0"/>
                                        <wp:docPr id="10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8" descr=""/>
                                                <pic:cNvPicPr>
                                                  <a:picLocks noChangeAspect="1" noChangeArrowheads="1"/>
                                                </pic:cNvPicPr>
                                              </pic:nvPicPr>
                                              <pic:blipFill>
                                                <a:blip r:embed="rId69"/>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1991</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81</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683"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Corporate Governance and Compliance Committee: </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5/5</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Technology Committee (Chair):</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5036" w:type="dxa"/>
                                  <w:tcBorders/>
                                  <w:shd w:fill="auto" w:val="clear"/>
                                  <w:vAlign w:val="center"/>
                                </w:tcPr>
                                <w:p>
                                  <w:pPr>
                                    <w:pStyle w:val="TableContents"/>
                                    <w:spacing w:before="0" w:after="283"/>
                                    <w:rPr/>
                                  </w:pPr>
                                  <w:r>
                                    <w:rPr/>
                                    <w:t> </w:t>
                                  </w:r>
                                </w:p>
                              </w:tc>
                              <w:tc>
                                <w:tcPr>
                                  <w:tcW w:w="683"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11,662</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8,656</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63.2pt;mso-wrap-distance-left:0pt;mso-wrap-distance-right:0pt;mso-wrap-distance-top:0pt;mso-wrap-distance-bottom:0pt;margin-top:0pt;mso-position-vertical:top;mso-position-vertical-relative:text;margin-left:0pt;mso-position-horizontal:left;mso-position-horizontal-relative:text">
                <v:textbox>
                  <w:txbxContent>
                    <w:tbl>
                      <w:tblPr>
                        <w:tblW w:w="5719" w:type="dxa"/>
                        <w:jc w:val="left"/>
                        <w:tblInd w:w="0" w:type="dxa"/>
                        <w:tblCellMar>
                          <w:top w:w="0" w:type="dxa"/>
                          <w:left w:w="0" w:type="dxa"/>
                          <w:bottom w:w="0" w:type="dxa"/>
                          <w:right w:w="0" w:type="dxa"/>
                        </w:tblCellMar>
                      </w:tblPr>
                      <w:tblGrid>
                        <w:gridCol w:w="5036"/>
                        <w:gridCol w:w="683"/>
                      </w:tblGrid>
                      <w:tr>
                        <w:trPr/>
                        <w:tc>
                          <w:tcPr>
                            <w:tcW w:w="5036" w:type="dxa"/>
                            <w:tcBorders/>
                            <w:shd w:fill="auto" w:val="clear"/>
                            <w:vAlign w:val="center"/>
                          </w:tcPr>
                          <w:p>
                            <w:pPr>
                              <w:pStyle w:val="TableContents"/>
                              <w:jc w:val="left"/>
                              <w:rPr/>
                            </w:pPr>
                            <w:r>
                              <w:rPr/>
                              <w:drawing>
                                <wp:inline distT="76200" distB="200025" distL="0" distR="0">
                                  <wp:extent cx="1209675" cy="1209675"/>
                                  <wp:effectExtent l="0" t="0" r="0" b="0"/>
                                  <wp:docPr id="10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8" descr=""/>
                                          <pic:cNvPicPr>
                                            <a:picLocks noChangeAspect="1" noChangeArrowheads="1"/>
                                          </pic:cNvPicPr>
                                        </pic:nvPicPr>
                                        <pic:blipFill>
                                          <a:blip r:embed="rId69"/>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1991</w:t>
                            </w:r>
                          </w:p>
                          <w:p>
                            <w:pPr>
                              <w:pStyle w:val="TableContents"/>
                              <w:pBdr/>
                              <w:spacing w:before="105" w:after="0"/>
                              <w:ind w:left="0" w:right="0" w:hanging="0"/>
                              <w:jc w:val="left"/>
                              <w:rPr>
                                <w:rFonts w:ascii="Arial" w:hAnsi="Arial"/>
                                <w:color w:val="245BA7"/>
                                <w:sz w:val="20"/>
                              </w:rPr>
                            </w:pPr>
                            <w:r>
                              <w:rPr>
                                <w:rFonts w:ascii="Arial" w:hAnsi="Arial"/>
                                <w:b/>
                                <w:color w:val="245BA7"/>
                                <w:sz w:val="20"/>
                              </w:rPr>
                              <w:t>Age:</w:t>
                            </w:r>
                            <w:r>
                              <w:rPr>
                                <w:rFonts w:ascii="Arial" w:hAnsi="Arial"/>
                                <w:color w:val="000000"/>
                                <w:sz w:val="20"/>
                              </w:rPr>
                              <w:t xml:space="preserve"> 81</w:t>
                            </w:r>
                          </w:p>
                          <w:p>
                            <w:pPr>
                              <w:pStyle w:val="TableContents"/>
                              <w:pBdr/>
                              <w:spacing w:before="105" w:after="135"/>
                              <w:ind w:left="0" w:right="0" w:hanging="0"/>
                              <w:jc w:val="left"/>
                              <w:rPr>
                                <w:rFonts w:ascii="Arial" w:hAnsi="Arial"/>
                                <w:b/>
                                <w:i w:val="false"/>
                                <w:caps w:val="false"/>
                                <w:smallCaps w:val="false"/>
                                <w:color w:val="245BA7"/>
                                <w:sz w:val="20"/>
                              </w:rPr>
                            </w:pPr>
                            <w:r>
                              <w:rPr>
                                <w:rFonts w:ascii="Arial" w:hAnsi="Arial"/>
                                <w:b/>
                                <w:i w:val="false"/>
                                <w:caps w:val="false"/>
                                <w:smallCaps w:val="false"/>
                                <w:color w:val="245BA7"/>
                                <w:sz w:val="20"/>
                              </w:rPr>
                              <w:t>Independent</w:t>
                            </w:r>
                          </w:p>
                        </w:tc>
                        <w:tc>
                          <w:tcPr>
                            <w:tcW w:w="683"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Corporate Governance and Compliance Committee: </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5/5</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Technology Committee (Chair):</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5036" w:type="dxa"/>
                            <w:tcBorders/>
                            <w:shd w:fill="auto" w:val="clear"/>
                            <w:vAlign w:val="center"/>
                          </w:tcPr>
                          <w:p>
                            <w:pPr>
                              <w:pStyle w:val="TableContents"/>
                              <w:spacing w:before="0" w:after="283"/>
                              <w:rPr/>
                            </w:pPr>
                            <w:r>
                              <w:rPr/>
                              <w:t> </w:t>
                            </w:r>
                          </w:p>
                        </w:tc>
                        <w:tc>
                          <w:tcPr>
                            <w:tcW w:w="683"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11,662</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8,656</w:t>
                            </w:r>
                          </w:p>
                        </w:tc>
                      </w:tr>
                      <w:tr>
                        <w:trPr/>
                        <w:tc>
                          <w:tcPr>
                            <w:tcW w:w="5036"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RSUs:</w:t>
                            </w:r>
                          </w:p>
                        </w:tc>
                        <w:tc>
                          <w:tcPr>
                            <w:tcW w:w="683"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1,153</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5">
                <wp:simplePos x="0" y="0"/>
                <wp:positionH relativeFrom="column">
                  <wp:align>right</wp:align>
                </wp:positionH>
                <wp:positionV relativeFrom="line">
                  <wp:posOffset>635</wp:posOffset>
                </wp:positionV>
                <wp:extent cx="4276725" cy="3649980"/>
                <wp:effectExtent l="0" t="0" r="0" b="0"/>
                <wp:wrapSquare wrapText="largest"/>
                <wp:docPr id="102" name="Frame24"/>
                <a:graphic xmlns:a="http://schemas.openxmlformats.org/drawingml/2006/main">
                  <a:graphicData uri="http://schemas.microsoft.com/office/word/2010/wordprocessingShape">
                    <wps:wsp>
                      <wps:cNvSpPr txBox="1"/>
                      <wps:spPr>
                        <a:xfrm>
                          <a:off x="0" y="0"/>
                          <a:ext cx="4276725" cy="3649980"/>
                        </a:xfrm>
                        <a:prstGeom prst="rect"/>
                      </wps:spPr>
                      <wps:txb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Distinguished Chair in Biomedical Sciences since 1989 and Regental Professor of Molecular Genetics and Internal Medicine and Director of the Jonsson Center for Molecular Genetics since 1985 at The University of Texas Southwestern Medical Center at Dallas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Nobel Prize for Physiology or Medicine in 1985 (jointly with Dr. Goldstein)</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U.S. National Medal of Science in 1988 (jointly with Dr. Goldstein) </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Scientific Society Memberships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Medicine</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Royal Society of London</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Brown’s distinguished scientific and academic background, including his receipt of the Nobel Prize for Physiology or Medicine in 1985, and his significant industry experience gained through his service on the board of directors of the Company and of a leading pharmaceutical company, led the board to conclude that Dr. Brown should serve as a director.</w:t>
                                  </w:r>
                                </w:p>
                              </w:tc>
                            </w:tr>
                          </w:tbl>
                          <w:p>
                            <w:pPr>
                              <w:pStyle w:val="TextBody"/>
                              <w:spacing w:before="0" w:after="283"/>
                              <w:rPr/>
                            </w:pPr>
                            <w:r>
                              <w:rPr/>
                            </w:r>
                          </w:p>
                        </w:txbxContent>
                      </wps:txbx>
                      <wps:bodyPr anchor="t" lIns="0" tIns="0" rIns="0" bIns="0">
                        <a:noAutofit/>
                      </wps:bodyPr>
                    </wps:wsp>
                  </a:graphicData>
                </a:graphic>
                <wp14:sizeRelH relativeFrom="margin">
                  <wp14:pctWidth>66000</wp14:pctWidth>
                </wp14:sizeRelH>
              </wp:anchor>
            </w:drawing>
          </mc:Choice>
          <mc:Fallback>
            <w:pict>
              <v:rect style="position:absolute;rotation:0;width:336.75pt;height:287.4pt;mso-wrap-distance-left:0pt;mso-wrap-distance-right:0pt;mso-wrap-distance-top:0pt;mso-wrap-distance-bottom:0pt;margin-top:0pt;mso-position-vertical:top;mso-position-vertical-relative:text;margin-left:173.5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Distinguished Chair in Biomedical Sciences since 1989 and Regental Professor of Molecular Genetics and Internal Medicine and Director of the Jonsson Center for Molecular Genetics since 1985 at The University of Texas Southwestern Medical Center at Dallas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Nobel Prize for Physiology or Medicine in 1985 (jointly with Dr. Goldstein)</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U.S. National Medal of Science in 1988 (jointly with Dr. Goldstein) </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Scientific Society Memberships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Sciences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Medicine</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Royal Society of London</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Brown’s distinguished scientific and academic background, including his receipt of the Nobel Prize for Physiology or Medicine in 1985, and his significant industry experience gained through his service on the board of directors of the Company and of a leading pharmaceutical company, led the board to conclude that Dr. Brown should serve as a director.</w:t>
                            </w:r>
                          </w:p>
                        </w:tc>
                      </w:tr>
                    </w:tbl>
                    <w:p>
                      <w:pPr>
                        <w:pStyle w:val="TextBody"/>
                        <w:spacing w:before="0" w:after="283"/>
                        <w:rPr/>
                      </w:pPr>
                      <w:r>
                        <w:rPr/>
                      </w:r>
                    </w:p>
                  </w:txbxContent>
                </v:textbox>
                <w10:wrap type="square" side="left"/>
              </v:rect>
            </w:pict>
          </mc:Fallback>
        </mc:AlternateConten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0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9" descr=""/>
                          <pic:cNvPicPr>
                            <a:picLocks noChangeAspect="1" noChangeArrowheads="1"/>
                          </pic:cNvPicPr>
                        </pic:nvPicPr>
                        <pic:blipFill>
                          <a:blip r:embed="rId70"/>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16</w:t>
            </w:r>
          </w:p>
        </w:tc>
      </w:tr>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0"/>
        <w:ind w:left="135" w:right="0" w:hanging="0"/>
        <w:rPr>
          <w:rFonts w:ascii="Arial" w:hAnsi="Arial"/>
          <w:b/>
          <w:color w:val="FFFFFF"/>
          <w:sz w:val="30"/>
          <w:highlight w:val="darkBlue"/>
          <w:bdr w:val="single" w:sz="2" w:space="6" w:color="245BA7"/>
        </w:rPr>
      </w:pPr>
      <w:bookmarkStart w:id="35" w:name="new_id-30"/>
      <w:bookmarkEnd w:id="35"/>
      <w:r>
        <w:rPr>
          <w:rFonts w:ascii="Arial" w:hAnsi="Arial"/>
          <w:b/>
          <w:color w:val="FFFFFF"/>
          <w:sz w:val="30"/>
          <w:highlight w:val="darkBlue"/>
          <w:bdr w:val="single" w:sz="2" w:space="6" w:color="245BA7"/>
        </w:rPr>
        <w:t xml:space="preserve">LEONARD S. SCHLEIFER, M.D., PH.D. </w:t>
      </w:r>
    </w:p>
    <w:p>
      <w:pPr>
        <w:pStyle w:val="TextBody"/>
        <w:pBdr/>
        <w:spacing w:before="0" w:after="210"/>
        <w:ind w:left="0" w:right="0" w:hanging="0"/>
        <w:rPr/>
      </w:pPr>
      <w:r>
        <w:rPr/>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1943735" cy="4223385"/>
                <wp:effectExtent l="0" t="0" r="0" b="0"/>
                <wp:wrapSquare wrapText="largest"/>
                <wp:docPr id="104" name="Frame25"/>
                <a:graphic xmlns:a="http://schemas.openxmlformats.org/drawingml/2006/main">
                  <a:graphicData uri="http://schemas.microsoft.com/office/word/2010/wordprocessingShape">
                    <wps:wsp>
                      <wps:cNvSpPr txBox="1"/>
                      <wps:spPr>
                        <a:xfrm>
                          <a:off x="0" y="0"/>
                          <a:ext cx="1943735" cy="4223385"/>
                        </a:xfrm>
                        <a:prstGeom prst="rect"/>
                      </wps:spPr>
                      <wps:txbx>
                        <w:txbxContent>
                          <w:tbl>
                            <w:tblPr>
                              <w:tblW w:w="5719" w:type="dxa"/>
                              <w:jc w:val="left"/>
                              <w:tblInd w:w="0" w:type="dxa"/>
                              <w:tblCellMar>
                                <w:top w:w="0" w:type="dxa"/>
                                <w:left w:w="0" w:type="dxa"/>
                                <w:bottom w:w="0" w:type="dxa"/>
                                <w:right w:w="0" w:type="dxa"/>
                              </w:tblCellMar>
                            </w:tblPr>
                            <w:tblGrid>
                              <w:gridCol w:w="4020"/>
                              <w:gridCol w:w="1699"/>
                            </w:tblGrid>
                            <w:tr>
                              <w:trPr/>
                              <w:tc>
                                <w:tcPr>
                                  <w:tcW w:w="4020" w:type="dxa"/>
                                  <w:tcBorders/>
                                  <w:shd w:fill="auto" w:val="clear"/>
                                  <w:vAlign w:val="center"/>
                                </w:tcPr>
                                <w:p>
                                  <w:pPr>
                                    <w:pStyle w:val="TableContents"/>
                                    <w:jc w:val="left"/>
                                    <w:rPr/>
                                  </w:pPr>
                                  <w:r>
                                    <w:rPr/>
                                    <w:drawing>
                                      <wp:inline distT="76200" distB="200025" distL="0" distR="0">
                                        <wp:extent cx="1209675" cy="1209675"/>
                                        <wp:effectExtent l="0" t="0" r="0" b="0"/>
                                        <wp:docPr id="10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0" descr=""/>
                                                <pic:cNvPicPr>
                                                  <a:picLocks noChangeAspect="1" noChangeArrowheads="1"/>
                                                </pic:cNvPicPr>
                                              </pic:nvPicPr>
                                              <pic:blipFill>
                                                <a:blip r:embed="rId71"/>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1988</w:t>
                                  </w:r>
                                </w:p>
                                <w:p>
                                  <w:pPr>
                                    <w:pStyle w:val="TableContents"/>
                                    <w:pBdr/>
                                    <w:spacing w:before="105" w:after="135"/>
                                    <w:ind w:left="0" w:right="0" w:hanging="0"/>
                                    <w:jc w:val="left"/>
                                    <w:rPr>
                                      <w:rFonts w:ascii="Arial" w:hAnsi="Arial"/>
                                      <w:b w:val="false"/>
                                      <w:i w:val="false"/>
                                      <w:caps w:val="false"/>
                                      <w:smallCaps w:val="false"/>
                                      <w:color w:val="245BA7"/>
                                      <w:sz w:val="20"/>
                                    </w:rPr>
                                  </w:pPr>
                                  <w:r>
                                    <w:rPr>
                                      <w:rFonts w:ascii="Arial" w:hAnsi="Arial"/>
                                      <w:b/>
                                      <w:i w:val="false"/>
                                      <w:caps w:val="false"/>
                                      <w:smallCaps w:val="false"/>
                                      <w:color w:val="245BA7"/>
                                      <w:sz w:val="20"/>
                                    </w:rPr>
                                    <w:t>Age:</w:t>
                                  </w:r>
                                  <w:r>
                                    <w:rPr>
                                      <w:rFonts w:ascii="Arial" w:hAnsi="Arial"/>
                                      <w:b w:val="false"/>
                                      <w:i w:val="false"/>
                                      <w:caps w:val="false"/>
                                      <w:smallCaps w:val="false"/>
                                      <w:color w:val="000000"/>
                                      <w:sz w:val="20"/>
                                    </w:rPr>
                                    <w:t xml:space="preserve"> 70</w:t>
                                  </w:r>
                                </w:p>
                              </w:tc>
                              <w:tc>
                                <w:tcPr>
                                  <w:tcW w:w="1699"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Technology Committee:</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4020" w:type="dxa"/>
                                  <w:tcBorders/>
                                  <w:shd w:fill="auto" w:val="clear"/>
                                  <w:vAlign w:val="center"/>
                                </w:tcPr>
                                <w:p>
                                  <w:pPr>
                                    <w:pStyle w:val="TableContents"/>
                                    <w:spacing w:before="0" w:after="283"/>
                                    <w:rPr/>
                                  </w:pPr>
                                  <w:r>
                                    <w:rPr/>
                                    <w:t> </w:t>
                                  </w:r>
                                </w:p>
                              </w:tc>
                              <w:tc>
                                <w:tcPr>
                                  <w:tcW w:w="1699"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Class A Stock: </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1,726,565</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683,096</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852,188</w:t>
                                  </w:r>
                                </w:p>
                              </w:tc>
                            </w:tr>
                          </w:tbl>
                          <w:p>
                            <w:pPr>
                              <w:pStyle w:val="TextBody"/>
                              <w:spacing w:before="0" w:after="283"/>
                              <w:rPr/>
                            </w:pPr>
                            <w:r>
                              <w:rPr/>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32.55pt;mso-wrap-distance-left:0pt;mso-wrap-distance-right:0pt;mso-wrap-distance-top:0pt;mso-wrap-distance-bottom:0pt;margin-top:0pt;mso-position-vertical:top;mso-position-vertical-relative:text;margin-left:0pt;mso-position-horizontal:left;mso-position-horizontal-relative:text">
                <v:textbox>
                  <w:txbxContent>
                    <w:tbl>
                      <w:tblPr>
                        <w:tblW w:w="5719" w:type="dxa"/>
                        <w:jc w:val="left"/>
                        <w:tblInd w:w="0" w:type="dxa"/>
                        <w:tblCellMar>
                          <w:top w:w="0" w:type="dxa"/>
                          <w:left w:w="0" w:type="dxa"/>
                          <w:bottom w:w="0" w:type="dxa"/>
                          <w:right w:w="0" w:type="dxa"/>
                        </w:tblCellMar>
                      </w:tblPr>
                      <w:tblGrid>
                        <w:gridCol w:w="4020"/>
                        <w:gridCol w:w="1699"/>
                      </w:tblGrid>
                      <w:tr>
                        <w:trPr/>
                        <w:tc>
                          <w:tcPr>
                            <w:tcW w:w="4020" w:type="dxa"/>
                            <w:tcBorders/>
                            <w:shd w:fill="auto" w:val="clear"/>
                            <w:vAlign w:val="center"/>
                          </w:tcPr>
                          <w:p>
                            <w:pPr>
                              <w:pStyle w:val="TableContents"/>
                              <w:jc w:val="left"/>
                              <w:rPr/>
                            </w:pPr>
                            <w:r>
                              <w:rPr/>
                              <w:drawing>
                                <wp:inline distT="76200" distB="200025" distL="0" distR="0">
                                  <wp:extent cx="1209675" cy="1209675"/>
                                  <wp:effectExtent l="0" t="0" r="0" b="0"/>
                                  <wp:docPr id="10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0" descr=""/>
                                          <pic:cNvPicPr>
                                            <a:picLocks noChangeAspect="1" noChangeArrowheads="1"/>
                                          </pic:cNvPicPr>
                                        </pic:nvPicPr>
                                        <pic:blipFill>
                                          <a:blip r:embed="rId71"/>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1988</w:t>
                            </w:r>
                          </w:p>
                          <w:p>
                            <w:pPr>
                              <w:pStyle w:val="TableContents"/>
                              <w:pBdr/>
                              <w:spacing w:before="105" w:after="135"/>
                              <w:ind w:left="0" w:right="0" w:hanging="0"/>
                              <w:jc w:val="left"/>
                              <w:rPr>
                                <w:rFonts w:ascii="Arial" w:hAnsi="Arial"/>
                                <w:b w:val="false"/>
                                <w:i w:val="false"/>
                                <w:caps w:val="false"/>
                                <w:smallCaps w:val="false"/>
                                <w:color w:val="245BA7"/>
                                <w:sz w:val="20"/>
                              </w:rPr>
                            </w:pPr>
                            <w:r>
                              <w:rPr>
                                <w:rFonts w:ascii="Arial" w:hAnsi="Arial"/>
                                <w:b/>
                                <w:i w:val="false"/>
                                <w:caps w:val="false"/>
                                <w:smallCaps w:val="false"/>
                                <w:color w:val="245BA7"/>
                                <w:sz w:val="20"/>
                              </w:rPr>
                              <w:t>Age:</w:t>
                            </w:r>
                            <w:r>
                              <w:rPr>
                                <w:rFonts w:ascii="Arial" w:hAnsi="Arial"/>
                                <w:b w:val="false"/>
                                <w:i w:val="false"/>
                                <w:caps w:val="false"/>
                                <w:smallCaps w:val="false"/>
                                <w:color w:val="000000"/>
                                <w:sz w:val="20"/>
                              </w:rPr>
                              <w:t xml:space="preserve"> 70</w:t>
                            </w:r>
                          </w:p>
                        </w:tc>
                        <w:tc>
                          <w:tcPr>
                            <w:tcW w:w="1699"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Technology Committee:</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4020" w:type="dxa"/>
                            <w:tcBorders/>
                            <w:shd w:fill="auto" w:val="clear"/>
                            <w:vAlign w:val="center"/>
                          </w:tcPr>
                          <w:p>
                            <w:pPr>
                              <w:pStyle w:val="TableContents"/>
                              <w:spacing w:before="0" w:after="283"/>
                              <w:rPr/>
                            </w:pPr>
                            <w:r>
                              <w:rPr/>
                              <w:t> </w:t>
                            </w:r>
                          </w:p>
                        </w:tc>
                        <w:tc>
                          <w:tcPr>
                            <w:tcW w:w="1699"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 xml:space="preserve">Class A Stock: </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1,726,565</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683,096</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852,188</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9">
                <wp:simplePos x="0" y="0"/>
                <wp:positionH relativeFrom="column">
                  <wp:align>right</wp:align>
                </wp:positionH>
                <wp:positionV relativeFrom="line">
                  <wp:posOffset>635</wp:posOffset>
                </wp:positionV>
                <wp:extent cx="4276725" cy="2536190"/>
                <wp:effectExtent l="0" t="0" r="0" b="0"/>
                <wp:wrapSquare wrapText="largest"/>
                <wp:docPr id="107" name="Frame26"/>
                <a:graphic xmlns:a="http://schemas.openxmlformats.org/drawingml/2006/main">
                  <a:graphicData uri="http://schemas.microsoft.com/office/word/2010/wordprocessingShape">
                    <wps:wsp>
                      <wps:cNvSpPr txBox="1"/>
                      <wps:spPr>
                        <a:xfrm>
                          <a:off x="0" y="0"/>
                          <a:ext cx="4276725" cy="2536190"/>
                        </a:xfrm>
                        <a:prstGeom prst="rect"/>
                      </wps:spPr>
                      <wps:txb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Founded the Company in 1988; built and managed the Company over the past 35 years together with Regeneron’s founding scientist, Dr. Yancopoulos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Director, President, and Chief Executive Officer of the Company since its inception</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Chair of the Board of the Company from 1990 through 1994</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Licensed physician certified in Neurology by the American Board of Psychiatry and Neurology </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Schleifer’s significant industry and leadership experience, as well as his incomparable knowledge of the Company and an in-depth understanding of the complex research, drug development, and business issues facing companies in the biopharmaceutical sector, led the board to conclude that Dr. Schleifer should serve as a director.</w:t>
                                  </w:r>
                                </w:p>
                              </w:tc>
                            </w:tr>
                          </w:tbl>
                          <w:p>
                            <w:pPr>
                              <w:pStyle w:val="TextBody"/>
                              <w:spacing w:before="0" w:after="283"/>
                              <w:rPr/>
                            </w:pPr>
                            <w:r>
                              <w:rPr/>
                            </w:r>
                          </w:p>
                        </w:txbxContent>
                      </wps:txbx>
                      <wps:bodyPr anchor="t" lIns="0" tIns="0" rIns="0" bIns="0">
                        <a:noAutofit/>
                      </wps:bodyPr>
                    </wps:wsp>
                  </a:graphicData>
                </a:graphic>
                <wp14:sizeRelH relativeFrom="margin">
                  <wp14:pctWidth>66000</wp14:pctWidth>
                </wp14:sizeRelH>
              </wp:anchor>
            </w:drawing>
          </mc:Choice>
          <mc:Fallback>
            <w:pict>
              <v:rect style="position:absolute;rotation:0;width:336.75pt;height:199.7pt;mso-wrap-distance-left:0pt;mso-wrap-distance-right:0pt;mso-wrap-distance-top:0pt;mso-wrap-distance-bottom:0pt;margin-top:0pt;mso-position-vertical:top;mso-position-vertical-relative:text;margin-left:173.5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Founded the Company in 1988; built and managed the Company over the past 35 years together with Regeneron’s founding scientist, Dr. Yancopoulos </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Director, President, and Chief Executive Officer of the Company since its inception</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Former Chair of the Board of the Company from 1990 through 1994</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 xml:space="preserve">Licensed physician certified in Neurology by the American Board of Psychiatry and Neurology </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Schleifer’s significant industry and leadership experience, as well as his incomparable knowledge of the Company and an in-depth understanding of the complex research, drug development, and business issues facing companies in the biopharmaceutical sector, led the board to conclude that Dr. Schleifer should serve as a director.</w:t>
                            </w:r>
                          </w:p>
                        </w:tc>
                      </w:tr>
                    </w:tbl>
                    <w:p>
                      <w:pPr>
                        <w:pStyle w:val="TextBody"/>
                        <w:spacing w:before="0" w:after="283"/>
                        <w:rPr/>
                      </w:pPr>
                      <w:r>
                        <w:rPr/>
                      </w:r>
                    </w:p>
                  </w:txbxContent>
                </v:textbox>
                <w10:wrap type="square" side="left"/>
              </v:rect>
            </w:pict>
          </mc:Fallback>
        </mc:AlternateConten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0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1" descr=""/>
                          <pic:cNvPicPr>
                            <a:picLocks noChangeAspect="1" noChangeArrowheads="1"/>
                          </pic:cNvPicPr>
                        </pic:nvPicPr>
                        <pic:blipFill>
                          <a:blip r:embed="rId72"/>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17</w:t>
            </w:r>
          </w:p>
        </w:tc>
      </w:tr>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0"/>
        <w:ind w:left="135" w:right="0" w:hanging="0"/>
        <w:rPr>
          <w:rFonts w:ascii="Arial" w:hAnsi="Arial"/>
          <w:b/>
          <w:color w:val="FFFFFF"/>
          <w:sz w:val="30"/>
          <w:highlight w:val="darkBlue"/>
          <w:bdr w:val="single" w:sz="2" w:space="6" w:color="245BA7"/>
        </w:rPr>
      </w:pPr>
      <w:bookmarkStart w:id="36" w:name="new_id-31"/>
      <w:bookmarkEnd w:id="36"/>
      <w:r>
        <w:rPr>
          <w:rFonts w:ascii="Arial" w:hAnsi="Arial"/>
          <w:b/>
          <w:color w:val="FFFFFF"/>
          <w:sz w:val="30"/>
          <w:highlight w:val="darkBlue"/>
          <w:bdr w:val="single" w:sz="2" w:space="6" w:color="245BA7"/>
        </w:rPr>
        <w:t xml:space="preserve">GEORGE D. YANCOPOULOS, M.D., PH.D. </w:t>
      </w:r>
    </w:p>
    <w:p>
      <w:pPr>
        <w:pStyle w:val="TextBody"/>
        <w:pBdr/>
        <w:spacing w:before="0" w:after="210"/>
        <w:ind w:left="0" w:right="0" w:hanging="0"/>
        <w:rPr/>
      </w:pPr>
      <w:r>
        <w:rPr/>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1943735" cy="4223385"/>
                <wp:effectExtent l="0" t="0" r="0" b="0"/>
                <wp:wrapSquare wrapText="largest"/>
                <wp:docPr id="109" name="Frame27"/>
                <a:graphic xmlns:a="http://schemas.openxmlformats.org/drawingml/2006/main">
                  <a:graphicData uri="http://schemas.microsoft.com/office/word/2010/wordprocessingShape">
                    <wps:wsp>
                      <wps:cNvSpPr txBox="1"/>
                      <wps:spPr>
                        <a:xfrm>
                          <a:off x="0" y="0"/>
                          <a:ext cx="1943735" cy="4223385"/>
                        </a:xfrm>
                        <a:prstGeom prst="rect"/>
                      </wps:spPr>
                      <wps:txbx>
                        <w:txbxContent>
                          <w:tbl>
                            <w:tblPr>
                              <w:tblW w:w="5719" w:type="dxa"/>
                              <w:jc w:val="left"/>
                              <w:tblInd w:w="0" w:type="dxa"/>
                              <w:tblCellMar>
                                <w:top w:w="0" w:type="dxa"/>
                                <w:left w:w="0" w:type="dxa"/>
                                <w:bottom w:w="0" w:type="dxa"/>
                                <w:right w:w="0" w:type="dxa"/>
                              </w:tblCellMar>
                            </w:tblPr>
                            <w:tblGrid>
                              <w:gridCol w:w="4020"/>
                              <w:gridCol w:w="1699"/>
                            </w:tblGrid>
                            <w:tr>
                              <w:trPr/>
                              <w:tc>
                                <w:tcPr>
                                  <w:tcW w:w="4020" w:type="dxa"/>
                                  <w:tcBorders/>
                                  <w:shd w:fill="auto" w:val="clear"/>
                                  <w:vAlign w:val="center"/>
                                </w:tcPr>
                                <w:p>
                                  <w:pPr>
                                    <w:pStyle w:val="TableContents"/>
                                    <w:jc w:val="left"/>
                                    <w:rPr/>
                                  </w:pPr>
                                  <w:r>
                                    <w:rPr/>
                                    <w:drawing>
                                      <wp:inline distT="76200" distB="200025" distL="0" distR="0">
                                        <wp:extent cx="1209675" cy="1209675"/>
                                        <wp:effectExtent l="0" t="0" r="0" b="0"/>
                                        <wp:docPr id="11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2" descr=""/>
                                                <pic:cNvPicPr>
                                                  <a:picLocks noChangeAspect="1" noChangeArrowheads="1"/>
                                                </pic:cNvPicPr>
                                              </pic:nvPicPr>
                                              <pic:blipFill>
                                                <a:blip r:embed="rId73"/>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2001</w:t>
                                  </w:r>
                                </w:p>
                                <w:p>
                                  <w:pPr>
                                    <w:pStyle w:val="TableContents"/>
                                    <w:pBdr/>
                                    <w:spacing w:before="105" w:after="135"/>
                                    <w:ind w:left="0" w:right="0" w:hanging="0"/>
                                    <w:jc w:val="left"/>
                                    <w:rPr>
                                      <w:rFonts w:ascii="Arial" w:hAnsi="Arial"/>
                                      <w:b w:val="false"/>
                                      <w:i w:val="false"/>
                                      <w:caps w:val="false"/>
                                      <w:smallCaps w:val="false"/>
                                      <w:color w:val="245BA7"/>
                                      <w:sz w:val="20"/>
                                    </w:rPr>
                                  </w:pPr>
                                  <w:r>
                                    <w:rPr>
                                      <w:rFonts w:ascii="Arial" w:hAnsi="Arial"/>
                                      <w:b/>
                                      <w:i w:val="false"/>
                                      <w:caps w:val="false"/>
                                      <w:smallCaps w:val="false"/>
                                      <w:color w:val="245BA7"/>
                                      <w:sz w:val="20"/>
                                    </w:rPr>
                                    <w:t>Age:</w:t>
                                  </w:r>
                                  <w:r>
                                    <w:rPr>
                                      <w:rFonts w:ascii="Arial" w:hAnsi="Arial"/>
                                      <w:b w:val="false"/>
                                      <w:i w:val="false"/>
                                      <w:caps w:val="false"/>
                                      <w:smallCaps w:val="false"/>
                                      <w:color w:val="000000"/>
                                      <w:sz w:val="20"/>
                                    </w:rPr>
                                    <w:t xml:space="preserve"> 63</w:t>
                                  </w:r>
                                </w:p>
                              </w:tc>
                              <w:tc>
                                <w:tcPr>
                                  <w:tcW w:w="1699"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Technology Committee:</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4020" w:type="dxa"/>
                                  <w:tcBorders/>
                                  <w:shd w:fill="auto" w:val="clear"/>
                                  <w:vAlign w:val="center"/>
                                </w:tcPr>
                                <w:p>
                                  <w:pPr>
                                    <w:pStyle w:val="TableContents"/>
                                    <w:spacing w:before="0" w:after="283"/>
                                    <w:rPr/>
                                  </w:pPr>
                                  <w:r>
                                    <w:rPr/>
                                    <w:t> </w:t>
                                  </w:r>
                                </w:p>
                              </w:tc>
                              <w:tc>
                                <w:tcPr>
                                  <w:tcW w:w="1699"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Class A Stock:</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42,750</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1,222,370</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795,799</w:t>
                                  </w:r>
                                </w:p>
                              </w:tc>
                            </w:tr>
                          </w:tbl>
                          <w:p>
                            <w:pPr>
                              <w:pStyle w:val="TextBody"/>
                              <w:spacing w:before="0" w:after="283"/>
                              <w:rPr/>
                            </w:pPr>
                            <w:r>
                              <w:rPr/>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32.55pt;mso-wrap-distance-left:0pt;mso-wrap-distance-right:0pt;mso-wrap-distance-top:0pt;mso-wrap-distance-bottom:0pt;margin-top:0pt;mso-position-vertical:top;mso-position-vertical-relative:text;margin-left:0pt;mso-position-horizontal:left;mso-position-horizontal-relative:text">
                <v:textbox>
                  <w:txbxContent>
                    <w:tbl>
                      <w:tblPr>
                        <w:tblW w:w="5719" w:type="dxa"/>
                        <w:jc w:val="left"/>
                        <w:tblInd w:w="0" w:type="dxa"/>
                        <w:tblCellMar>
                          <w:top w:w="0" w:type="dxa"/>
                          <w:left w:w="0" w:type="dxa"/>
                          <w:bottom w:w="0" w:type="dxa"/>
                          <w:right w:w="0" w:type="dxa"/>
                        </w:tblCellMar>
                      </w:tblPr>
                      <w:tblGrid>
                        <w:gridCol w:w="4020"/>
                        <w:gridCol w:w="1699"/>
                      </w:tblGrid>
                      <w:tr>
                        <w:trPr/>
                        <w:tc>
                          <w:tcPr>
                            <w:tcW w:w="4020" w:type="dxa"/>
                            <w:tcBorders/>
                            <w:shd w:fill="auto" w:val="clear"/>
                            <w:vAlign w:val="center"/>
                          </w:tcPr>
                          <w:p>
                            <w:pPr>
                              <w:pStyle w:val="TableContents"/>
                              <w:jc w:val="left"/>
                              <w:rPr/>
                            </w:pPr>
                            <w:r>
                              <w:rPr/>
                              <w:drawing>
                                <wp:inline distT="76200" distB="200025" distL="0" distR="0">
                                  <wp:extent cx="1209675" cy="1209675"/>
                                  <wp:effectExtent l="0" t="0" r="0" b="0"/>
                                  <wp:docPr id="11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2" descr=""/>
                                          <pic:cNvPicPr>
                                            <a:picLocks noChangeAspect="1" noChangeArrowheads="1"/>
                                          </pic:cNvPicPr>
                                        </pic:nvPicPr>
                                        <pic:blipFill>
                                          <a:blip r:embed="rId73"/>
                                          <a:stretch>
                                            <a:fillRect/>
                                          </a:stretch>
                                        </pic:blipFill>
                                        <pic:spPr bwMode="auto">
                                          <a:xfrm>
                                            <a:off x="0" y="0"/>
                                            <a:ext cx="1209675" cy="1209675"/>
                                          </a:xfrm>
                                          <a:prstGeom prst="rect">
                                            <a:avLst/>
                                          </a:prstGeom>
                                        </pic:spPr>
                                      </pic:pic>
                                    </a:graphicData>
                                  </a:graphic>
                                </wp:inline>
                              </w:drawing>
                            </w:r>
                            <w:r>
                              <w:rPr/>
                              <w:t xml:space="preserve"> </w:t>
                            </w:r>
                          </w:p>
                          <w:p>
                            <w:pPr>
                              <w:pStyle w:val="TableContents"/>
                              <w:pBdr/>
                              <w:spacing w:before="105" w:after="0"/>
                              <w:ind w:left="0" w:right="0" w:hanging="0"/>
                              <w:jc w:val="left"/>
                              <w:rPr>
                                <w:rFonts w:ascii="Arial" w:hAnsi="Arial"/>
                                <w:color w:val="245BA7"/>
                                <w:sz w:val="20"/>
                              </w:rPr>
                            </w:pPr>
                            <w:r>
                              <w:rPr>
                                <w:rFonts w:ascii="Arial" w:hAnsi="Arial"/>
                                <w:b/>
                                <w:color w:val="245BA7"/>
                                <w:sz w:val="20"/>
                              </w:rPr>
                              <w:t>Director since:</w:t>
                            </w:r>
                            <w:r>
                              <w:rPr>
                                <w:rFonts w:ascii="Arial" w:hAnsi="Arial"/>
                                <w:color w:val="000000"/>
                                <w:sz w:val="20"/>
                              </w:rPr>
                              <w:t xml:space="preserve"> 2001</w:t>
                            </w:r>
                          </w:p>
                          <w:p>
                            <w:pPr>
                              <w:pStyle w:val="TableContents"/>
                              <w:pBdr/>
                              <w:spacing w:before="105" w:after="135"/>
                              <w:ind w:left="0" w:right="0" w:hanging="0"/>
                              <w:jc w:val="left"/>
                              <w:rPr>
                                <w:rFonts w:ascii="Arial" w:hAnsi="Arial"/>
                                <w:b w:val="false"/>
                                <w:i w:val="false"/>
                                <w:caps w:val="false"/>
                                <w:smallCaps w:val="false"/>
                                <w:color w:val="245BA7"/>
                                <w:sz w:val="20"/>
                              </w:rPr>
                            </w:pPr>
                            <w:r>
                              <w:rPr>
                                <w:rFonts w:ascii="Arial" w:hAnsi="Arial"/>
                                <w:b/>
                                <w:i w:val="false"/>
                                <w:caps w:val="false"/>
                                <w:smallCaps w:val="false"/>
                                <w:color w:val="245BA7"/>
                                <w:sz w:val="20"/>
                              </w:rPr>
                              <w:t>Age:</w:t>
                            </w:r>
                            <w:r>
                              <w:rPr>
                                <w:rFonts w:ascii="Arial" w:hAnsi="Arial"/>
                                <w:b w:val="false"/>
                                <w:i w:val="false"/>
                                <w:caps w:val="false"/>
                                <w:smallCaps w:val="false"/>
                                <w:color w:val="000000"/>
                                <w:sz w:val="20"/>
                              </w:rPr>
                              <w:t xml:space="preserve"> 63</w:t>
                            </w:r>
                          </w:p>
                        </w:tc>
                        <w:tc>
                          <w:tcPr>
                            <w:tcW w:w="1699" w:type="dxa"/>
                            <w:tcBorders/>
                            <w:shd w:fill="auto" w:val="clear"/>
                            <w:vAlign w:val="center"/>
                          </w:tcPr>
                          <w:p>
                            <w:pPr>
                              <w:pStyle w:val="TableContents"/>
                              <w:pBdr/>
                              <w:spacing w:before="0" w:after="45"/>
                              <w:ind w:left="0" w:right="0" w:hanging="0"/>
                              <w:rPr>
                                <w:color w:val="245BA7"/>
                              </w:rPr>
                            </w:pPr>
                            <w:r>
                              <w:rPr>
                                <w:color w:val="245BA7"/>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Board and Committee Membership—2022 Attendance</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Board of Directors:</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7/7</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Technology Committee:</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2/2</w:t>
                            </w:r>
                          </w:p>
                        </w:tc>
                      </w:tr>
                      <w:tr>
                        <w:trPr/>
                        <w:tc>
                          <w:tcPr>
                            <w:tcW w:w="4020" w:type="dxa"/>
                            <w:tcBorders/>
                            <w:shd w:fill="auto" w:val="clear"/>
                            <w:vAlign w:val="center"/>
                          </w:tcPr>
                          <w:p>
                            <w:pPr>
                              <w:pStyle w:val="TableContents"/>
                              <w:spacing w:before="0" w:after="283"/>
                              <w:rPr/>
                            </w:pPr>
                            <w:r>
                              <w:rPr/>
                              <w:t> </w:t>
                            </w:r>
                          </w:p>
                        </w:tc>
                        <w:tc>
                          <w:tcPr>
                            <w:tcW w:w="1699" w:type="dxa"/>
                            <w:tcBorders/>
                            <w:shd w:fill="auto" w:val="clear"/>
                            <w:vAlign w:val="center"/>
                          </w:tcPr>
                          <w:p>
                            <w:pPr>
                              <w:pStyle w:val="TableContents"/>
                              <w:spacing w:before="0" w:after="283"/>
                              <w:rPr/>
                            </w:pPr>
                            <w:r>
                              <w:rPr/>
                              <w:t> </w:t>
                            </w:r>
                          </w:p>
                        </w:tc>
                      </w:tr>
                      <w:tr>
                        <w:trPr/>
                        <w:tc>
                          <w:tcPr>
                            <w:tcW w:w="5719" w:type="dxa"/>
                            <w:gridSpan w:val="2"/>
                            <w:tcBorders>
                              <w:top w:val="single" w:sz="12" w:space="0" w:color="000000"/>
                            </w:tcBorders>
                            <w:shd w:fill="auto" w:val="clear"/>
                            <w:tcMar>
                              <w:top w:w="165" w:type="dxa"/>
                            </w:tcMar>
                            <w:vAlign w:val="center"/>
                          </w:tcPr>
                          <w:p>
                            <w:pPr>
                              <w:pStyle w:val="TableContents"/>
                              <w:pBdr/>
                              <w:spacing w:before="45" w:after="0"/>
                              <w:ind w:left="0" w:right="0" w:hanging="0"/>
                              <w:rPr>
                                <w:rFonts w:ascii="Arial" w:hAnsi="Arial"/>
                                <w:b/>
                                <w:color w:val="245BA7"/>
                                <w:sz w:val="20"/>
                              </w:rPr>
                            </w:pPr>
                            <w:r>
                              <w:rPr>
                                <w:rFonts w:ascii="Arial" w:hAnsi="Arial"/>
                                <w:b/>
                                <w:color w:val="245BA7"/>
                                <w:sz w:val="20"/>
                              </w:rPr>
                              <w:t>Regeneron Securities Beneficially Owned as of April 11, 2023</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Class A Stock:</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42,750</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Common Stock:</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1,222,370</w:t>
                            </w:r>
                          </w:p>
                        </w:tc>
                      </w:tr>
                      <w:tr>
                        <w:trPr/>
                        <w:tc>
                          <w:tcPr>
                            <w:tcW w:w="4020"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Options:</w:t>
                            </w:r>
                          </w:p>
                        </w:tc>
                        <w:tc>
                          <w:tcPr>
                            <w:tcW w:w="1699" w:type="dxa"/>
                            <w:tcBorders/>
                            <w:shd w:fill="auto" w:val="clear"/>
                            <w:vAlign w:val="center"/>
                          </w:tcPr>
                          <w:p>
                            <w:pPr>
                              <w:pStyle w:val="TableContents"/>
                              <w:pBdr/>
                              <w:spacing w:before="60" w:after="0"/>
                              <w:ind w:left="0" w:right="0" w:hanging="0"/>
                              <w:jc w:val="right"/>
                              <w:rPr>
                                <w:rFonts w:ascii="Arial" w:hAnsi="Arial"/>
                                <w:b/>
                                <w:color w:val="245BA7"/>
                                <w:sz w:val="20"/>
                              </w:rPr>
                            </w:pPr>
                            <w:r>
                              <w:rPr>
                                <w:rFonts w:ascii="Arial" w:hAnsi="Arial"/>
                                <w:b/>
                                <w:color w:val="245BA7"/>
                                <w:sz w:val="20"/>
                              </w:rPr>
                              <w:t>795,799</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3">
                <wp:simplePos x="0" y="0"/>
                <wp:positionH relativeFrom="column">
                  <wp:align>right</wp:align>
                </wp:positionH>
                <wp:positionV relativeFrom="line">
                  <wp:posOffset>635</wp:posOffset>
                </wp:positionV>
                <wp:extent cx="4276725" cy="4110990"/>
                <wp:effectExtent l="0" t="0" r="0" b="0"/>
                <wp:wrapSquare wrapText="largest"/>
                <wp:docPr id="112" name="Frame28"/>
                <a:graphic xmlns:a="http://schemas.openxmlformats.org/drawingml/2006/main">
                  <a:graphicData uri="http://schemas.microsoft.com/office/word/2010/wordprocessingShape">
                    <wps:wsp>
                      <wps:cNvSpPr txBox="1"/>
                      <wps:spPr>
                        <a:xfrm>
                          <a:off x="0" y="0"/>
                          <a:ext cx="4276725" cy="4110990"/>
                        </a:xfrm>
                        <a:prstGeom prst="rect"/>
                      </wps:spPr>
                      <wps:txb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Founding scientist of the Company; built and managed the Company since 1989 together with Dr. Schleifer</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President and Chief Scientific Officer of the Company</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Director of the Company since 2001</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11</w:t>
                                  </w:r>
                                  <w:r>
                                    <w:rPr>
                                      <w:rFonts w:ascii="Arial" w:hAnsi="Arial"/>
                                      <w:color w:val="000000"/>
                                      <w:sz w:val="12"/>
                                    </w:rPr>
                                    <w:t>th</w:t>
                                  </w:r>
                                  <w:r>
                                    <w:rPr>
                                      <w:rFonts w:ascii="Arial" w:hAnsi="Arial"/>
                                      <w:color w:val="000000"/>
                                      <w:sz w:val="21"/>
                                    </w:rPr>
                                    <w:t xml:space="preserve"> most highly cited scientist in the world in the 1990s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Principal inventor and/or developer, together with key members of his team, of the nine FDA-approved drugs the Company has developed, EYLEA</w:t>
                                  </w:r>
                                  <w:r>
                                    <w:rPr>
                                      <w:rFonts w:ascii="Arial" w:hAnsi="Arial"/>
                                      <w:color w:val="000000"/>
                                      <w:sz w:val="12"/>
                                    </w:rPr>
                                    <w:t>®</w:t>
                                  </w:r>
                                  <w:r>
                                    <w:rPr>
                                      <w:rFonts w:ascii="Arial" w:hAnsi="Arial"/>
                                      <w:color w:val="000000"/>
                                      <w:sz w:val="21"/>
                                    </w:rPr>
                                    <w:t xml:space="preserve"> (aflibercept) Injection, Praluent</w:t>
                                  </w:r>
                                  <w:r>
                                    <w:rPr>
                                      <w:rFonts w:ascii="Arial" w:hAnsi="Arial"/>
                                      <w:color w:val="000000"/>
                                      <w:sz w:val="12"/>
                                    </w:rPr>
                                    <w:t>®</w:t>
                                  </w:r>
                                  <w:r>
                                    <w:rPr>
                                      <w:rFonts w:ascii="Arial" w:hAnsi="Arial"/>
                                      <w:color w:val="000000"/>
                                      <w:sz w:val="21"/>
                                    </w:rPr>
                                    <w:t xml:space="preserve"> (alirocumab), Dupixent</w:t>
                                  </w:r>
                                  <w:r>
                                    <w:rPr>
                                      <w:rFonts w:ascii="Arial" w:hAnsi="Arial"/>
                                      <w:color w:val="000000"/>
                                      <w:sz w:val="12"/>
                                    </w:rPr>
                                    <w:t>®</w:t>
                                  </w:r>
                                  <w:r>
                                    <w:rPr>
                                      <w:rFonts w:ascii="Arial" w:hAnsi="Arial"/>
                                      <w:color w:val="000000"/>
                                      <w:sz w:val="21"/>
                                    </w:rPr>
                                    <w:t xml:space="preserve"> (dupilumab), Kevzara</w:t>
                                  </w:r>
                                  <w:r>
                                    <w:rPr>
                                      <w:rFonts w:ascii="Arial" w:hAnsi="Arial"/>
                                      <w:color w:val="000000"/>
                                      <w:sz w:val="12"/>
                                    </w:rPr>
                                    <w:t>®</w:t>
                                  </w:r>
                                  <w:r>
                                    <w:rPr>
                                      <w:rFonts w:ascii="Arial" w:hAnsi="Arial"/>
                                      <w:color w:val="000000"/>
                                      <w:sz w:val="21"/>
                                    </w:rPr>
                                    <w:t xml:space="preserve"> (sarilumab), Libtayo</w:t>
                                  </w:r>
                                  <w:r>
                                    <w:rPr>
                                      <w:rFonts w:ascii="Arial" w:hAnsi="Arial"/>
                                      <w:color w:val="000000"/>
                                      <w:sz w:val="12"/>
                                    </w:rPr>
                                    <w:t>®</w:t>
                                  </w:r>
                                  <w:r>
                                    <w:rPr>
                                      <w:rFonts w:ascii="Arial" w:hAnsi="Arial"/>
                                      <w:color w:val="000000"/>
                                      <w:sz w:val="21"/>
                                    </w:rPr>
                                    <w:t xml:space="preserve"> (cemiplimab), Evkeeza</w:t>
                                  </w:r>
                                  <w:r>
                                    <w:rPr>
                                      <w:rFonts w:ascii="Arial" w:hAnsi="Arial"/>
                                      <w:color w:val="000000"/>
                                      <w:sz w:val="12"/>
                                    </w:rPr>
                                    <w:t>®</w:t>
                                  </w:r>
                                  <w:r>
                                    <w:rPr>
                                      <w:rFonts w:ascii="Arial" w:hAnsi="Arial"/>
                                      <w:color w:val="000000"/>
                                      <w:sz w:val="21"/>
                                    </w:rPr>
                                    <w:t xml:space="preserve"> (evinacumab-dgnb), Inmazeb</w:t>
                                  </w:r>
                                  <w:r>
                                    <w:rPr>
                                      <w:rFonts w:ascii="Arial" w:hAnsi="Arial"/>
                                      <w:color w:val="000000"/>
                                      <w:sz w:val="12"/>
                                    </w:rPr>
                                    <w:t>®</w:t>
                                  </w:r>
                                  <w:r>
                                    <w:rPr>
                                      <w:rFonts w:ascii="Arial" w:hAnsi="Arial"/>
                                      <w:color w:val="000000"/>
                                      <w:sz w:val="21"/>
                                    </w:rPr>
                                    <w:t xml:space="preserve"> (atoltivimab, maftivimab and odesivimab-ebgn), ZALTRAP</w:t>
                                  </w:r>
                                  <w:r>
                                    <w:rPr>
                                      <w:rFonts w:ascii="Arial" w:hAnsi="Arial"/>
                                      <w:color w:val="000000"/>
                                      <w:sz w:val="12"/>
                                    </w:rPr>
                                    <w:t>®</w:t>
                                  </w:r>
                                  <w:r>
                                    <w:rPr>
                                      <w:rFonts w:ascii="Arial" w:hAnsi="Arial"/>
                                      <w:color w:val="000000"/>
                                      <w:sz w:val="21"/>
                                    </w:rPr>
                                    <w:t xml:space="preserve"> (ziv-aflibercept) Injection for Intravenous Infusion, and ARCALYST</w:t>
                                  </w:r>
                                  <w:r>
                                    <w:rPr>
                                      <w:rFonts w:ascii="Arial" w:hAnsi="Arial"/>
                                      <w:color w:val="000000"/>
                                      <w:sz w:val="12"/>
                                    </w:rPr>
                                    <w:t>®</w:t>
                                  </w:r>
                                  <w:r>
                                    <w:rPr>
                                      <w:rFonts w:ascii="Arial" w:hAnsi="Arial"/>
                                      <w:color w:val="000000"/>
                                      <w:sz w:val="21"/>
                                    </w:rPr>
                                    <w:t xml:space="preserve"> (rilonacept) Injection for Subcutaneous Use, as well as of its foundation technologies, including the TRAP technology, </w:t>
                                  </w:r>
                                  <w:r>
                                    <w:rPr>
                                      <w:rFonts w:ascii="Arial" w:hAnsi="Arial"/>
                                      <w:i/>
                                      <w:color w:val="000000"/>
                                      <w:sz w:val="21"/>
                                    </w:rPr>
                                    <w:t>VelociGene</w:t>
                                  </w:r>
                                  <w:r>
                                    <w:rPr>
                                      <w:rFonts w:ascii="Arial" w:hAnsi="Arial"/>
                                      <w:color w:val="000000"/>
                                      <w:sz w:val="12"/>
                                    </w:rPr>
                                    <w:t>®</w:t>
                                  </w:r>
                                  <w:r>
                                    <w:rPr>
                                      <w:rFonts w:ascii="Arial" w:hAnsi="Arial"/>
                                      <w:color w:val="000000"/>
                                      <w:sz w:val="21"/>
                                    </w:rPr>
                                    <w:t xml:space="preserve">, and </w:t>
                                  </w:r>
                                  <w:r>
                                    <w:rPr>
                                      <w:rFonts w:ascii="Arial" w:hAnsi="Arial"/>
                                      <w:i/>
                                      <w:color w:val="000000"/>
                                      <w:sz w:val="21"/>
                                    </w:rPr>
                                    <w:t>VelocImmune</w:t>
                                  </w:r>
                                  <w:r>
                                    <w:rPr>
                                      <w:rFonts w:ascii="Arial" w:hAnsi="Arial"/>
                                      <w:color w:val="000000"/>
                                      <w:sz w:val="12"/>
                                    </w:rPr>
                                    <w:t>®</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Scientific Society Memberships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Sciences</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Yancopoulos’s significant industry and scientific experience and distinguished record of scientific expertise, as well as his extensive knowledge of the Company and an in-depth knowledge of the Company’s technologies and research and development programs, led the board to conclude that Dr. Yancopoulos should serve as a director.</w:t>
                                  </w:r>
                                </w:p>
                              </w:tc>
                            </w:tr>
                          </w:tbl>
                          <w:p>
                            <w:pPr>
                              <w:pStyle w:val="TextBody"/>
                              <w:spacing w:before="0" w:after="283"/>
                              <w:rPr/>
                            </w:pPr>
                            <w:r>
                              <w:rPr/>
                            </w:r>
                          </w:p>
                        </w:txbxContent>
                      </wps:txbx>
                      <wps:bodyPr anchor="t" lIns="0" tIns="0" rIns="0" bIns="0">
                        <a:noAutofit/>
                      </wps:bodyPr>
                    </wps:wsp>
                  </a:graphicData>
                </a:graphic>
                <wp14:sizeRelH relativeFrom="margin">
                  <wp14:pctWidth>66000</wp14:pctWidth>
                </wp14:sizeRelH>
              </wp:anchor>
            </w:drawing>
          </mc:Choice>
          <mc:Fallback>
            <w:pict>
              <v:rect style="position:absolute;rotation:0;width:336.75pt;height:323.7pt;mso-wrap-distance-left:0pt;mso-wrap-distance-right:0pt;mso-wrap-distance-top:0pt;mso-wrap-distance-bottom:0pt;margin-top:0pt;mso-position-vertical:top;mso-position-vertical-relative:text;margin-left:173.5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Heading4"/>
                              <w:pBdr/>
                              <w:spacing w:before="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Career Highlights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Founding scientist of the Company; built and managed the Company since 1989 together with Dr. Schleifer</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President and Chief Scientific Officer of the Company</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Director of the Company since 2001</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11</w:t>
                            </w:r>
                            <w:r>
                              <w:rPr>
                                <w:rFonts w:ascii="Arial" w:hAnsi="Arial"/>
                                <w:color w:val="000000"/>
                                <w:sz w:val="12"/>
                              </w:rPr>
                              <w:t>th</w:t>
                            </w:r>
                            <w:r>
                              <w:rPr>
                                <w:rFonts w:ascii="Arial" w:hAnsi="Arial"/>
                                <w:color w:val="000000"/>
                                <w:sz w:val="21"/>
                              </w:rPr>
                              <w:t xml:space="preserve"> most highly cited scientist in the world in the 1990s</w:t>
                            </w:r>
                          </w:p>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Principal inventor and/or developer, together with key members of his team, of the nine FDA-approved drugs the Company has developed, EYLEA</w:t>
                            </w:r>
                            <w:r>
                              <w:rPr>
                                <w:rFonts w:ascii="Arial" w:hAnsi="Arial"/>
                                <w:color w:val="000000"/>
                                <w:sz w:val="12"/>
                              </w:rPr>
                              <w:t>®</w:t>
                            </w:r>
                            <w:r>
                              <w:rPr>
                                <w:rFonts w:ascii="Arial" w:hAnsi="Arial"/>
                                <w:color w:val="000000"/>
                                <w:sz w:val="21"/>
                              </w:rPr>
                              <w:t xml:space="preserve"> (aflibercept) Injection, Praluent</w:t>
                            </w:r>
                            <w:r>
                              <w:rPr>
                                <w:rFonts w:ascii="Arial" w:hAnsi="Arial"/>
                                <w:color w:val="000000"/>
                                <w:sz w:val="12"/>
                              </w:rPr>
                              <w:t>®</w:t>
                            </w:r>
                            <w:r>
                              <w:rPr>
                                <w:rFonts w:ascii="Arial" w:hAnsi="Arial"/>
                                <w:color w:val="000000"/>
                                <w:sz w:val="21"/>
                              </w:rPr>
                              <w:t xml:space="preserve"> (alirocumab), Dupixent</w:t>
                            </w:r>
                            <w:r>
                              <w:rPr>
                                <w:rFonts w:ascii="Arial" w:hAnsi="Arial"/>
                                <w:color w:val="000000"/>
                                <w:sz w:val="12"/>
                              </w:rPr>
                              <w:t>®</w:t>
                            </w:r>
                            <w:r>
                              <w:rPr>
                                <w:rFonts w:ascii="Arial" w:hAnsi="Arial"/>
                                <w:color w:val="000000"/>
                                <w:sz w:val="21"/>
                              </w:rPr>
                              <w:t xml:space="preserve"> (dupilumab), Kevzara</w:t>
                            </w:r>
                            <w:r>
                              <w:rPr>
                                <w:rFonts w:ascii="Arial" w:hAnsi="Arial"/>
                                <w:color w:val="000000"/>
                                <w:sz w:val="12"/>
                              </w:rPr>
                              <w:t>®</w:t>
                            </w:r>
                            <w:r>
                              <w:rPr>
                                <w:rFonts w:ascii="Arial" w:hAnsi="Arial"/>
                                <w:color w:val="000000"/>
                                <w:sz w:val="21"/>
                              </w:rPr>
                              <w:t xml:space="preserve"> (sarilumab), Libtayo</w:t>
                            </w:r>
                            <w:r>
                              <w:rPr>
                                <w:rFonts w:ascii="Arial" w:hAnsi="Arial"/>
                                <w:color w:val="000000"/>
                                <w:sz w:val="12"/>
                              </w:rPr>
                              <w:t>®</w:t>
                            </w:r>
                            <w:r>
                              <w:rPr>
                                <w:rFonts w:ascii="Arial" w:hAnsi="Arial"/>
                                <w:color w:val="000000"/>
                                <w:sz w:val="21"/>
                              </w:rPr>
                              <w:t xml:space="preserve"> (cemiplimab), Evkeeza</w:t>
                            </w:r>
                            <w:r>
                              <w:rPr>
                                <w:rFonts w:ascii="Arial" w:hAnsi="Arial"/>
                                <w:color w:val="000000"/>
                                <w:sz w:val="12"/>
                              </w:rPr>
                              <w:t>®</w:t>
                            </w:r>
                            <w:r>
                              <w:rPr>
                                <w:rFonts w:ascii="Arial" w:hAnsi="Arial"/>
                                <w:color w:val="000000"/>
                                <w:sz w:val="21"/>
                              </w:rPr>
                              <w:t xml:space="preserve"> (evinacumab-dgnb), Inmazeb</w:t>
                            </w:r>
                            <w:r>
                              <w:rPr>
                                <w:rFonts w:ascii="Arial" w:hAnsi="Arial"/>
                                <w:color w:val="000000"/>
                                <w:sz w:val="12"/>
                              </w:rPr>
                              <w:t>®</w:t>
                            </w:r>
                            <w:r>
                              <w:rPr>
                                <w:rFonts w:ascii="Arial" w:hAnsi="Arial"/>
                                <w:color w:val="000000"/>
                                <w:sz w:val="21"/>
                              </w:rPr>
                              <w:t xml:space="preserve"> (atoltivimab, maftivimab and odesivimab-ebgn), ZALTRAP</w:t>
                            </w:r>
                            <w:r>
                              <w:rPr>
                                <w:rFonts w:ascii="Arial" w:hAnsi="Arial"/>
                                <w:color w:val="000000"/>
                                <w:sz w:val="12"/>
                              </w:rPr>
                              <w:t>®</w:t>
                            </w:r>
                            <w:r>
                              <w:rPr>
                                <w:rFonts w:ascii="Arial" w:hAnsi="Arial"/>
                                <w:color w:val="000000"/>
                                <w:sz w:val="21"/>
                              </w:rPr>
                              <w:t xml:space="preserve"> (ziv-aflibercept) Injection for Intravenous Infusion, and ARCALYST</w:t>
                            </w:r>
                            <w:r>
                              <w:rPr>
                                <w:rFonts w:ascii="Arial" w:hAnsi="Arial"/>
                                <w:color w:val="000000"/>
                                <w:sz w:val="12"/>
                              </w:rPr>
                              <w:t>®</w:t>
                            </w:r>
                            <w:r>
                              <w:rPr>
                                <w:rFonts w:ascii="Arial" w:hAnsi="Arial"/>
                                <w:color w:val="000000"/>
                                <w:sz w:val="21"/>
                              </w:rPr>
                              <w:t xml:space="preserve"> (rilonacept) Injection for Subcutaneous Use, as well as of its foundation technologies, including the TRAP technology, </w:t>
                            </w:r>
                            <w:r>
                              <w:rPr>
                                <w:rFonts w:ascii="Arial" w:hAnsi="Arial"/>
                                <w:i/>
                                <w:color w:val="000000"/>
                                <w:sz w:val="21"/>
                              </w:rPr>
                              <w:t>VelociGene</w:t>
                            </w:r>
                            <w:r>
                              <w:rPr>
                                <w:rFonts w:ascii="Arial" w:hAnsi="Arial"/>
                                <w:color w:val="000000"/>
                                <w:sz w:val="12"/>
                              </w:rPr>
                              <w:t>®</w:t>
                            </w:r>
                            <w:r>
                              <w:rPr>
                                <w:rFonts w:ascii="Arial" w:hAnsi="Arial"/>
                                <w:color w:val="000000"/>
                                <w:sz w:val="21"/>
                              </w:rPr>
                              <w:t xml:space="preserve">, and </w:t>
                            </w:r>
                            <w:r>
                              <w:rPr>
                                <w:rFonts w:ascii="Arial" w:hAnsi="Arial"/>
                                <w:i/>
                                <w:color w:val="000000"/>
                                <w:sz w:val="21"/>
                              </w:rPr>
                              <w:t>VelocImmune</w:t>
                            </w:r>
                            <w:r>
                              <w:rPr>
                                <w:rFonts w:ascii="Arial" w:hAnsi="Arial"/>
                                <w:color w:val="000000"/>
                                <w:sz w:val="12"/>
                              </w:rPr>
                              <w:t>®</w:t>
                            </w:r>
                          </w:p>
                        </w:tc>
                      </w:tr>
                      <w:tr>
                        <w:trPr/>
                        <w:tc>
                          <w:tcPr>
                            <w:tcW w:w="10205" w:type="dxa"/>
                            <w:tcBorders/>
                            <w:shd w:fill="auto" w:val="clear"/>
                            <w:vAlign w:val="center"/>
                          </w:tcPr>
                          <w:p>
                            <w:pPr>
                              <w:pStyle w:val="Heading4"/>
                              <w:pBdr/>
                              <w:spacing w:before="100" w:after="100"/>
                              <w:ind w:left="0" w:right="0" w:hanging="0"/>
                              <w:rPr>
                                <w:rFonts w:ascii="Arial" w:hAnsi="Arial"/>
                                <w:b/>
                                <w:i w:val="false"/>
                                <w:caps w:val="false"/>
                                <w:smallCaps w:val="false"/>
                                <w:color w:val="D31B5D"/>
                                <w:sz w:val="24"/>
                              </w:rPr>
                            </w:pPr>
                            <w:r>
                              <w:rPr>
                                <w:rFonts w:ascii="Arial" w:hAnsi="Arial"/>
                                <w:b/>
                                <w:i w:val="false"/>
                                <w:caps w:val="false"/>
                                <w:smallCaps w:val="false"/>
                                <w:color w:val="D31B5D"/>
                                <w:sz w:val="24"/>
                              </w:rPr>
                              <w:t>Scientific Society Memberships</w:t>
                            </w:r>
                          </w:p>
                        </w:tc>
                      </w:tr>
                      <w:tr>
                        <w:trPr/>
                        <w:tc>
                          <w:tcPr>
                            <w:tcW w:w="10205" w:type="dxa"/>
                            <w:tcBorders/>
                            <w:shd w:fill="auto" w:val="clear"/>
                            <w:vAlign w:val="center"/>
                          </w:tcPr>
                          <w:p>
                            <w:pPr>
                              <w:pStyle w:val="TableContents"/>
                              <w:spacing w:before="0" w:after="0"/>
                              <w:ind w:left="0" w:right="30" w:hanging="0"/>
                              <w:rPr>
                                <w:color w:val="245BA7"/>
                              </w:rPr>
                            </w:pPr>
                            <w:r>
                              <w:rPr>
                                <w:color w:val="245BA7"/>
                              </w:rPr>
                              <w:t>•</w:t>
                            </w:r>
                          </w:p>
                          <w:p>
                            <w:pPr>
                              <w:pStyle w:val="TableContents"/>
                              <w:pBdr/>
                              <w:spacing w:before="0" w:after="0"/>
                              <w:ind w:left="0" w:right="30" w:hanging="0"/>
                              <w:rPr>
                                <w:rFonts w:ascii="Arial" w:hAnsi="Arial"/>
                                <w:color w:val="000000"/>
                                <w:sz w:val="21"/>
                              </w:rPr>
                            </w:pPr>
                            <w:r>
                              <w:rPr>
                                <w:rFonts w:ascii="Arial" w:hAnsi="Arial"/>
                                <w:color w:val="000000"/>
                                <w:sz w:val="21"/>
                              </w:rPr>
                              <w:t>The National Academy of Sciences</w:t>
                            </w:r>
                          </w:p>
                        </w:tc>
                      </w:tr>
                      <w:tr>
                        <w:trPr/>
                        <w:tc>
                          <w:tcPr>
                            <w:tcW w:w="10205" w:type="dxa"/>
                            <w:tcBorders/>
                            <w:shd w:fill="auto" w:val="clear"/>
                            <w:vAlign w:val="center"/>
                          </w:tcPr>
                          <w:p>
                            <w:pPr>
                              <w:pStyle w:val="TableContents"/>
                              <w:pBdr/>
                              <w:spacing w:before="0" w:after="60"/>
                              <w:ind w:left="0" w:right="0" w:hanging="0"/>
                              <w:rPr>
                                <w:rFonts w:ascii="Arial" w:hAnsi="Arial"/>
                                <w:i/>
                                <w:color w:val="000000"/>
                                <w:sz w:val="21"/>
                              </w:rPr>
                            </w:pPr>
                            <w:r>
                              <w:rPr>
                                <w:rFonts w:ascii="Arial" w:hAnsi="Arial"/>
                                <w:i/>
                                <w:color w:val="000000"/>
                                <w:sz w:val="21"/>
                              </w:rPr>
                              <w:t>Dr. Yancopoulos’s significant industry and scientific experience and distinguished record of scientific expertise, as well as his extensive knowledge of the Company and an in-depth knowledge of the Company’s technologies and research and development programs, led the board to conclude that Dr. Yancopoulos should serve as a director.</w:t>
                            </w:r>
                          </w:p>
                        </w:tc>
                      </w:tr>
                    </w:tbl>
                    <w:p>
                      <w:pPr>
                        <w:pStyle w:val="TextBody"/>
                        <w:spacing w:before="0" w:after="283"/>
                        <w:rPr/>
                      </w:pPr>
                      <w:r>
                        <w:rPr/>
                      </w:r>
                    </w:p>
                  </w:txbxContent>
                </v:textbox>
                <w10:wrap type="square" side="left"/>
              </v:rect>
            </w:pict>
          </mc:Fallback>
        </mc:AlternateConten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1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3" descr=""/>
                          <pic:cNvPicPr>
                            <a:picLocks noChangeAspect="1" noChangeArrowheads="1"/>
                          </pic:cNvPicPr>
                        </pic:nvPicPr>
                        <pic:blipFill>
                          <a:blip r:embed="rId74"/>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18</w:t>
            </w:r>
          </w:p>
        </w:tc>
      </w:tr>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jc w:val="center"/>
        <w:rPr/>
      </w:pPr>
      <w:r>
        <w:rPr/>
        <w:drawing>
          <wp:inline distT="0" distB="0" distL="0" distR="0">
            <wp:extent cx="7620000" cy="1552575"/>
            <wp:effectExtent l="0" t="0" r="0" b="0"/>
            <wp:docPr id="11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4" descr=""/>
                    <pic:cNvPicPr>
                      <a:picLocks noChangeAspect="1" noChangeArrowheads="1"/>
                    </pic:cNvPicPr>
                  </pic:nvPicPr>
                  <pic:blipFill>
                    <a:blip r:embed="rId75"/>
                    <a:stretch>
                      <a:fillRect/>
                    </a:stretch>
                  </pic:blipFill>
                  <pic:spPr bwMode="auto">
                    <a:xfrm>
                      <a:off x="0" y="0"/>
                      <a:ext cx="7620000" cy="1552575"/>
                    </a:xfrm>
                    <a:prstGeom prst="rect">
                      <a:avLst/>
                    </a:prstGeom>
                  </pic:spPr>
                </pic:pic>
              </a:graphicData>
            </a:graphic>
          </wp:inline>
        </w:drawing>
      </w:r>
    </w:p>
    <w:p>
      <w:pPr>
        <w:pStyle w:val="Heading1"/>
        <w:pBdr/>
        <w:spacing w:before="0" w:after="0"/>
        <w:ind w:left="720" w:right="0" w:hanging="0"/>
        <w:jc w:val="left"/>
        <w:rPr>
          <w:rFonts w:ascii="Arial" w:hAnsi="Arial"/>
          <w:b/>
          <w:i w:val="false"/>
          <w:caps w:val="false"/>
          <w:smallCaps w:val="false"/>
          <w:color w:val="245BA7"/>
          <w:sz w:val="54"/>
        </w:rPr>
      </w:pPr>
      <w:bookmarkStart w:id="37" w:name="new_id-32"/>
      <w:bookmarkEnd w:id="37"/>
      <w:r>
        <w:rPr>
          <w:rFonts w:ascii="Arial" w:hAnsi="Arial"/>
          <w:b/>
          <w:i w:val="false"/>
          <w:caps w:val="false"/>
          <w:smallCaps w:val="false"/>
          <w:color w:val="245BA7"/>
          <w:sz w:val="54"/>
        </w:rPr>
        <w:t>BOARD COMMITTEES</w:t>
      </w:r>
    </w:p>
    <w:p>
      <w:pPr>
        <w:pStyle w:val="TextBody"/>
        <w:pBdr/>
        <w:spacing w:before="0" w:after="0"/>
        <w:ind w:left="0" w:right="0" w:hanging="0"/>
        <w:rPr>
          <w:caps w:val="false"/>
          <w:smallCaps w:val="false"/>
          <w:color w:val="245BA7"/>
        </w:rPr>
      </w:pPr>
      <w:r>
        <w:rPr>
          <w:caps w:val="false"/>
          <w:smallCaps w:val="false"/>
          <w:color w:val="245BA7"/>
        </w:rPr>
        <w:t>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The board has a standing Audit Committee, Compensation Committee, and Corporate Governance and Compliance Committee, each of which is comprised entirely of independent directors. The Corporate Governance and Compliance Committee is responsible for reviewing and recommending for the board’s selection candidates to serve on our board of directors and for overseeing all aspects of the Company’s compliance program other than financial compliance. The board also has a standing Technology Committee, which provides direct oversight of our research and clinical development programs, plans, and policies. The board has adopted charters for the Audit Committee, Compensation Committee, Corporate Governance and Compliance Committee, and Technology Committee, current copies of which are available on our website at </w:t>
      </w:r>
      <w:r>
        <w:rPr>
          <w:rFonts w:ascii="Arial" w:hAnsi="Arial"/>
          <w:b/>
          <w:i w:val="false"/>
          <w:caps w:val="false"/>
          <w:smallCaps w:val="false"/>
          <w:color w:val="000000"/>
          <w:sz w:val="21"/>
        </w:rPr>
        <w:t>www.regeneron.com</w:t>
      </w:r>
      <w:r>
        <w:rPr>
          <w:rFonts w:ascii="Arial" w:hAnsi="Arial"/>
          <w:b w:val="false"/>
          <w:i w:val="false"/>
          <w:caps w:val="false"/>
          <w:smallCaps w:val="false"/>
          <w:color w:val="000000"/>
          <w:sz w:val="21"/>
        </w:rPr>
        <w:t xml:space="preserve"> under the “Corporate Governance” heading on the “Investors &amp; Media” page.</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We show below information on the membership, key functions, recent focus areas, and number of meetings of each board committee during 2022.</w:t>
      </w:r>
    </w:p>
    <w:tbl>
      <w:tblPr>
        <w:tblW w:w="10205" w:type="dxa"/>
        <w:jc w:val="left"/>
        <w:tblInd w:w="0" w:type="dxa"/>
        <w:tblCellMar>
          <w:top w:w="135" w:type="dxa"/>
          <w:left w:w="28" w:type="dxa"/>
          <w:bottom w:w="135" w:type="dxa"/>
          <w:right w:w="28" w:type="dxa"/>
        </w:tblCellMar>
      </w:tblPr>
      <w:tblGrid>
        <w:gridCol w:w="1521"/>
        <w:gridCol w:w="8684"/>
      </w:tblGrid>
      <w:tr>
        <w:trPr/>
        <w:tc>
          <w:tcPr>
            <w:tcW w:w="10205" w:type="dxa"/>
            <w:gridSpan w:val="2"/>
            <w:tcBorders>
              <w:top w:val="single" w:sz="2" w:space="0" w:color="245BA7"/>
              <w:left w:val="single" w:sz="2" w:space="0" w:color="245BA7"/>
              <w:bottom w:val="single" w:sz="2" w:space="0" w:color="245BA7"/>
              <w:right w:val="single" w:sz="2" w:space="0" w:color="245BA7"/>
            </w:tcBorders>
            <w:shd w:fill="245BA7" w:val="clear"/>
            <w:vAlign w:val="center"/>
          </w:tcPr>
          <w:p>
            <w:pPr>
              <w:pStyle w:val="TableContents"/>
              <w:pBdr/>
              <w:spacing w:before="0" w:after="0"/>
              <w:ind w:left="75" w:right="0" w:hanging="0"/>
              <w:rPr>
                <w:rFonts w:ascii="Arial" w:hAnsi="Arial"/>
                <w:b/>
                <w:color w:val="FFFFFF"/>
                <w:sz w:val="30"/>
              </w:rPr>
            </w:pPr>
            <w:r>
              <w:rPr>
                <w:rFonts w:ascii="Arial" w:hAnsi="Arial"/>
                <w:b/>
                <w:color w:val="FFFFFF"/>
                <w:sz w:val="30"/>
              </w:rPr>
              <w:t>AUDIT</w:t>
            </w:r>
          </w:p>
        </w:tc>
      </w:tr>
      <w:tr>
        <w:trPr/>
        <w:tc>
          <w:tcPr>
            <w:tcW w:w="1521" w:type="dxa"/>
            <w:tcBorders/>
            <w:shd w:fill="auto" w:val="clear"/>
            <w:tcMar>
              <w:top w:w="0" w:type="dxa"/>
              <w:left w:w="0" w:type="dxa"/>
              <w:bottom w:w="0" w:type="dxa"/>
              <w:right w:w="0" w:type="dxa"/>
            </w:tcMar>
            <w:vAlign w:val="center"/>
          </w:tcPr>
          <w:p>
            <w:pPr>
              <w:pStyle w:val="TableContents"/>
              <w:pBdr/>
              <w:spacing w:before="0" w:after="0"/>
              <w:ind w:left="75" w:right="0" w:hanging="0"/>
              <w:rPr>
                <w:rFonts w:ascii="Arial" w:hAnsi="Arial"/>
                <w:b/>
                <w:color w:val="D31B5D"/>
                <w:sz w:val="20"/>
              </w:rPr>
            </w:pPr>
            <w:r>
              <w:rPr>
                <w:rFonts w:ascii="Arial" w:hAnsi="Arial"/>
                <w:b/>
                <w:color w:val="D31B5D"/>
                <w:sz w:val="20"/>
              </w:rPr>
              <w:t>Members</w:t>
            </w:r>
          </w:p>
        </w:tc>
        <w:tc>
          <w:tcPr>
            <w:tcW w:w="8684" w:type="dxa"/>
            <w:tcBorders/>
            <w:shd w:fill="auto" w:val="clear"/>
            <w:tcMar>
              <w:top w:w="0" w:type="dxa"/>
              <w:left w:w="0" w:type="dxa"/>
              <w:bottom w:w="0" w:type="dxa"/>
              <w:right w:w="0" w:type="dxa"/>
            </w:tcMar>
            <w:vAlign w:val="center"/>
          </w:tcPr>
          <w:p>
            <w:pPr>
              <w:pStyle w:val="TableContents"/>
              <w:pBdr/>
              <w:spacing w:before="0" w:after="0"/>
              <w:ind w:left="0" w:right="0" w:hanging="0"/>
              <w:rPr>
                <w:rFonts w:ascii="Arial" w:hAnsi="Arial"/>
                <w:b/>
                <w:color w:val="D31B5D"/>
                <w:sz w:val="20"/>
              </w:rPr>
            </w:pPr>
            <w:r>
              <w:rPr>
                <w:rFonts w:ascii="Arial" w:hAnsi="Arial"/>
                <w:b/>
                <w:color w:val="D31B5D"/>
                <w:sz w:val="20"/>
              </w:rPr>
              <w:t xml:space="preserve">Key Functions of the Committee </w:t>
            </w:r>
          </w:p>
        </w:tc>
      </w:tr>
      <w:tr>
        <w:trPr/>
        <w:tc>
          <w:tcPr>
            <w:tcW w:w="1521" w:type="dxa"/>
            <w:tcBorders/>
            <w:shd w:fill="auto" w:val="clear"/>
            <w:tcMar>
              <w:top w:w="0" w:type="dxa"/>
              <w:left w:w="0" w:type="dxa"/>
              <w:bottom w:w="0" w:type="dxa"/>
              <w:right w:w="0" w:type="dxa"/>
            </w:tcMar>
            <w:vAlign w:val="center"/>
          </w:tcPr>
          <w:p>
            <w:pPr>
              <w:pStyle w:val="TableContents"/>
              <w:pBdr/>
              <w:spacing w:before="105" w:after="0"/>
              <w:ind w:left="75" w:right="0" w:hanging="0"/>
              <w:rPr>
                <w:rFonts w:ascii="Arial" w:hAnsi="Arial"/>
                <w:color w:val="245BA7"/>
                <w:sz w:val="20"/>
              </w:rPr>
            </w:pPr>
            <w:r>
              <w:rPr>
                <w:rFonts w:ascii="Arial" w:hAnsi="Arial"/>
                <w:color w:val="245BA7"/>
                <w:sz w:val="20"/>
              </w:rPr>
              <w:t xml:space="preserve">George L. Sing, </w:t>
            </w:r>
            <w:r>
              <w:rPr>
                <w:rFonts w:ascii="Arial" w:hAnsi="Arial"/>
                <w:i/>
                <w:color w:val="245BA7"/>
                <w:sz w:val="20"/>
              </w:rPr>
              <w:t>Chair</w:t>
            </w:r>
          </w:p>
          <w:p>
            <w:pPr>
              <w:pStyle w:val="TableContents"/>
              <w:pBdr/>
              <w:spacing w:before="105" w:after="0"/>
              <w:ind w:left="75" w:right="0" w:hanging="0"/>
              <w:rPr>
                <w:rFonts w:ascii="Arial" w:hAnsi="Arial"/>
                <w:color w:val="245BA7"/>
                <w:sz w:val="20"/>
              </w:rPr>
            </w:pPr>
            <w:r>
              <w:rPr>
                <w:rFonts w:ascii="Arial" w:hAnsi="Arial"/>
                <w:color w:val="245BA7"/>
                <w:sz w:val="20"/>
              </w:rPr>
              <w:t>N. Anthony Coles, M.D.</w:t>
            </w:r>
          </w:p>
          <w:p>
            <w:pPr>
              <w:pStyle w:val="TableContents"/>
              <w:pBdr/>
              <w:spacing w:before="105" w:after="0"/>
              <w:ind w:left="75" w:right="0" w:hanging="0"/>
              <w:rPr>
                <w:rFonts w:ascii="Arial" w:hAnsi="Arial"/>
                <w:color w:val="245BA7"/>
                <w:sz w:val="20"/>
              </w:rPr>
            </w:pPr>
            <w:r>
              <w:rPr>
                <w:rFonts w:ascii="Arial" w:hAnsi="Arial"/>
                <w:color w:val="245BA7"/>
                <w:sz w:val="20"/>
              </w:rPr>
              <w:t>Arthur F. Ryan</w:t>
            </w:r>
          </w:p>
        </w:tc>
        <w:tc>
          <w:tcPr>
            <w:tcW w:w="8684" w:type="dxa"/>
            <w:vMerge w:val="restart"/>
            <w:tcBorders>
              <w:bottom w:val="single" w:sz="2" w:space="0" w:color="245BA7"/>
            </w:tcBorders>
            <w:shd w:fill="auto" w:val="clear"/>
            <w:tcMar>
              <w:top w:w="0" w:type="dxa"/>
              <w:left w:w="0" w:type="dxa"/>
              <w:bottom w:w="75" w:type="dxa"/>
              <w:right w:w="0" w:type="dxa"/>
            </w:tcMar>
            <w:vAlign w:val="center"/>
          </w:tcPr>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Select the independent registered public accounting firm, review and approve its engagement letter, and monitor its independence and performance</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Review the overall scope and plans for the annual audit by the independent registered public accounting firm</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Approve performance of non-audit services by the independent registered public accounting firm and evaluate the performance and independence of the independent registered public accounting firm</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Review and approve the Company’s periodic financial statements and the results of the year-end audit</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Review and discuss the adequacy and effectiveness of the Company’s accounting and internal control policies and procedures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Evaluate the internal audit process for establishing the annual audit plan; review and approve the appointment and replacement of the Company’s Chief Audit Executive, if applicable, and any outside entities providing internal audit services and evaluate their performance on an annual basis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Review the independent registered public accounting firm’s recommendations concerning the Company’s financial practices and procedures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Oversee the Company’s risk management program</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Discuss with management the Company’s major financial risk exposures and the steps management has taken to monitor and control such exposures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Establish procedures for the receipt, retention, and treatment of complaints received by the Company regarding accounting, internal accounting controls, or auditing matters and for the confidential, anonymous submission by employees of concerns regarding questionable accounting or auditing matters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Review and approve any related person transaction</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Prepare an annual report of the Audit Committee for inclusion in the Company’s proxy statement</w:t>
            </w:r>
          </w:p>
        </w:tc>
      </w:tr>
      <w:tr>
        <w:trPr/>
        <w:tc>
          <w:tcPr>
            <w:tcW w:w="1521" w:type="dxa"/>
            <w:tcBorders/>
            <w:shd w:fill="auto" w:val="clear"/>
            <w:tcMar>
              <w:top w:w="0" w:type="dxa"/>
              <w:left w:w="0" w:type="dxa"/>
              <w:bottom w:w="0" w:type="dxa"/>
              <w:right w:w="0" w:type="dxa"/>
            </w:tcMar>
            <w:vAlign w:val="center"/>
          </w:tcPr>
          <w:p>
            <w:pPr>
              <w:pStyle w:val="TableContents"/>
              <w:pBdr/>
              <w:spacing w:before="0" w:after="0"/>
              <w:ind w:left="75" w:right="0" w:hanging="0"/>
              <w:rPr>
                <w:rFonts w:ascii="Arial" w:hAnsi="Arial"/>
                <w:b/>
                <w:color w:val="D31B5D"/>
                <w:sz w:val="20"/>
              </w:rPr>
            </w:pPr>
            <w:r>
              <w:rPr>
                <w:rFonts w:ascii="Arial" w:hAnsi="Arial"/>
                <w:b/>
                <w:color w:val="D31B5D"/>
                <w:sz w:val="20"/>
              </w:rPr>
              <w:t>Number of Meetings Held in 2022</w:t>
            </w:r>
          </w:p>
        </w:tc>
        <w:tc>
          <w:tcPr>
            <w:tcW w:w="8684" w:type="dxa"/>
            <w:vMerge w:val="continue"/>
            <w:tcBorders>
              <w:bottom w:val="single" w:sz="2" w:space="0" w:color="245BA7"/>
            </w:tcBorders>
            <w:shd w:fill="auto" w:val="clear"/>
            <w:tcMar>
              <w:top w:w="0" w:type="dxa"/>
              <w:left w:w="0" w:type="dxa"/>
              <w:bottom w:w="75" w:type="dxa"/>
              <w:right w:w="0" w:type="dxa"/>
            </w:tcMar>
            <w:vAlign w:val="center"/>
          </w:tcPr>
          <w:p>
            <w:pPr>
              <w:pStyle w:val="Normal"/>
              <w:rPr/>
            </w:pPr>
            <w:r>
              <w:rPr/>
            </w:r>
          </w:p>
        </w:tc>
      </w:tr>
      <w:tr>
        <w:trPr/>
        <w:tc>
          <w:tcPr>
            <w:tcW w:w="1521" w:type="dxa"/>
            <w:vMerge w:val="restart"/>
            <w:tcBorders>
              <w:bottom w:val="single" w:sz="2" w:space="0" w:color="245BA7"/>
            </w:tcBorders>
            <w:shd w:fill="auto" w:val="clear"/>
            <w:tcMar>
              <w:top w:w="0" w:type="dxa"/>
              <w:left w:w="0" w:type="dxa"/>
              <w:bottom w:w="28" w:type="dxa"/>
              <w:right w:w="0" w:type="dxa"/>
            </w:tcMar>
            <w:vAlign w:val="center"/>
          </w:tcPr>
          <w:p>
            <w:pPr>
              <w:pStyle w:val="TableContents"/>
              <w:pBdr/>
              <w:spacing w:before="105" w:after="0"/>
              <w:ind w:left="75" w:right="0" w:hanging="0"/>
              <w:rPr>
                <w:rFonts w:ascii="Arial" w:hAnsi="Arial"/>
                <w:color w:val="245BA7"/>
                <w:sz w:val="20"/>
              </w:rPr>
            </w:pPr>
            <w:r>
              <w:rPr>
                <w:rFonts w:ascii="Arial" w:hAnsi="Arial"/>
                <w:color w:val="245BA7"/>
                <w:sz w:val="20"/>
              </w:rPr>
              <w:t>9</w:t>
            </w:r>
          </w:p>
        </w:tc>
        <w:tc>
          <w:tcPr>
            <w:tcW w:w="8684" w:type="dxa"/>
            <w:vMerge w:val="continue"/>
            <w:tcBorders>
              <w:bottom w:val="single" w:sz="2" w:space="0" w:color="245BA7"/>
            </w:tcBorders>
            <w:shd w:fill="auto" w:val="clear"/>
            <w:tcMar>
              <w:top w:w="0" w:type="dxa"/>
              <w:left w:w="0" w:type="dxa"/>
              <w:bottom w:w="75" w:type="dxa"/>
              <w:right w:w="0" w:type="dxa"/>
            </w:tcMar>
            <w:vAlign w:val="center"/>
          </w:tcPr>
          <w:p>
            <w:pPr>
              <w:pStyle w:val="Normal"/>
              <w:rPr/>
            </w:pPr>
            <w:r>
              <w:rPr/>
            </w:r>
          </w:p>
        </w:tc>
      </w:tr>
      <w:tr>
        <w:trPr/>
        <w:tc>
          <w:tcPr>
            <w:tcW w:w="1521" w:type="dxa"/>
            <w:vMerge w:val="continue"/>
            <w:tcBorders>
              <w:bottom w:val="single" w:sz="2" w:space="0" w:color="245BA7"/>
            </w:tcBorders>
            <w:shd w:fill="auto" w:val="clear"/>
            <w:tcMar>
              <w:top w:w="0" w:type="dxa"/>
              <w:left w:w="0" w:type="dxa"/>
              <w:bottom w:w="28" w:type="dxa"/>
              <w:right w:w="0" w:type="dxa"/>
            </w:tcMar>
            <w:vAlign w:val="center"/>
          </w:tcPr>
          <w:p>
            <w:pPr>
              <w:pStyle w:val="Normal"/>
              <w:rPr/>
            </w:pPr>
            <w:r>
              <w:rPr/>
            </w:r>
          </w:p>
        </w:tc>
        <w:tc>
          <w:tcPr>
            <w:tcW w:w="8684" w:type="dxa"/>
            <w:tcBorders/>
            <w:shd w:fill="auto" w:val="clear"/>
            <w:tcMar>
              <w:top w:w="0" w:type="dxa"/>
              <w:left w:w="0" w:type="dxa"/>
              <w:bottom w:w="0" w:type="dxa"/>
              <w:right w:w="0" w:type="dxa"/>
            </w:tcMar>
            <w:vAlign w:val="center"/>
          </w:tcPr>
          <w:p>
            <w:pPr>
              <w:pStyle w:val="TableContents"/>
              <w:pBdr/>
              <w:spacing w:before="0" w:after="0"/>
              <w:ind w:left="0" w:right="0" w:hanging="0"/>
              <w:rPr>
                <w:rFonts w:ascii="Arial" w:hAnsi="Arial"/>
                <w:b/>
                <w:color w:val="D31B5D"/>
                <w:sz w:val="20"/>
              </w:rPr>
            </w:pPr>
            <w:r>
              <w:rPr>
                <w:rFonts w:ascii="Arial" w:hAnsi="Arial"/>
                <w:b/>
                <w:color w:val="D31B5D"/>
                <w:sz w:val="20"/>
              </w:rPr>
              <w:t>Recent Focus Areas</w:t>
            </w:r>
          </w:p>
        </w:tc>
      </w:tr>
      <w:tr>
        <w:trPr/>
        <w:tc>
          <w:tcPr>
            <w:tcW w:w="1521" w:type="dxa"/>
            <w:vMerge w:val="continue"/>
            <w:tcBorders>
              <w:bottom w:val="single" w:sz="2" w:space="0" w:color="245BA7"/>
            </w:tcBorders>
            <w:shd w:fill="auto" w:val="clear"/>
            <w:tcMar>
              <w:top w:w="0" w:type="dxa"/>
              <w:left w:w="0" w:type="dxa"/>
              <w:bottom w:w="28" w:type="dxa"/>
              <w:right w:w="0" w:type="dxa"/>
            </w:tcMar>
            <w:vAlign w:val="center"/>
          </w:tcPr>
          <w:p>
            <w:pPr>
              <w:pStyle w:val="Normal"/>
              <w:rPr/>
            </w:pPr>
            <w:r>
              <w:rPr/>
            </w:r>
          </w:p>
        </w:tc>
        <w:tc>
          <w:tcPr>
            <w:tcW w:w="8684" w:type="dxa"/>
            <w:tcBorders>
              <w:bottom w:val="single" w:sz="2" w:space="0" w:color="245BA7"/>
            </w:tcBorders>
            <w:shd w:fill="auto" w:val="clear"/>
            <w:tcMar>
              <w:top w:w="0" w:type="dxa"/>
              <w:left w:w="0" w:type="dxa"/>
              <w:bottom w:w="75" w:type="dxa"/>
              <w:right w:w="0" w:type="dxa"/>
            </w:tcMar>
            <w:vAlign w:val="center"/>
          </w:tcPr>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Regeneron’s international expansion and related audit matters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Impact of the Inflation Reduction Act</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Cybersecurity risk assessment</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Succession planning for the Company’s finance, information technology, and real estate &amp; facilities management organizations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1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75" descr=""/>
                          <pic:cNvPicPr>
                            <a:picLocks noChangeAspect="1" noChangeArrowheads="1"/>
                          </pic:cNvPicPr>
                        </pic:nvPicPr>
                        <pic:blipFill>
                          <a:blip r:embed="rId76"/>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19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135" w:type="dxa"/>
          <w:left w:w="28" w:type="dxa"/>
          <w:bottom w:w="135" w:type="dxa"/>
          <w:right w:w="28" w:type="dxa"/>
        </w:tblCellMar>
      </w:tblPr>
      <w:tblGrid>
        <w:gridCol w:w="1686"/>
        <w:gridCol w:w="8519"/>
      </w:tblGrid>
      <w:tr>
        <w:trPr/>
        <w:tc>
          <w:tcPr>
            <w:tcW w:w="10205" w:type="dxa"/>
            <w:gridSpan w:val="2"/>
            <w:tcBorders>
              <w:top w:val="single" w:sz="2" w:space="0" w:color="245BA7"/>
              <w:left w:val="single" w:sz="2" w:space="0" w:color="245BA7"/>
              <w:bottom w:val="single" w:sz="2" w:space="0" w:color="245BA7"/>
              <w:right w:val="single" w:sz="2" w:space="0" w:color="245BA7"/>
            </w:tcBorders>
            <w:shd w:fill="245BA7" w:val="clear"/>
            <w:vAlign w:val="center"/>
          </w:tcPr>
          <w:p>
            <w:pPr>
              <w:pStyle w:val="TableContents"/>
              <w:pBdr/>
              <w:spacing w:before="0" w:after="0"/>
              <w:ind w:left="75" w:right="0" w:hanging="0"/>
              <w:rPr>
                <w:rFonts w:ascii="Arial" w:hAnsi="Arial"/>
                <w:b/>
                <w:color w:val="FFFFFF"/>
                <w:sz w:val="30"/>
              </w:rPr>
            </w:pPr>
            <w:r>
              <w:rPr>
                <w:rFonts w:ascii="Arial" w:hAnsi="Arial"/>
                <w:b/>
                <w:color w:val="FFFFFF"/>
                <w:sz w:val="30"/>
              </w:rPr>
              <w:t>COMPENSATION</w:t>
            </w:r>
          </w:p>
        </w:tc>
      </w:tr>
      <w:tr>
        <w:trPr/>
        <w:tc>
          <w:tcPr>
            <w:tcW w:w="1686" w:type="dxa"/>
            <w:tcBorders/>
            <w:shd w:fill="auto" w:val="clear"/>
            <w:tcMar>
              <w:top w:w="0" w:type="dxa"/>
              <w:left w:w="0" w:type="dxa"/>
              <w:bottom w:w="0" w:type="dxa"/>
              <w:right w:w="0" w:type="dxa"/>
            </w:tcMar>
            <w:vAlign w:val="center"/>
          </w:tcPr>
          <w:p>
            <w:pPr>
              <w:pStyle w:val="TableContents"/>
              <w:pBdr/>
              <w:spacing w:before="0" w:after="0"/>
              <w:ind w:left="75" w:right="0" w:hanging="0"/>
              <w:rPr>
                <w:rFonts w:ascii="Arial" w:hAnsi="Arial"/>
                <w:b/>
                <w:color w:val="D31B5D"/>
                <w:sz w:val="20"/>
              </w:rPr>
            </w:pPr>
            <w:r>
              <w:rPr>
                <w:rFonts w:ascii="Arial" w:hAnsi="Arial"/>
                <w:b/>
                <w:color w:val="D31B5D"/>
                <w:sz w:val="20"/>
              </w:rPr>
              <w:t>Members</w:t>
            </w:r>
          </w:p>
        </w:tc>
        <w:tc>
          <w:tcPr>
            <w:tcW w:w="8519" w:type="dxa"/>
            <w:tcBorders/>
            <w:shd w:fill="auto" w:val="clear"/>
            <w:tcMar>
              <w:top w:w="0" w:type="dxa"/>
              <w:left w:w="0" w:type="dxa"/>
              <w:bottom w:w="0" w:type="dxa"/>
              <w:right w:w="0" w:type="dxa"/>
            </w:tcMar>
            <w:vAlign w:val="center"/>
          </w:tcPr>
          <w:p>
            <w:pPr>
              <w:pStyle w:val="TableContents"/>
              <w:pBdr/>
              <w:spacing w:before="0" w:after="0"/>
              <w:ind w:left="0" w:right="0" w:hanging="0"/>
              <w:rPr>
                <w:rFonts w:ascii="Arial" w:hAnsi="Arial"/>
                <w:b/>
                <w:color w:val="D31B5D"/>
                <w:sz w:val="20"/>
              </w:rPr>
            </w:pPr>
            <w:r>
              <w:rPr>
                <w:rFonts w:ascii="Arial" w:hAnsi="Arial"/>
                <w:b/>
                <w:color w:val="D31B5D"/>
                <w:sz w:val="20"/>
              </w:rPr>
              <w:t>Key Functions of the Committee</w:t>
            </w:r>
          </w:p>
        </w:tc>
      </w:tr>
      <w:tr>
        <w:trPr/>
        <w:tc>
          <w:tcPr>
            <w:tcW w:w="1686" w:type="dxa"/>
            <w:tcBorders/>
            <w:shd w:fill="auto" w:val="clear"/>
            <w:tcMar>
              <w:top w:w="0" w:type="dxa"/>
              <w:left w:w="0" w:type="dxa"/>
              <w:bottom w:w="0" w:type="dxa"/>
              <w:right w:w="0" w:type="dxa"/>
            </w:tcMar>
            <w:vAlign w:val="center"/>
          </w:tcPr>
          <w:p>
            <w:pPr>
              <w:pStyle w:val="TableContents"/>
              <w:pBdr/>
              <w:spacing w:before="75" w:after="0"/>
              <w:ind w:left="75" w:right="0" w:hanging="0"/>
              <w:rPr>
                <w:rFonts w:ascii="Arial" w:hAnsi="Arial"/>
                <w:color w:val="245BA7"/>
                <w:sz w:val="20"/>
              </w:rPr>
            </w:pPr>
            <w:r>
              <w:rPr>
                <w:rFonts w:ascii="Arial" w:hAnsi="Arial"/>
                <w:color w:val="245BA7"/>
                <w:sz w:val="20"/>
              </w:rPr>
              <w:t xml:space="preserve">Christine A. Poon, </w:t>
            </w:r>
            <w:r>
              <w:rPr>
                <w:rFonts w:ascii="Arial" w:hAnsi="Arial"/>
                <w:i/>
                <w:color w:val="245BA7"/>
                <w:sz w:val="20"/>
              </w:rPr>
              <w:t>Chair</w:t>
            </w:r>
          </w:p>
          <w:p>
            <w:pPr>
              <w:pStyle w:val="TableContents"/>
              <w:pBdr/>
              <w:spacing w:before="75" w:after="0"/>
              <w:ind w:left="75" w:right="0" w:hanging="0"/>
              <w:rPr>
                <w:rFonts w:ascii="Arial" w:hAnsi="Arial"/>
                <w:color w:val="245BA7"/>
                <w:sz w:val="20"/>
              </w:rPr>
            </w:pPr>
            <w:r>
              <w:rPr>
                <w:rFonts w:ascii="Arial" w:hAnsi="Arial"/>
                <w:color w:val="245BA7"/>
                <w:sz w:val="20"/>
              </w:rPr>
              <w:t>George L. Sing</w:t>
            </w:r>
          </w:p>
          <w:p>
            <w:pPr>
              <w:pStyle w:val="TableContents"/>
              <w:pBdr/>
              <w:spacing w:before="75" w:after="0"/>
              <w:ind w:left="75" w:right="0" w:hanging="0"/>
              <w:rPr>
                <w:rFonts w:ascii="Arial" w:hAnsi="Arial"/>
                <w:color w:val="245BA7"/>
                <w:sz w:val="20"/>
              </w:rPr>
            </w:pPr>
            <w:r>
              <w:rPr>
                <w:rFonts w:ascii="Arial" w:hAnsi="Arial"/>
                <w:color w:val="245BA7"/>
                <w:sz w:val="20"/>
              </w:rPr>
              <w:t>Huda Y. Zoghbi, M.D.</w:t>
            </w:r>
          </w:p>
        </w:tc>
        <w:tc>
          <w:tcPr>
            <w:tcW w:w="8519" w:type="dxa"/>
            <w:vMerge w:val="restart"/>
            <w:tcBorders>
              <w:bottom w:val="single" w:sz="2" w:space="0" w:color="245BA7"/>
            </w:tcBorders>
            <w:shd w:fill="auto" w:val="clear"/>
            <w:tcMar>
              <w:top w:w="0" w:type="dxa"/>
              <w:left w:w="0" w:type="dxa"/>
              <w:bottom w:w="75" w:type="dxa"/>
              <w:right w:w="0" w:type="dxa"/>
            </w:tcMar>
            <w:vAlign w:val="center"/>
          </w:tcPr>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Evaluate the performance of the Chief Executive Officer and other executive officers of the Company</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Recommend compensation for the Chief Executive Officer for approval by the non-employee members of the board of directors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Approve compensation for other executive officers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Approve the total compensation budget for all Company employees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Oversee the Company’s compensation and benefit philosophy and programs generally</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Oversee the Company’s strategies and policies related to human capital management, including with respect to workplace environment and culture; talent recruitment, development, and retention; and employee engagement*</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Review and approve annually the corporate goals and objectives applicable to the compensation of the Chief Executive Officer and the goals and objectives of the Company’s executive compensation programs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Review and approve the Compensation Discussion and Analysis to be included in the Company’s proxy statement</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Prepare an annual report of the Compensation Committee for inclusion in the Company’s proxy statement</w:t>
            </w:r>
          </w:p>
        </w:tc>
      </w:tr>
      <w:tr>
        <w:trPr/>
        <w:tc>
          <w:tcPr>
            <w:tcW w:w="1686" w:type="dxa"/>
            <w:tcBorders/>
            <w:shd w:fill="auto" w:val="clear"/>
            <w:tcMar>
              <w:top w:w="0" w:type="dxa"/>
              <w:left w:w="0" w:type="dxa"/>
              <w:bottom w:w="0" w:type="dxa"/>
              <w:right w:w="0" w:type="dxa"/>
            </w:tcMar>
            <w:vAlign w:val="center"/>
          </w:tcPr>
          <w:p>
            <w:pPr>
              <w:pStyle w:val="TableContents"/>
              <w:pBdr/>
              <w:spacing w:before="0" w:after="0"/>
              <w:ind w:left="75" w:right="0" w:hanging="0"/>
              <w:rPr>
                <w:rFonts w:ascii="Arial" w:hAnsi="Arial"/>
                <w:b/>
                <w:color w:val="D31B5D"/>
                <w:sz w:val="20"/>
              </w:rPr>
            </w:pPr>
            <w:r>
              <w:rPr>
                <w:rFonts w:ascii="Arial" w:hAnsi="Arial"/>
                <w:b/>
                <w:color w:val="D31B5D"/>
                <w:sz w:val="20"/>
              </w:rPr>
              <w:t>Number of Meetings Held in 2022</w:t>
            </w:r>
          </w:p>
        </w:tc>
        <w:tc>
          <w:tcPr>
            <w:tcW w:w="8519" w:type="dxa"/>
            <w:vMerge w:val="continue"/>
            <w:tcBorders>
              <w:bottom w:val="single" w:sz="2" w:space="0" w:color="245BA7"/>
            </w:tcBorders>
            <w:shd w:fill="auto" w:val="clear"/>
            <w:tcMar>
              <w:top w:w="0" w:type="dxa"/>
              <w:left w:w="0" w:type="dxa"/>
              <w:bottom w:w="75" w:type="dxa"/>
              <w:right w:w="0" w:type="dxa"/>
            </w:tcMar>
            <w:vAlign w:val="center"/>
          </w:tcPr>
          <w:p>
            <w:pPr>
              <w:pStyle w:val="Normal"/>
              <w:rPr/>
            </w:pPr>
            <w:r>
              <w:rPr/>
            </w:r>
          </w:p>
        </w:tc>
      </w:tr>
      <w:tr>
        <w:trPr/>
        <w:tc>
          <w:tcPr>
            <w:tcW w:w="1686" w:type="dxa"/>
            <w:vMerge w:val="restart"/>
            <w:tcBorders>
              <w:bottom w:val="single" w:sz="2" w:space="0" w:color="245BA7"/>
            </w:tcBorders>
            <w:shd w:fill="auto" w:val="clear"/>
            <w:tcMar>
              <w:top w:w="0" w:type="dxa"/>
              <w:left w:w="0" w:type="dxa"/>
              <w:bottom w:w="28" w:type="dxa"/>
              <w:right w:w="0" w:type="dxa"/>
            </w:tcMar>
            <w:vAlign w:val="center"/>
          </w:tcPr>
          <w:p>
            <w:pPr>
              <w:pStyle w:val="TableContents"/>
              <w:pBdr/>
              <w:spacing w:before="105" w:after="0"/>
              <w:ind w:left="75" w:right="0" w:hanging="0"/>
              <w:rPr>
                <w:rFonts w:ascii="Arial" w:hAnsi="Arial"/>
                <w:color w:val="245BA7"/>
                <w:sz w:val="20"/>
              </w:rPr>
            </w:pPr>
            <w:r>
              <w:rPr>
                <w:rFonts w:ascii="Arial" w:hAnsi="Arial"/>
                <w:color w:val="245BA7"/>
                <w:sz w:val="20"/>
              </w:rPr>
              <w:t>12</w:t>
            </w:r>
          </w:p>
        </w:tc>
        <w:tc>
          <w:tcPr>
            <w:tcW w:w="8519" w:type="dxa"/>
            <w:vMerge w:val="continue"/>
            <w:tcBorders>
              <w:bottom w:val="single" w:sz="2" w:space="0" w:color="245BA7"/>
            </w:tcBorders>
            <w:shd w:fill="auto" w:val="clear"/>
            <w:tcMar>
              <w:top w:w="0" w:type="dxa"/>
              <w:left w:w="0" w:type="dxa"/>
              <w:bottom w:w="75" w:type="dxa"/>
              <w:right w:w="0" w:type="dxa"/>
            </w:tcMar>
            <w:vAlign w:val="center"/>
          </w:tcPr>
          <w:p>
            <w:pPr>
              <w:pStyle w:val="Normal"/>
              <w:rPr/>
            </w:pPr>
            <w:r>
              <w:rPr/>
            </w:r>
          </w:p>
        </w:tc>
      </w:tr>
      <w:tr>
        <w:trPr/>
        <w:tc>
          <w:tcPr>
            <w:tcW w:w="1686" w:type="dxa"/>
            <w:vMerge w:val="continue"/>
            <w:tcBorders>
              <w:bottom w:val="single" w:sz="2" w:space="0" w:color="245BA7"/>
            </w:tcBorders>
            <w:shd w:fill="auto" w:val="clear"/>
            <w:tcMar>
              <w:top w:w="0" w:type="dxa"/>
              <w:left w:w="0" w:type="dxa"/>
              <w:bottom w:w="28" w:type="dxa"/>
              <w:right w:w="0" w:type="dxa"/>
            </w:tcMar>
            <w:vAlign w:val="center"/>
          </w:tcPr>
          <w:p>
            <w:pPr>
              <w:pStyle w:val="Normal"/>
              <w:rPr/>
            </w:pPr>
            <w:r>
              <w:rPr/>
            </w:r>
          </w:p>
        </w:tc>
        <w:tc>
          <w:tcPr>
            <w:tcW w:w="8519" w:type="dxa"/>
            <w:tcBorders/>
            <w:shd w:fill="auto" w:val="clear"/>
            <w:tcMar>
              <w:top w:w="0" w:type="dxa"/>
              <w:left w:w="0" w:type="dxa"/>
              <w:bottom w:w="0" w:type="dxa"/>
              <w:right w:w="0" w:type="dxa"/>
            </w:tcMar>
            <w:vAlign w:val="center"/>
          </w:tcPr>
          <w:p>
            <w:pPr>
              <w:pStyle w:val="TableContents"/>
              <w:pBdr/>
              <w:spacing w:before="0" w:after="0"/>
              <w:ind w:left="0" w:right="0" w:hanging="0"/>
              <w:rPr>
                <w:rFonts w:ascii="Arial" w:hAnsi="Arial"/>
                <w:b/>
                <w:color w:val="D31B5D"/>
                <w:sz w:val="20"/>
              </w:rPr>
            </w:pPr>
            <w:r>
              <w:rPr>
                <w:rFonts w:ascii="Arial" w:hAnsi="Arial"/>
                <w:b/>
                <w:color w:val="D31B5D"/>
                <w:sz w:val="20"/>
              </w:rPr>
              <w:t>Recent Focus Areas</w:t>
            </w:r>
          </w:p>
        </w:tc>
      </w:tr>
      <w:tr>
        <w:trPr/>
        <w:tc>
          <w:tcPr>
            <w:tcW w:w="1686" w:type="dxa"/>
            <w:vMerge w:val="continue"/>
            <w:tcBorders>
              <w:bottom w:val="single" w:sz="2" w:space="0" w:color="245BA7"/>
            </w:tcBorders>
            <w:shd w:fill="auto" w:val="clear"/>
            <w:tcMar>
              <w:top w:w="0" w:type="dxa"/>
              <w:left w:w="0" w:type="dxa"/>
              <w:bottom w:w="28" w:type="dxa"/>
              <w:right w:w="0" w:type="dxa"/>
            </w:tcMar>
            <w:vAlign w:val="center"/>
          </w:tcPr>
          <w:p>
            <w:pPr>
              <w:pStyle w:val="Normal"/>
              <w:rPr/>
            </w:pPr>
            <w:r>
              <w:rPr/>
            </w:r>
          </w:p>
        </w:tc>
        <w:tc>
          <w:tcPr>
            <w:tcW w:w="8519" w:type="dxa"/>
            <w:tcBorders>
              <w:bottom w:val="single" w:sz="2" w:space="0" w:color="245BA7"/>
            </w:tcBorders>
            <w:shd w:fill="auto" w:val="clear"/>
            <w:tcMar>
              <w:top w:w="0" w:type="dxa"/>
              <w:left w:w="0" w:type="dxa"/>
              <w:bottom w:w="75" w:type="dxa"/>
              <w:right w:w="0" w:type="dxa"/>
            </w:tcMar>
            <w:vAlign w:val="center"/>
          </w:tcPr>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Retention of key leaders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Potential broader use of performance restricted stock units and other pay mix considerations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Assessment of the impact of inflation on employee groups and implementation of related measures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New “pay-versus-performance” disclosure rules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Design of annual cash incentive program</w:t>
            </w:r>
          </w:p>
        </w:tc>
      </w:tr>
    </w:tbl>
    <w:p>
      <w:pPr>
        <w:pStyle w:val="TextBody"/>
        <w:pBdr/>
        <w:spacing w:before="0" w:after="0"/>
        <w:ind w:left="0" w:right="0" w:hanging="0"/>
        <w:rPr>
          <w:color w:val="000000"/>
        </w:rPr>
      </w:pPr>
      <w:r>
        <w:rPr>
          <w:color w:val="000000"/>
        </w:rPr>
        <w:t> </w:t>
      </w:r>
    </w:p>
    <w:tbl>
      <w:tblPr>
        <w:tblW w:w="10205" w:type="dxa"/>
        <w:jc w:val="left"/>
        <w:tblInd w:w="0" w:type="dxa"/>
        <w:tblCellMar>
          <w:top w:w="135" w:type="dxa"/>
          <w:left w:w="28" w:type="dxa"/>
          <w:bottom w:w="135" w:type="dxa"/>
          <w:right w:w="28" w:type="dxa"/>
        </w:tblCellMar>
      </w:tblPr>
      <w:tblGrid>
        <w:gridCol w:w="2046"/>
        <w:gridCol w:w="8159"/>
      </w:tblGrid>
      <w:tr>
        <w:trPr/>
        <w:tc>
          <w:tcPr>
            <w:tcW w:w="10205" w:type="dxa"/>
            <w:gridSpan w:val="2"/>
            <w:tcBorders>
              <w:top w:val="single" w:sz="2" w:space="0" w:color="245BA7"/>
              <w:left w:val="single" w:sz="2" w:space="0" w:color="245BA7"/>
              <w:bottom w:val="single" w:sz="2" w:space="0" w:color="245BA7"/>
              <w:right w:val="single" w:sz="2" w:space="0" w:color="245BA7"/>
            </w:tcBorders>
            <w:shd w:fill="245BA7" w:val="clear"/>
            <w:vAlign w:val="center"/>
          </w:tcPr>
          <w:p>
            <w:pPr>
              <w:pStyle w:val="TableContents"/>
              <w:pBdr/>
              <w:spacing w:before="0" w:after="0"/>
              <w:ind w:left="75" w:right="0" w:hanging="0"/>
              <w:rPr>
                <w:rFonts w:ascii="Arial" w:hAnsi="Arial"/>
                <w:b/>
                <w:color w:val="FFFFFF"/>
                <w:sz w:val="30"/>
              </w:rPr>
            </w:pPr>
            <w:r>
              <w:rPr>
                <w:rFonts w:ascii="Arial" w:hAnsi="Arial"/>
                <w:b/>
                <w:color w:val="FFFFFF"/>
                <w:sz w:val="30"/>
              </w:rPr>
              <w:t xml:space="preserve">CORPORATE GOVERNANCE AND COMPLIANCE </w:t>
            </w:r>
          </w:p>
        </w:tc>
      </w:tr>
      <w:tr>
        <w:trPr/>
        <w:tc>
          <w:tcPr>
            <w:tcW w:w="2046" w:type="dxa"/>
            <w:tcBorders/>
            <w:shd w:fill="auto" w:val="clear"/>
            <w:tcMar>
              <w:top w:w="0" w:type="dxa"/>
              <w:left w:w="0" w:type="dxa"/>
              <w:bottom w:w="0" w:type="dxa"/>
              <w:right w:w="0" w:type="dxa"/>
            </w:tcMar>
            <w:vAlign w:val="center"/>
          </w:tcPr>
          <w:p>
            <w:pPr>
              <w:pStyle w:val="TableContents"/>
              <w:pBdr/>
              <w:spacing w:before="0" w:after="0"/>
              <w:ind w:left="75" w:right="0" w:hanging="0"/>
              <w:rPr>
                <w:rFonts w:ascii="Arial" w:hAnsi="Arial"/>
                <w:b/>
                <w:color w:val="D31B5D"/>
                <w:sz w:val="20"/>
              </w:rPr>
            </w:pPr>
            <w:r>
              <w:rPr>
                <w:rFonts w:ascii="Arial" w:hAnsi="Arial"/>
                <w:b/>
                <w:color w:val="D31B5D"/>
                <w:sz w:val="20"/>
              </w:rPr>
              <w:t>Members</w:t>
            </w:r>
          </w:p>
        </w:tc>
        <w:tc>
          <w:tcPr>
            <w:tcW w:w="8159" w:type="dxa"/>
            <w:tcBorders/>
            <w:shd w:fill="auto" w:val="clear"/>
            <w:tcMar>
              <w:top w:w="0" w:type="dxa"/>
              <w:left w:w="0" w:type="dxa"/>
              <w:bottom w:w="0" w:type="dxa"/>
              <w:right w:w="0" w:type="dxa"/>
            </w:tcMar>
            <w:vAlign w:val="center"/>
          </w:tcPr>
          <w:p>
            <w:pPr>
              <w:pStyle w:val="TableContents"/>
              <w:pBdr/>
              <w:spacing w:before="0" w:after="0"/>
              <w:ind w:left="0" w:right="0" w:hanging="0"/>
              <w:rPr>
                <w:rFonts w:ascii="Arial" w:hAnsi="Arial"/>
                <w:b/>
                <w:color w:val="D31B5D"/>
                <w:sz w:val="20"/>
              </w:rPr>
            </w:pPr>
            <w:r>
              <w:rPr>
                <w:rFonts w:ascii="Arial" w:hAnsi="Arial"/>
                <w:b/>
                <w:color w:val="D31B5D"/>
                <w:sz w:val="20"/>
              </w:rPr>
              <w:t>Key Functions of the Committee</w:t>
            </w:r>
          </w:p>
        </w:tc>
      </w:tr>
      <w:tr>
        <w:trPr/>
        <w:tc>
          <w:tcPr>
            <w:tcW w:w="2046" w:type="dxa"/>
            <w:tcBorders/>
            <w:shd w:fill="auto" w:val="clear"/>
            <w:tcMar>
              <w:top w:w="0" w:type="dxa"/>
              <w:left w:w="0" w:type="dxa"/>
              <w:bottom w:w="0" w:type="dxa"/>
              <w:right w:w="0" w:type="dxa"/>
            </w:tcMar>
            <w:vAlign w:val="center"/>
          </w:tcPr>
          <w:p>
            <w:pPr>
              <w:pStyle w:val="TableContents"/>
              <w:pBdr/>
              <w:spacing w:before="75" w:after="0"/>
              <w:ind w:left="75" w:right="0" w:hanging="0"/>
              <w:rPr>
                <w:rFonts w:ascii="Arial" w:hAnsi="Arial"/>
                <w:color w:val="245BA7"/>
                <w:sz w:val="20"/>
              </w:rPr>
            </w:pPr>
            <w:r>
              <w:rPr>
                <w:rFonts w:ascii="Arial" w:hAnsi="Arial"/>
                <w:color w:val="245BA7"/>
                <w:sz w:val="20"/>
              </w:rPr>
              <w:t xml:space="preserve">Arthur F. Ryan, </w:t>
            </w:r>
            <w:r>
              <w:rPr>
                <w:rFonts w:ascii="Arial" w:hAnsi="Arial"/>
                <w:i/>
                <w:color w:val="245BA7"/>
                <w:sz w:val="20"/>
              </w:rPr>
              <w:t>Chair</w:t>
            </w:r>
          </w:p>
          <w:p>
            <w:pPr>
              <w:pStyle w:val="TableContents"/>
              <w:pBdr/>
              <w:spacing w:before="75" w:after="0"/>
              <w:ind w:left="75" w:right="0" w:hanging="0"/>
              <w:rPr>
                <w:rFonts w:ascii="Arial" w:hAnsi="Arial"/>
                <w:color w:val="245BA7"/>
                <w:sz w:val="20"/>
              </w:rPr>
            </w:pPr>
            <w:r>
              <w:rPr>
                <w:rFonts w:ascii="Arial" w:hAnsi="Arial"/>
                <w:color w:val="245BA7"/>
                <w:sz w:val="20"/>
              </w:rPr>
              <w:t>Bonnie L. Bassler, Ph.D.</w:t>
            </w:r>
          </w:p>
          <w:p>
            <w:pPr>
              <w:pStyle w:val="TableContents"/>
              <w:pBdr/>
              <w:spacing w:before="75" w:after="0"/>
              <w:ind w:left="75" w:right="0" w:hanging="0"/>
              <w:rPr>
                <w:rFonts w:ascii="Arial" w:hAnsi="Arial"/>
                <w:color w:val="245BA7"/>
                <w:sz w:val="20"/>
              </w:rPr>
            </w:pPr>
            <w:r>
              <w:rPr>
                <w:rFonts w:ascii="Arial" w:hAnsi="Arial"/>
                <w:color w:val="245BA7"/>
                <w:sz w:val="20"/>
              </w:rPr>
              <w:t>Michael S. Brown, M.D.</w:t>
            </w:r>
          </w:p>
          <w:p>
            <w:pPr>
              <w:pStyle w:val="TableContents"/>
              <w:pBdr/>
              <w:spacing w:before="75" w:after="0"/>
              <w:ind w:left="75" w:right="0" w:hanging="0"/>
              <w:rPr>
                <w:rFonts w:ascii="Arial" w:hAnsi="Arial"/>
                <w:color w:val="245BA7"/>
                <w:sz w:val="20"/>
              </w:rPr>
            </w:pPr>
            <w:r>
              <w:rPr>
                <w:rFonts w:ascii="Arial" w:hAnsi="Arial"/>
                <w:color w:val="245BA7"/>
                <w:sz w:val="20"/>
              </w:rPr>
              <w:t>Joseph L. Goldstein, M.D.</w:t>
            </w:r>
          </w:p>
          <w:p>
            <w:pPr>
              <w:pStyle w:val="TableContents"/>
              <w:pBdr/>
              <w:spacing w:before="75" w:after="0"/>
              <w:ind w:left="75" w:right="0" w:hanging="0"/>
              <w:rPr>
                <w:rFonts w:ascii="Arial" w:hAnsi="Arial"/>
                <w:color w:val="245BA7"/>
                <w:sz w:val="20"/>
              </w:rPr>
            </w:pPr>
            <w:r>
              <w:rPr>
                <w:rFonts w:ascii="Arial" w:hAnsi="Arial"/>
                <w:color w:val="245BA7"/>
                <w:sz w:val="20"/>
              </w:rPr>
              <w:t>Christine A. Poon</w:t>
            </w:r>
          </w:p>
        </w:tc>
        <w:tc>
          <w:tcPr>
            <w:tcW w:w="8159" w:type="dxa"/>
            <w:vMerge w:val="restart"/>
            <w:tcBorders>
              <w:bottom w:val="single" w:sz="2" w:space="0" w:color="245BA7"/>
            </w:tcBorders>
            <w:shd w:fill="auto" w:val="clear"/>
            <w:tcMar>
              <w:top w:w="0" w:type="dxa"/>
              <w:left w:w="0" w:type="dxa"/>
              <w:bottom w:w="75" w:type="dxa"/>
              <w:right w:w="0" w:type="dxa"/>
            </w:tcMar>
            <w:vAlign w:val="center"/>
          </w:tcPr>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Identify qualified individuals to become members of the board and recommend such candidates to the board</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Assess the functioning of the board and its committees and make recommendations to the board concerning the appropriate size, function, and needs of the board</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Review, and make recommendations to the board regarding, non-employee director compensation</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Make recommendations to the board regarding corporate governance matters and practices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Oversee all aspects of the Company’s comprehensive compliance program other than financial compliance</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Oversee the Company’s key corporate responsibility initiatives and conduct a periodic review of environmental, social, and governance (“ESG”) matters*</w:t>
            </w:r>
          </w:p>
        </w:tc>
      </w:tr>
      <w:tr>
        <w:trPr/>
        <w:tc>
          <w:tcPr>
            <w:tcW w:w="2046" w:type="dxa"/>
            <w:tcBorders/>
            <w:shd w:fill="auto" w:val="clear"/>
            <w:tcMar>
              <w:top w:w="0" w:type="dxa"/>
              <w:left w:w="0" w:type="dxa"/>
              <w:bottom w:w="0" w:type="dxa"/>
              <w:right w:w="0" w:type="dxa"/>
            </w:tcMar>
            <w:vAlign w:val="center"/>
          </w:tcPr>
          <w:p>
            <w:pPr>
              <w:pStyle w:val="TableContents"/>
              <w:pBdr/>
              <w:spacing w:before="0" w:after="0"/>
              <w:ind w:left="75" w:right="0" w:hanging="0"/>
              <w:rPr>
                <w:rFonts w:ascii="Arial" w:hAnsi="Arial"/>
                <w:b/>
                <w:color w:val="D31B5D"/>
                <w:sz w:val="20"/>
              </w:rPr>
            </w:pPr>
            <w:r>
              <w:rPr>
                <w:rFonts w:ascii="Arial" w:hAnsi="Arial"/>
                <w:b/>
                <w:color w:val="D31B5D"/>
                <w:sz w:val="20"/>
              </w:rPr>
              <w:t>Number of Meetings Held in 2022</w:t>
            </w:r>
          </w:p>
        </w:tc>
        <w:tc>
          <w:tcPr>
            <w:tcW w:w="8159" w:type="dxa"/>
            <w:vMerge w:val="continue"/>
            <w:tcBorders>
              <w:bottom w:val="single" w:sz="2" w:space="0" w:color="245BA7"/>
            </w:tcBorders>
            <w:shd w:fill="auto" w:val="clear"/>
            <w:tcMar>
              <w:top w:w="0" w:type="dxa"/>
              <w:left w:w="0" w:type="dxa"/>
              <w:bottom w:w="75" w:type="dxa"/>
              <w:right w:w="0" w:type="dxa"/>
            </w:tcMar>
            <w:vAlign w:val="center"/>
          </w:tcPr>
          <w:p>
            <w:pPr>
              <w:pStyle w:val="Normal"/>
              <w:rPr/>
            </w:pPr>
            <w:r>
              <w:rPr/>
            </w:r>
          </w:p>
        </w:tc>
      </w:tr>
      <w:tr>
        <w:trPr/>
        <w:tc>
          <w:tcPr>
            <w:tcW w:w="2046" w:type="dxa"/>
            <w:vMerge w:val="restart"/>
            <w:tcBorders>
              <w:bottom w:val="single" w:sz="2" w:space="0" w:color="245BA7"/>
            </w:tcBorders>
            <w:shd w:fill="auto" w:val="clear"/>
            <w:tcMar>
              <w:top w:w="0" w:type="dxa"/>
              <w:left w:w="0" w:type="dxa"/>
              <w:bottom w:w="28" w:type="dxa"/>
              <w:right w:w="0" w:type="dxa"/>
            </w:tcMar>
            <w:vAlign w:val="center"/>
          </w:tcPr>
          <w:p>
            <w:pPr>
              <w:pStyle w:val="TableContents"/>
              <w:pBdr/>
              <w:spacing w:before="105" w:after="0"/>
              <w:ind w:left="75" w:right="0" w:hanging="0"/>
              <w:rPr>
                <w:rFonts w:ascii="Arial" w:hAnsi="Arial"/>
                <w:color w:val="245BA7"/>
                <w:sz w:val="20"/>
              </w:rPr>
            </w:pPr>
            <w:r>
              <w:rPr>
                <w:rFonts w:ascii="Arial" w:hAnsi="Arial"/>
                <w:color w:val="245BA7"/>
                <w:sz w:val="20"/>
              </w:rPr>
              <w:t>5</w:t>
            </w:r>
          </w:p>
        </w:tc>
        <w:tc>
          <w:tcPr>
            <w:tcW w:w="8159" w:type="dxa"/>
            <w:vMerge w:val="continue"/>
            <w:tcBorders>
              <w:bottom w:val="single" w:sz="2" w:space="0" w:color="245BA7"/>
            </w:tcBorders>
            <w:shd w:fill="auto" w:val="clear"/>
            <w:tcMar>
              <w:top w:w="0" w:type="dxa"/>
              <w:left w:w="0" w:type="dxa"/>
              <w:bottom w:w="75" w:type="dxa"/>
              <w:right w:w="0" w:type="dxa"/>
            </w:tcMar>
            <w:vAlign w:val="center"/>
          </w:tcPr>
          <w:p>
            <w:pPr>
              <w:pStyle w:val="Normal"/>
              <w:rPr/>
            </w:pPr>
            <w:r>
              <w:rPr/>
            </w:r>
          </w:p>
        </w:tc>
      </w:tr>
      <w:tr>
        <w:trPr/>
        <w:tc>
          <w:tcPr>
            <w:tcW w:w="2046" w:type="dxa"/>
            <w:vMerge w:val="continue"/>
            <w:tcBorders>
              <w:bottom w:val="single" w:sz="2" w:space="0" w:color="245BA7"/>
            </w:tcBorders>
            <w:shd w:fill="auto" w:val="clear"/>
            <w:tcMar>
              <w:top w:w="0" w:type="dxa"/>
              <w:left w:w="0" w:type="dxa"/>
              <w:bottom w:w="28" w:type="dxa"/>
              <w:right w:w="0" w:type="dxa"/>
            </w:tcMar>
            <w:vAlign w:val="center"/>
          </w:tcPr>
          <w:p>
            <w:pPr>
              <w:pStyle w:val="Normal"/>
              <w:rPr/>
            </w:pPr>
            <w:r>
              <w:rPr/>
            </w:r>
          </w:p>
        </w:tc>
        <w:tc>
          <w:tcPr>
            <w:tcW w:w="8159" w:type="dxa"/>
            <w:tcBorders/>
            <w:shd w:fill="auto" w:val="clear"/>
            <w:tcMar>
              <w:top w:w="0" w:type="dxa"/>
              <w:left w:w="0" w:type="dxa"/>
              <w:bottom w:w="0" w:type="dxa"/>
              <w:right w:w="0" w:type="dxa"/>
            </w:tcMar>
            <w:vAlign w:val="center"/>
          </w:tcPr>
          <w:p>
            <w:pPr>
              <w:pStyle w:val="TableContents"/>
              <w:pBdr/>
              <w:spacing w:before="0" w:after="0"/>
              <w:ind w:left="0" w:right="0" w:hanging="0"/>
              <w:rPr>
                <w:rFonts w:ascii="Arial" w:hAnsi="Arial"/>
                <w:b/>
                <w:color w:val="D31B5D"/>
                <w:sz w:val="20"/>
              </w:rPr>
            </w:pPr>
            <w:r>
              <w:rPr>
                <w:rFonts w:ascii="Arial" w:hAnsi="Arial"/>
                <w:b/>
                <w:color w:val="D31B5D"/>
                <w:sz w:val="20"/>
              </w:rPr>
              <w:t>Recent Focus Areas</w:t>
            </w:r>
          </w:p>
        </w:tc>
      </w:tr>
      <w:tr>
        <w:trPr/>
        <w:tc>
          <w:tcPr>
            <w:tcW w:w="2046" w:type="dxa"/>
            <w:vMerge w:val="continue"/>
            <w:tcBorders>
              <w:bottom w:val="single" w:sz="2" w:space="0" w:color="245BA7"/>
            </w:tcBorders>
            <w:shd w:fill="auto" w:val="clear"/>
            <w:tcMar>
              <w:top w:w="0" w:type="dxa"/>
              <w:left w:w="0" w:type="dxa"/>
              <w:bottom w:w="28" w:type="dxa"/>
              <w:right w:w="0" w:type="dxa"/>
            </w:tcMar>
            <w:vAlign w:val="center"/>
          </w:tcPr>
          <w:p>
            <w:pPr>
              <w:pStyle w:val="Normal"/>
              <w:rPr/>
            </w:pPr>
            <w:r>
              <w:rPr/>
            </w:r>
          </w:p>
        </w:tc>
        <w:tc>
          <w:tcPr>
            <w:tcW w:w="8159" w:type="dxa"/>
            <w:tcBorders>
              <w:bottom w:val="single" w:sz="2" w:space="0" w:color="245BA7"/>
            </w:tcBorders>
            <w:shd w:fill="auto" w:val="clear"/>
            <w:tcMar>
              <w:top w:w="0" w:type="dxa"/>
              <w:left w:w="0" w:type="dxa"/>
              <w:bottom w:w="75" w:type="dxa"/>
              <w:right w:w="0" w:type="dxa"/>
            </w:tcMar>
            <w:vAlign w:val="center"/>
          </w:tcPr>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Director refreshment efforts, including the appointment of Dr. Craig B. Thompson</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Corporate governance expectations of shareholders and other stakeholders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Compliance program and data privacy</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ESG matters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1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6" descr=""/>
                          <pic:cNvPicPr>
                            <a:picLocks noChangeAspect="1" noChangeArrowheads="1"/>
                          </pic:cNvPicPr>
                        </pic:nvPicPr>
                        <pic:blipFill>
                          <a:blip r:embed="rId77"/>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20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135" w:type="dxa"/>
          <w:left w:w="28" w:type="dxa"/>
          <w:bottom w:w="135" w:type="dxa"/>
          <w:right w:w="28" w:type="dxa"/>
        </w:tblCellMar>
      </w:tblPr>
      <w:tblGrid>
        <w:gridCol w:w="2416"/>
        <w:gridCol w:w="7789"/>
      </w:tblGrid>
      <w:tr>
        <w:trPr/>
        <w:tc>
          <w:tcPr>
            <w:tcW w:w="10205" w:type="dxa"/>
            <w:gridSpan w:val="2"/>
            <w:tcBorders>
              <w:top w:val="single" w:sz="2" w:space="0" w:color="245BA7"/>
              <w:left w:val="single" w:sz="2" w:space="0" w:color="245BA7"/>
              <w:bottom w:val="single" w:sz="2" w:space="0" w:color="245BA7"/>
              <w:right w:val="single" w:sz="2" w:space="0" w:color="245BA7"/>
            </w:tcBorders>
            <w:shd w:fill="245BA7" w:val="clear"/>
            <w:vAlign w:val="center"/>
          </w:tcPr>
          <w:p>
            <w:pPr>
              <w:pStyle w:val="TableContents"/>
              <w:pBdr/>
              <w:spacing w:before="0" w:after="0"/>
              <w:ind w:left="75" w:right="0" w:hanging="0"/>
              <w:rPr>
                <w:rFonts w:ascii="Arial" w:hAnsi="Arial"/>
                <w:b/>
                <w:color w:val="FFFFFF"/>
                <w:sz w:val="30"/>
              </w:rPr>
            </w:pPr>
            <w:r>
              <w:rPr>
                <w:rFonts w:ascii="Arial" w:hAnsi="Arial"/>
                <w:b/>
                <w:color w:val="FFFFFF"/>
                <w:sz w:val="30"/>
              </w:rPr>
              <w:t xml:space="preserve">TECHNOLOGY </w:t>
            </w:r>
          </w:p>
        </w:tc>
      </w:tr>
      <w:tr>
        <w:trPr/>
        <w:tc>
          <w:tcPr>
            <w:tcW w:w="2416" w:type="dxa"/>
            <w:tcBorders/>
            <w:shd w:fill="auto" w:val="clear"/>
            <w:tcMar>
              <w:top w:w="0" w:type="dxa"/>
              <w:left w:w="0" w:type="dxa"/>
              <w:bottom w:w="0" w:type="dxa"/>
              <w:right w:w="0" w:type="dxa"/>
            </w:tcMar>
            <w:vAlign w:val="center"/>
          </w:tcPr>
          <w:p>
            <w:pPr>
              <w:pStyle w:val="TableContents"/>
              <w:pBdr/>
              <w:spacing w:before="0" w:after="0"/>
              <w:ind w:left="75" w:right="0" w:hanging="0"/>
              <w:rPr>
                <w:rFonts w:ascii="Arial" w:hAnsi="Arial"/>
                <w:b/>
                <w:color w:val="D31B5D"/>
                <w:sz w:val="20"/>
              </w:rPr>
            </w:pPr>
            <w:r>
              <w:rPr>
                <w:rFonts w:ascii="Arial" w:hAnsi="Arial"/>
                <w:b/>
                <w:color w:val="D31B5D"/>
                <w:sz w:val="20"/>
              </w:rPr>
              <w:t>Members</w:t>
            </w:r>
          </w:p>
        </w:tc>
        <w:tc>
          <w:tcPr>
            <w:tcW w:w="7789" w:type="dxa"/>
            <w:tcBorders/>
            <w:shd w:fill="auto" w:val="clear"/>
            <w:tcMar>
              <w:top w:w="0" w:type="dxa"/>
              <w:left w:w="0" w:type="dxa"/>
              <w:bottom w:w="0" w:type="dxa"/>
              <w:right w:w="0" w:type="dxa"/>
            </w:tcMar>
            <w:vAlign w:val="center"/>
          </w:tcPr>
          <w:p>
            <w:pPr>
              <w:pStyle w:val="TableContents"/>
              <w:pBdr/>
              <w:spacing w:before="0" w:after="0"/>
              <w:ind w:left="0" w:right="0" w:hanging="0"/>
              <w:rPr>
                <w:rFonts w:ascii="Arial" w:hAnsi="Arial"/>
                <w:b/>
                <w:color w:val="D31B5D"/>
                <w:sz w:val="20"/>
              </w:rPr>
            </w:pPr>
            <w:r>
              <w:rPr>
                <w:rFonts w:ascii="Arial" w:hAnsi="Arial"/>
                <w:b/>
                <w:color w:val="D31B5D"/>
                <w:sz w:val="20"/>
              </w:rPr>
              <w:t>Key Functions of the Committee</w:t>
            </w:r>
          </w:p>
        </w:tc>
      </w:tr>
      <w:tr>
        <w:trPr/>
        <w:tc>
          <w:tcPr>
            <w:tcW w:w="2416" w:type="dxa"/>
            <w:vMerge w:val="restart"/>
            <w:tcBorders>
              <w:bottom w:val="single" w:sz="2" w:space="0" w:color="245AA7"/>
            </w:tcBorders>
            <w:shd w:fill="auto" w:val="clear"/>
            <w:tcMar>
              <w:top w:w="0" w:type="dxa"/>
              <w:left w:w="0" w:type="dxa"/>
              <w:bottom w:w="100" w:type="dxa"/>
              <w:right w:w="0" w:type="dxa"/>
            </w:tcMar>
            <w:vAlign w:val="center"/>
          </w:tcPr>
          <w:p>
            <w:pPr>
              <w:pStyle w:val="TableContents"/>
              <w:pBdr/>
              <w:spacing w:before="75" w:after="0"/>
              <w:ind w:left="75" w:right="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 xml:space="preserve">Michael S. Brown, M.D., </w:t>
            </w:r>
            <w:r>
              <w:rPr>
                <w:rFonts w:ascii="Arial" w:hAnsi="Arial"/>
                <w:b w:val="false"/>
                <w:i/>
                <w:caps w:val="false"/>
                <w:smallCaps w:val="false"/>
                <w:color w:val="245BA7"/>
                <w:sz w:val="20"/>
              </w:rPr>
              <w:t>Chair</w:t>
            </w:r>
          </w:p>
          <w:p>
            <w:pPr>
              <w:pStyle w:val="TableContents"/>
              <w:pBdr/>
              <w:spacing w:before="75" w:after="0"/>
              <w:ind w:left="75" w:right="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Bonnie L. Bassler, Ph.D.</w:t>
            </w:r>
          </w:p>
          <w:p>
            <w:pPr>
              <w:pStyle w:val="TableContents"/>
              <w:pBdr/>
              <w:spacing w:before="75" w:after="0"/>
              <w:ind w:left="75" w:right="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Joseph L. Goldstein, M.D.</w:t>
            </w:r>
          </w:p>
          <w:p>
            <w:pPr>
              <w:pStyle w:val="TableContents"/>
              <w:pBdr/>
              <w:spacing w:before="75" w:after="0"/>
              <w:ind w:left="75" w:right="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Marc Tessier-Lavigne, Ph.D.</w:t>
            </w:r>
          </w:p>
          <w:p>
            <w:pPr>
              <w:pStyle w:val="TableContents"/>
              <w:pBdr/>
              <w:spacing w:before="75" w:after="0"/>
              <w:ind w:left="75" w:right="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P. Roy Vagelos, M.D.</w:t>
            </w:r>
          </w:p>
          <w:p>
            <w:pPr>
              <w:pStyle w:val="TableContents"/>
              <w:pBdr/>
              <w:spacing w:before="75" w:after="0"/>
              <w:ind w:left="75" w:right="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Huda Y. Zoghbi, M.D.</w:t>
            </w:r>
          </w:p>
          <w:p>
            <w:pPr>
              <w:pStyle w:val="TableContents"/>
              <w:pBdr/>
              <w:spacing w:before="75" w:after="0"/>
              <w:ind w:left="75" w:right="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Leonard S. Schleifer, M.D., Ph.D.**</w:t>
            </w:r>
          </w:p>
          <w:p>
            <w:pPr>
              <w:pStyle w:val="TableContents"/>
              <w:pBdr/>
              <w:spacing w:before="75" w:after="0"/>
              <w:ind w:left="75" w:right="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George D. Yancopoulos, M.D., Ph.D.**</w:t>
            </w:r>
          </w:p>
          <w:p>
            <w:pPr>
              <w:pStyle w:val="TableContents"/>
              <w:pBdr/>
              <w:spacing w:before="75" w:after="0"/>
              <w:ind w:left="75" w:right="0" w:hanging="0"/>
              <w:rPr>
                <w:rFonts w:ascii="Arial" w:hAnsi="Arial"/>
                <w:b/>
                <w:i w:val="false"/>
                <w:caps w:val="false"/>
                <w:smallCaps w:val="false"/>
                <w:color w:val="D31B5D"/>
                <w:sz w:val="20"/>
              </w:rPr>
            </w:pPr>
            <w:r>
              <w:rPr>
                <w:rFonts w:ascii="Arial" w:hAnsi="Arial"/>
                <w:b/>
                <w:i w:val="false"/>
                <w:caps w:val="false"/>
                <w:smallCaps w:val="false"/>
                <w:color w:val="D31B5D"/>
                <w:sz w:val="20"/>
              </w:rPr>
              <w:t>Number of Meetings Held in 2022</w:t>
            </w:r>
          </w:p>
          <w:p>
            <w:pPr>
              <w:pStyle w:val="TableContents"/>
              <w:pBdr/>
              <w:spacing w:before="75" w:after="0"/>
              <w:ind w:left="75" w:right="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2</w:t>
            </w:r>
          </w:p>
        </w:tc>
        <w:tc>
          <w:tcPr>
            <w:tcW w:w="7789" w:type="dxa"/>
            <w:tcBorders>
              <w:bottom w:val="single" w:sz="2" w:space="0" w:color="245BA7"/>
            </w:tcBorders>
            <w:shd w:fill="auto" w:val="clear"/>
            <w:tcMar>
              <w:top w:w="0" w:type="dxa"/>
              <w:left w:w="0" w:type="dxa"/>
              <w:bottom w:w="75" w:type="dxa"/>
              <w:right w:w="0" w:type="dxa"/>
            </w:tcMar>
            <w:vAlign w:val="center"/>
          </w:tcPr>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Oversee, review, and evaluate the Company’s research and clinical development programs, plans, and policies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Identify and discuss emerging scientific and technology issues and trends, including their impact on Regeneron’s research and development programs, plans, or policies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Identify and assess new leaders within research &amp; development and global development organizations</w:t>
            </w:r>
          </w:p>
        </w:tc>
      </w:tr>
      <w:tr>
        <w:trPr/>
        <w:tc>
          <w:tcPr>
            <w:tcW w:w="2416" w:type="dxa"/>
            <w:vMerge w:val="continue"/>
            <w:tcBorders>
              <w:bottom w:val="single" w:sz="2" w:space="0" w:color="245AA7"/>
            </w:tcBorders>
            <w:shd w:fill="auto" w:val="clear"/>
            <w:tcMar>
              <w:top w:w="0" w:type="dxa"/>
              <w:left w:w="0" w:type="dxa"/>
              <w:bottom w:w="100" w:type="dxa"/>
              <w:right w:w="0" w:type="dxa"/>
            </w:tcMar>
            <w:vAlign w:val="center"/>
          </w:tcPr>
          <w:p>
            <w:pPr>
              <w:pStyle w:val="Normal"/>
              <w:rPr/>
            </w:pPr>
            <w:r>
              <w:rPr/>
            </w:r>
          </w:p>
        </w:tc>
        <w:tc>
          <w:tcPr>
            <w:tcW w:w="7789" w:type="dxa"/>
            <w:tcBorders/>
            <w:shd w:fill="auto" w:val="clear"/>
            <w:tcMar>
              <w:top w:w="0" w:type="dxa"/>
              <w:left w:w="0" w:type="dxa"/>
              <w:bottom w:w="0" w:type="dxa"/>
              <w:right w:w="0" w:type="dxa"/>
            </w:tcMar>
            <w:vAlign w:val="center"/>
          </w:tcPr>
          <w:p>
            <w:pPr>
              <w:pStyle w:val="TableContents"/>
              <w:pBdr/>
              <w:spacing w:before="0" w:after="0"/>
              <w:ind w:left="0" w:right="0" w:hanging="0"/>
              <w:rPr>
                <w:rFonts w:ascii="Arial" w:hAnsi="Arial"/>
                <w:b/>
                <w:color w:val="D31B5D"/>
                <w:sz w:val="20"/>
              </w:rPr>
            </w:pPr>
            <w:r>
              <w:rPr>
                <w:rFonts w:ascii="Arial" w:hAnsi="Arial"/>
                <w:b/>
                <w:color w:val="D31B5D"/>
                <w:sz w:val="20"/>
              </w:rPr>
              <w:t>Recent Focus Areas</w:t>
            </w:r>
          </w:p>
        </w:tc>
      </w:tr>
      <w:tr>
        <w:trPr/>
        <w:tc>
          <w:tcPr>
            <w:tcW w:w="2416" w:type="dxa"/>
            <w:vMerge w:val="continue"/>
            <w:tcBorders>
              <w:bottom w:val="single" w:sz="2" w:space="0" w:color="245AA7"/>
            </w:tcBorders>
            <w:shd w:fill="auto" w:val="clear"/>
            <w:tcMar>
              <w:top w:w="0" w:type="dxa"/>
              <w:left w:w="0" w:type="dxa"/>
              <w:bottom w:w="100" w:type="dxa"/>
              <w:right w:w="0" w:type="dxa"/>
            </w:tcMar>
            <w:vAlign w:val="center"/>
          </w:tcPr>
          <w:p>
            <w:pPr>
              <w:pStyle w:val="Normal"/>
              <w:rPr/>
            </w:pPr>
            <w:r>
              <w:rPr/>
            </w:r>
          </w:p>
        </w:tc>
        <w:tc>
          <w:tcPr>
            <w:tcW w:w="7789" w:type="dxa"/>
            <w:tcBorders>
              <w:bottom w:val="single" w:sz="2" w:space="0" w:color="245BA7"/>
            </w:tcBorders>
            <w:shd w:fill="auto" w:val="clear"/>
            <w:tcMar>
              <w:top w:w="0" w:type="dxa"/>
              <w:left w:w="0" w:type="dxa"/>
              <w:bottom w:w="75" w:type="dxa"/>
              <w:right w:w="0" w:type="dxa"/>
            </w:tcMar>
            <w:vAlign w:val="center"/>
          </w:tcPr>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The Company’s immuno-oncology programs</w:t>
            </w:r>
          </w:p>
          <w:p>
            <w:pPr>
              <w:pStyle w:val="TableContents"/>
              <w:spacing w:before="0" w:after="0"/>
              <w:ind w:left="0" w:right="105" w:hanging="0"/>
              <w:rPr>
                <w:color w:val="245BA7"/>
              </w:rPr>
            </w:pPr>
            <w:r>
              <w:rPr>
                <w:color w:val="245BA7"/>
              </w:rPr>
              <w:t>•</w:t>
            </w:r>
          </w:p>
          <w:p>
            <w:pPr>
              <w:pStyle w:val="TableContents"/>
              <w:pBdr/>
              <w:spacing w:before="0" w:after="0"/>
              <w:ind w:left="0" w:right="105" w:hanging="0"/>
              <w:rPr>
                <w:rFonts w:ascii="Arial" w:hAnsi="Arial"/>
                <w:color w:val="000000"/>
                <w:sz w:val="20"/>
              </w:rPr>
            </w:pPr>
            <w:r>
              <w:rPr>
                <w:rFonts w:ascii="Arial" w:hAnsi="Arial"/>
                <w:color w:val="000000"/>
                <w:sz w:val="20"/>
              </w:rPr>
              <w:t>Recent advances and discoveries of the Regeneron Genetics Center</w:t>
            </w:r>
            <w:r>
              <w:rPr>
                <w:rFonts w:ascii="Arial" w:hAnsi="Arial"/>
                <w:color w:val="000000"/>
                <w:sz w:val="12"/>
              </w:rPr>
              <w:t>®</w:t>
            </w:r>
            <w:r>
              <w:rPr>
                <w:rFonts w:ascii="Arial" w:hAnsi="Arial"/>
                <w:color w:val="000000"/>
                <w:sz w:val="20"/>
              </w:rPr>
              <w:t xml:space="preserve"> and the Company’s research and preclinical development pipeline</w:t>
            </w:r>
          </w:p>
          <w:p>
            <w:pPr>
              <w:pStyle w:val="TableContents"/>
              <w:pBdr/>
              <w:spacing w:before="0" w:after="0"/>
              <w:ind w:left="0" w:right="105" w:hanging="0"/>
              <w:rPr>
                <w:caps w:val="false"/>
                <w:smallCaps w:val="false"/>
                <w:color w:val="000000"/>
              </w:rPr>
            </w:pPr>
            <w:r>
              <w:rPr>
                <w:caps w:val="false"/>
                <w:smallCaps w:val="false"/>
                <w:color w:val="000000"/>
              </w:rPr>
              <w:t> </w:t>
            </w:r>
          </w:p>
        </w:tc>
      </w:tr>
      <w:tr>
        <w:trPr/>
        <w:tc>
          <w:tcPr>
            <w:tcW w:w="10205" w:type="dxa"/>
            <w:gridSpan w:val="2"/>
            <w:tcBorders/>
            <w:shd w:fill="auto" w:val="clear"/>
            <w:tcMar>
              <w:top w:w="0" w:type="dxa"/>
              <w:left w:w="0" w:type="dxa"/>
              <w:bottom w:w="0" w:type="dxa"/>
              <w:right w:w="0" w:type="dxa"/>
            </w:tcMar>
            <w:vAlign w:val="center"/>
          </w:tcPr>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0"/>
              <w:ind w:left="0" w:right="3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full board retains oversight of the Company’s strategies and policies related to diversity, equity, and inclusion. See the subsection “The Company—Corporate Governance—Corporate Responsibility” for more information.</w:t>
            </w:r>
          </w:p>
          <w:p>
            <w:pPr>
              <w:pStyle w:val="TableContents"/>
              <w:spacing w:before="0" w:after="0"/>
              <w:ind w:left="0" w:right="3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w:t>
            </w:r>
          </w:p>
          <w:p>
            <w:pPr>
              <w:pStyle w:val="TableContents"/>
              <w:pBdr/>
              <w:spacing w:before="0" w:after="0"/>
              <w:ind w:left="0" w:right="30" w:hanging="0"/>
              <w:rPr>
                <w:rFonts w:ascii="Arial" w:hAnsi="Arial"/>
                <w:b w:val="false"/>
                <w:i w:val="false"/>
                <w:caps w:val="false"/>
                <w:smallCaps w:val="false"/>
                <w:color w:val="000000"/>
                <w:sz w:val="20"/>
              </w:rPr>
            </w:pPr>
            <w:r>
              <w:rPr>
                <w:rFonts w:ascii="Arial" w:hAnsi="Arial"/>
                <w:b w:val="false"/>
                <w:i/>
                <w:caps w:val="false"/>
                <w:smallCaps w:val="false"/>
                <w:color w:val="000000"/>
                <w:sz w:val="20"/>
              </w:rPr>
              <w:t>Ex Officio</w:t>
            </w:r>
            <w:r>
              <w:rPr>
                <w:rFonts w:ascii="Arial" w:hAnsi="Arial"/>
                <w:b w:val="false"/>
                <w:i w:val="false"/>
                <w:caps w:val="false"/>
                <w:smallCaps w:val="false"/>
                <w:color w:val="000000"/>
                <w:sz w:val="20"/>
              </w:rPr>
              <w:t xml:space="preserve"> Member.</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1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7" descr=""/>
                          <pic:cNvPicPr>
                            <a:picLocks noChangeAspect="1" noChangeArrowheads="1"/>
                          </pic:cNvPicPr>
                        </pic:nvPicPr>
                        <pic:blipFill>
                          <a:blip r:embed="rId78"/>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21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jc w:val="center"/>
        <w:rPr/>
      </w:pPr>
      <w:r>
        <w:rPr/>
        <w:drawing>
          <wp:inline distT="0" distB="0" distL="0" distR="0">
            <wp:extent cx="7620000" cy="1552575"/>
            <wp:effectExtent l="0" t="0" r="0" b="0"/>
            <wp:docPr id="11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8" descr=""/>
                    <pic:cNvPicPr>
                      <a:picLocks noChangeAspect="1" noChangeArrowheads="1"/>
                    </pic:cNvPicPr>
                  </pic:nvPicPr>
                  <pic:blipFill>
                    <a:blip r:embed="rId79"/>
                    <a:stretch>
                      <a:fillRect/>
                    </a:stretch>
                  </pic:blipFill>
                  <pic:spPr bwMode="auto">
                    <a:xfrm>
                      <a:off x="0" y="0"/>
                      <a:ext cx="7620000" cy="1552575"/>
                    </a:xfrm>
                    <a:prstGeom prst="rect">
                      <a:avLst/>
                    </a:prstGeom>
                  </pic:spPr>
                </pic:pic>
              </a:graphicData>
            </a:graphic>
          </wp:inline>
        </w:drawing>
      </w:r>
    </w:p>
    <w:p>
      <w:pPr>
        <w:pStyle w:val="Heading1"/>
        <w:pBdr/>
        <w:spacing w:before="0" w:after="0"/>
        <w:ind w:left="720" w:right="0" w:hanging="0"/>
        <w:jc w:val="left"/>
        <w:rPr>
          <w:rFonts w:ascii="Arial" w:hAnsi="Arial"/>
          <w:b/>
          <w:i w:val="false"/>
          <w:caps w:val="false"/>
          <w:smallCaps w:val="false"/>
          <w:color w:val="245BA7"/>
          <w:sz w:val="54"/>
        </w:rPr>
      </w:pPr>
      <w:bookmarkStart w:id="38" w:name="new_id-33"/>
      <w:bookmarkEnd w:id="38"/>
      <w:r>
        <w:rPr>
          <w:rFonts w:ascii="Arial" w:hAnsi="Arial"/>
          <w:b/>
          <w:i w:val="false"/>
          <w:caps w:val="false"/>
          <w:smallCaps w:val="false"/>
          <w:color w:val="245BA7"/>
          <w:sz w:val="54"/>
        </w:rPr>
        <w:t xml:space="preserve">BOARD GOVERNANCE </w:t>
      </w:r>
    </w:p>
    <w:p>
      <w:pPr>
        <w:pStyle w:val="TextBody"/>
        <w:pBdr/>
        <w:spacing w:before="0" w:after="0"/>
        <w:ind w:left="0" w:right="0" w:hanging="0"/>
        <w:rPr>
          <w:caps w:val="false"/>
          <w:smallCaps w:val="false"/>
          <w:color w:val="245BA7"/>
        </w:rPr>
      </w:pPr>
      <w:r>
        <w:rPr>
          <w:caps w:val="false"/>
          <w:smallCaps w:val="false"/>
          <w:color w:val="245BA7"/>
        </w:rPr>
        <w:t> </w:t>
      </w:r>
    </w:p>
    <w:p>
      <w:pPr>
        <w:pStyle w:val="Heading3"/>
        <w:pBdr/>
        <w:spacing w:before="0" w:after="0"/>
        <w:ind w:left="0" w:right="0" w:hanging="0"/>
        <w:jc w:val="left"/>
        <w:rPr>
          <w:rFonts w:ascii="Arial" w:hAnsi="Arial"/>
          <w:b/>
          <w:i w:val="false"/>
          <w:caps w:val="false"/>
          <w:smallCaps w:val="false"/>
          <w:color w:val="D31B5D"/>
          <w:sz w:val="30"/>
          <w:bdr w:val="single" w:sz="12" w:space="2" w:color="245BA7"/>
        </w:rPr>
      </w:pPr>
      <w:bookmarkStart w:id="39" w:name="new_id-34"/>
      <w:bookmarkEnd w:id="39"/>
      <w:r>
        <w:rPr>
          <w:rFonts w:ascii="Arial" w:hAnsi="Arial"/>
          <w:b/>
          <w:i w:val="false"/>
          <w:caps w:val="false"/>
          <w:smallCaps w:val="false"/>
          <w:color w:val="D31B5D"/>
          <w:sz w:val="30"/>
          <w:bdr w:val="single" w:sz="12" w:space="2" w:color="245BA7"/>
        </w:rPr>
        <w:t xml:space="preserve">BOARD STRUCTURE </w:t>
      </w:r>
    </w:p>
    <w:p>
      <w:pPr>
        <w:pStyle w:val="Heading4"/>
        <w:pBdr/>
        <w:spacing w:before="0" w:after="150"/>
        <w:ind w:left="0" w:right="0" w:hanging="0"/>
        <w:jc w:val="left"/>
        <w:rPr>
          <w:rFonts w:ascii="Arial" w:hAnsi="Arial"/>
          <w:b/>
          <w:i w:val="false"/>
          <w:caps w:val="false"/>
          <w:smallCaps w:val="false"/>
          <w:color w:val="245BA7"/>
          <w:sz w:val="24"/>
        </w:rPr>
      </w:pPr>
      <w:bookmarkStart w:id="40" w:name="new_id-35"/>
      <w:bookmarkEnd w:id="40"/>
      <w:r>
        <w:rPr>
          <w:rFonts w:ascii="Arial" w:hAnsi="Arial"/>
          <w:b/>
          <w:i w:val="false"/>
          <w:caps w:val="false"/>
          <w:smallCaps w:val="false"/>
          <w:color w:val="245BA7"/>
          <w:sz w:val="24"/>
        </w:rPr>
        <w:t xml:space="preserve">Board Classes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Pursuant to the Company’s Certificate of Incorporation, the board of directors is divided into three classes, denominated Class I, Class II, and Class III, with members of each class holding office for staggered three-year terms. There are currently four members in each of Class I, Class II, and Class III. In accordance with the requirements of New York law, Dr. Thompson was not assigned to any particular class upon his election by the board in October 2022 and, if he is elected by shareholders at the 2023 Annual Meeting, he will join Class II. The respective terms of the directors expire (in all cases, subject to the election and qualification of their successors and to their earlier death, resignation, or removal) as follows:</w:t>
      </w:r>
    </w:p>
    <w:p>
      <w:pPr>
        <w:pStyle w:val="TextBody"/>
        <w:spacing w:before="0" w:after="0"/>
        <w:ind w:left="0" w:right="30" w:hanging="0"/>
        <w:rPr>
          <w:color w:val="245BA7"/>
        </w:rPr>
      </w:pPr>
      <w:r>
        <w:rPr>
          <w:color w:val="245BA7"/>
        </w:rPr>
        <w:t>•</w:t>
      </w:r>
    </w:p>
    <w:p>
      <w:pPr>
        <w:pStyle w:val="TextBody"/>
        <w:pBdr/>
        <w:spacing w:before="0" w:after="0"/>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terms of the Class I Directors expire at the 2025 Annual Meeting;</w:t>
      </w:r>
    </w:p>
    <w:p>
      <w:pPr>
        <w:pStyle w:val="TextBody"/>
        <w:spacing w:before="0" w:after="0"/>
        <w:ind w:left="0" w:right="30" w:hanging="0"/>
        <w:rPr>
          <w:color w:val="245BA7"/>
        </w:rPr>
      </w:pPr>
      <w:r>
        <w:rPr>
          <w:color w:val="245BA7"/>
        </w:rPr>
        <w:t>•</w:t>
      </w:r>
    </w:p>
    <w:p>
      <w:pPr>
        <w:pStyle w:val="TextBody"/>
        <w:pBdr/>
        <w:spacing w:before="0" w:after="0"/>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terms of the Class II Directors expire at the 2023 Annual Meeting; and</w:t>
      </w:r>
    </w:p>
    <w:p>
      <w:pPr>
        <w:pStyle w:val="TextBody"/>
        <w:spacing w:before="0" w:after="0"/>
        <w:ind w:left="0" w:right="30" w:hanging="0"/>
        <w:rPr>
          <w:color w:val="245BA7"/>
        </w:rPr>
      </w:pPr>
      <w:r>
        <w:rPr>
          <w:color w:val="245BA7"/>
        </w:rPr>
        <w:t>•</w:t>
      </w:r>
    </w:p>
    <w:p>
      <w:pPr>
        <w:pStyle w:val="TextBody"/>
        <w:pBdr/>
        <w:spacing w:before="0" w:after="0"/>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terms of the Class III Directors expire at the 2024 Annual Meeting.</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On April 14, 2023, Dr. Vagelos, a Class II Director, notified the Company of his decision not to stand for re-election at the 2023 Annual Meeting. Following the 2023 Annual Meeting, subject to the election of the other Class II Directors nominated for reelection at the 2023 Annual Meeting, the board is expected to be comprised of 12 members equally apportioned among the classes. See the subsection “Board Leadership Structure” below for more information.</w:t>
      </w:r>
    </w:p>
    <w:p>
      <w:pPr>
        <w:pStyle w:val="Heading4"/>
        <w:pBdr/>
        <w:spacing w:before="0" w:after="150"/>
        <w:ind w:left="0" w:right="0" w:hanging="0"/>
        <w:jc w:val="left"/>
        <w:rPr>
          <w:rFonts w:ascii="Arial" w:hAnsi="Arial"/>
          <w:b/>
          <w:i w:val="false"/>
          <w:caps w:val="false"/>
          <w:smallCaps w:val="false"/>
          <w:color w:val="245BA7"/>
          <w:sz w:val="24"/>
        </w:rPr>
      </w:pPr>
      <w:bookmarkStart w:id="41" w:name="new_id-36"/>
      <w:bookmarkEnd w:id="41"/>
      <w:r>
        <w:rPr>
          <w:rFonts w:ascii="Arial" w:hAnsi="Arial"/>
          <w:b/>
          <w:i w:val="false"/>
          <w:caps w:val="false"/>
          <w:smallCaps w:val="false"/>
          <w:color w:val="245BA7"/>
          <w:sz w:val="24"/>
        </w:rPr>
        <w:t xml:space="preserve">Rationale for Board Structure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Regeneron continues to operate with the long-term outlook required to turn rigorous scientific research into important new medicines. To deliver on this mission, we manage our business for the long term and pursue our core strategy of creating and advancing a high-quality, internally developed product pipeline. In response to shareholder feedback, in January 2023 the Corporate Governance and Compliance Committee requested, reviewed, and discussed a detailed analysis of the costs and benefits of the Company’s classified board structure in order to facilitate the Committee’s continued consideration of this feature of Regeneron’s governance. Following this review, at present the board and the Committee continue to believe that the classified board structure aligns with the Company’s long-term orientation and enables the board to provide appropriate and expert oversight of management over the course of the development cycle of our products, which the board believes ultimately drives the creation of sustainable shareholder value. Furthermore, the board believes three-year terms enhance the independence of our non-employee directors by providing continuity of service and protecting them against potential pressures from special interest groups or others who might have an agenda contrary to the long-term interests of shareholders. The board and/or the Committee will periodically review and continue to consider whether the classified board structure aligns with the Company’s long-term strategic objectives.</w:t>
      </w:r>
    </w:p>
    <w:p>
      <w:pPr>
        <w:pStyle w:val="Heading3"/>
        <w:pBdr/>
        <w:spacing w:before="0" w:after="0"/>
        <w:ind w:left="0" w:right="0" w:hanging="0"/>
        <w:jc w:val="left"/>
        <w:rPr>
          <w:rFonts w:ascii="Arial" w:hAnsi="Arial"/>
          <w:b/>
          <w:i w:val="false"/>
          <w:caps w:val="false"/>
          <w:smallCaps w:val="false"/>
          <w:color w:val="D31B5D"/>
          <w:sz w:val="30"/>
          <w:bdr w:val="single" w:sz="12" w:space="2" w:color="245BA7"/>
        </w:rPr>
      </w:pPr>
      <w:bookmarkStart w:id="42" w:name="new_id-37"/>
      <w:bookmarkEnd w:id="42"/>
      <w:r>
        <w:rPr>
          <w:rFonts w:ascii="Arial" w:hAnsi="Arial"/>
          <w:b/>
          <w:i w:val="false"/>
          <w:caps w:val="false"/>
          <w:smallCaps w:val="false"/>
          <w:color w:val="D31B5D"/>
          <w:sz w:val="30"/>
          <w:bdr w:val="single" w:sz="12" w:space="2" w:color="245BA7"/>
        </w:rPr>
        <w:t xml:space="preserve">BOARD MEETINGS AND ATTENDANCE OF DIRECTORS </w:t>
      </w:r>
    </w:p>
    <w:p>
      <w:pPr>
        <w:pStyle w:val="Heading4"/>
        <w:pBdr/>
        <w:spacing w:before="0" w:after="150"/>
        <w:ind w:left="0" w:right="0" w:hanging="0"/>
        <w:jc w:val="left"/>
        <w:rPr>
          <w:rFonts w:ascii="Arial" w:hAnsi="Arial"/>
          <w:b/>
          <w:i w:val="false"/>
          <w:caps w:val="false"/>
          <w:smallCaps w:val="false"/>
          <w:color w:val="245BA7"/>
          <w:sz w:val="24"/>
        </w:rPr>
      </w:pPr>
      <w:bookmarkStart w:id="43" w:name="new_id-38"/>
      <w:bookmarkEnd w:id="43"/>
      <w:r>
        <w:rPr>
          <w:rFonts w:ascii="Arial" w:hAnsi="Arial"/>
          <w:b/>
          <w:i w:val="false"/>
          <w:caps w:val="false"/>
          <w:smallCaps w:val="false"/>
          <w:color w:val="245BA7"/>
          <w:sz w:val="24"/>
        </w:rPr>
        <w:t xml:space="preserve">Board Meetings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board held 7 meetings in 2022, of which five were regular and two were special meetings. The Regeneron Board of Directors Corporate Governance Guidelines provide that directors are expected to attend all or substantially all meetings of the board and the committees on which they serve. All directors in office at that time attended at least 75% of the total number of meetings of the board and committees of the board on which they served.</w:t>
      </w:r>
    </w:p>
    <w:p>
      <w:pPr>
        <w:pStyle w:val="Heading4"/>
        <w:pBdr/>
        <w:spacing w:before="0" w:after="150"/>
        <w:ind w:left="0" w:right="0" w:hanging="0"/>
        <w:jc w:val="left"/>
        <w:rPr>
          <w:rFonts w:ascii="Arial" w:hAnsi="Arial"/>
          <w:b/>
          <w:i w:val="false"/>
          <w:caps w:val="false"/>
          <w:smallCaps w:val="false"/>
          <w:color w:val="245BA7"/>
          <w:sz w:val="24"/>
        </w:rPr>
      </w:pPr>
      <w:bookmarkStart w:id="44" w:name="new_id-39"/>
      <w:bookmarkEnd w:id="44"/>
      <w:r>
        <w:rPr>
          <w:rFonts w:ascii="Arial" w:hAnsi="Arial"/>
          <w:b/>
          <w:i w:val="false"/>
          <w:caps w:val="false"/>
          <w:smallCaps w:val="false"/>
          <w:color w:val="245BA7"/>
          <w:sz w:val="24"/>
        </w:rPr>
        <w:t xml:space="preserve">Annual Shareholder Meetings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According to the Regeneron Board of Directors Corporate Governance Guidelines, board members are expected to attend the Company’s Annual Meeting of Shareholders. All of the directors attended our 2022 Annual Meeting of Shareholders.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1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9" descr=""/>
                          <pic:cNvPicPr>
                            <a:picLocks noChangeAspect="1" noChangeArrowheads="1"/>
                          </pic:cNvPicPr>
                        </pic:nvPicPr>
                        <pic:blipFill>
                          <a:blip r:embed="rId80"/>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22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45" w:name="new_id-40"/>
      <w:bookmarkEnd w:id="45"/>
      <w:r>
        <w:rPr>
          <w:rFonts w:ascii="Arial" w:hAnsi="Arial"/>
          <w:b/>
          <w:i w:val="false"/>
          <w:caps w:val="false"/>
          <w:smallCaps w:val="false"/>
          <w:color w:val="D31B5D"/>
          <w:sz w:val="30"/>
          <w:bdr w:val="single" w:sz="12" w:space="2" w:color="245BA7"/>
        </w:rPr>
        <w:t xml:space="preserve">DIRECTOR REFRESHMENT PHILOSOPHY </w:t>
      </w:r>
    </w:p>
    <w:p>
      <w:pPr>
        <w:pStyle w:val="TextBody"/>
        <w:pBdr/>
        <w:spacing w:before="0" w:after="210"/>
        <w:ind w:left="0" w:right="0" w:hanging="0"/>
        <w:rPr>
          <w:rFonts w:ascii="Arial" w:hAnsi="Arial"/>
          <w:color w:val="000000"/>
          <w:sz w:val="21"/>
        </w:rPr>
      </w:pPr>
      <w:r>
        <w:rPr>
          <w:rFonts w:ascii="Arial" w:hAnsi="Arial"/>
          <w:color w:val="000000"/>
          <w:sz w:val="21"/>
        </w:rPr>
        <w:t>The Corporate Governance and Compliance Committee is responsible for ensuring that our board is comprised of highly qualified directors with diverse skillsets and backgrounds who will serve as stewards of investor capital and drive the Company’s scientific focus to ensure the continued creation of long-term shareholder value. The Committee seeks to ensure that our board as a whole possesses the mix of skills and experiences to provide effective oversight and guidance to management to execute on the Company’s long-term strategy. The Committee’s refreshment philosophy prioritizes skills that it considers important and desirable based on the Company’s current needs and business priorities, while recognizing that our board members must have predominantly science-based backgrounds to effectively provide robust, independent oversight of management. The Committee also works to ensure that various members of the board bring substantial governance, financial, policy, and management expertise gained from their professional backgrounds and their service on other boards.</w:t>
      </w:r>
    </w:p>
    <w:p>
      <w:pPr>
        <w:pStyle w:val="TextBody"/>
        <w:pBdr/>
        <w:spacing w:before="0" w:after="210"/>
        <w:ind w:left="0" w:right="0" w:hanging="0"/>
        <w:rPr>
          <w:rFonts w:ascii="Arial" w:hAnsi="Arial"/>
          <w:color w:val="000000"/>
          <w:sz w:val="21"/>
        </w:rPr>
      </w:pPr>
      <w:r>
        <w:rPr>
          <w:rFonts w:ascii="Arial" w:hAnsi="Arial"/>
          <w:color w:val="000000"/>
          <w:sz w:val="21"/>
        </w:rPr>
        <w:t>The Committee believes it is desirable to maintain a mix of longer-tenured, experienced directors who have developed enhanced knowledge and understanding of, and valuable insight into, the Company and its operations and newer directors with fresh perspectives. As a result, we do not impose director tenure limits or a mandatory retirement age. The Committee has considered the perspectives of some shareholders regarding longer-tenured directors but believes that longer-serving directors with experience and institutional knowledge bring critical skills to the boardroom. In particular, the Committee believes that continuity on the board allows for longer-tenured directors to make meaningful contributions and provide effective oversight of management during the complete drug discovery and development cycle. Accordingly, while director tenure is taken into consideration when evaluating the board’s composition, the Committee believes that imposing arbitrary limits on director tenure would deprive the board of the valuable contributions of its most experienced members.</w:t>
      </w:r>
    </w:p>
    <w:p>
      <w:pPr>
        <w:pStyle w:val="TextBody"/>
        <w:pBdr/>
        <w:spacing w:before="0" w:after="210"/>
        <w:ind w:left="0" w:right="0" w:hanging="0"/>
        <w:rPr>
          <w:rFonts w:ascii="Arial" w:hAnsi="Arial"/>
          <w:color w:val="000000"/>
          <w:sz w:val="21"/>
        </w:rPr>
      </w:pPr>
      <w:r>
        <w:rPr>
          <w:rFonts w:ascii="Arial" w:hAnsi="Arial"/>
          <w:color w:val="000000"/>
          <w:sz w:val="21"/>
        </w:rPr>
        <w:t>To ensure a robust approach to director suitability, evaluation, and refreshment, the Committee has adopted refreshment mechanisms that include the following:</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A formal annual board and committee self-evaluation, as discussed further below;</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A requirement to offer resignation upon material change in principal employment; and</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A policy that limits director service to no more than four public boards (including Regeneron) and requires notification prior to appointment to another public or for-profit company board.</w:t>
      </w:r>
    </w:p>
    <w:p>
      <w:pPr>
        <w:pStyle w:val="TextBody"/>
        <w:pBdr/>
        <w:spacing w:before="0" w:after="210"/>
        <w:ind w:left="0" w:right="0" w:hanging="0"/>
        <w:rPr>
          <w:rFonts w:ascii="Arial" w:hAnsi="Arial"/>
          <w:color w:val="000000"/>
          <w:sz w:val="21"/>
        </w:rPr>
      </w:pPr>
      <w:r>
        <w:rPr>
          <w:rFonts w:ascii="Arial" w:hAnsi="Arial"/>
          <w:color w:val="000000"/>
          <w:sz w:val="21"/>
        </w:rPr>
        <w:t>In 2022, Dr. Thompson was elected as a member of the board of directors. Dr. Thompson is a renowned healthcare business leader with exceptional senior executive experience and scientific expertise in multiple therapeutic areas, including oncology. His distinguished career, physician-scientist background, and expertise in oncology will be assets to the Company as we continue to expand our oncology footprint. Dr. Thompson was recommended for consideration by the Corporate Governance and Compliance Committee by a non-management director of the board.</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46" w:name="new_id-41"/>
      <w:bookmarkEnd w:id="46"/>
      <w:r>
        <w:rPr>
          <w:rFonts w:ascii="Arial" w:hAnsi="Arial"/>
          <w:b/>
          <w:i w:val="false"/>
          <w:caps w:val="false"/>
          <w:smallCaps w:val="false"/>
          <w:color w:val="D31B5D"/>
          <w:sz w:val="30"/>
          <w:bdr w:val="single" w:sz="12" w:space="2" w:color="245BA7"/>
        </w:rPr>
        <w:t xml:space="preserve">PROCEDURES RELATING TO NOMINEES; BOARD SUCCESSION PLANNING </w:t>
      </w:r>
    </w:p>
    <w:p>
      <w:pPr>
        <w:pStyle w:val="TextBody"/>
        <w:pBdr/>
        <w:spacing w:before="0" w:after="210"/>
        <w:ind w:left="0" w:right="0" w:hanging="0"/>
        <w:rPr>
          <w:rFonts w:ascii="Arial" w:hAnsi="Arial"/>
          <w:color w:val="000000"/>
          <w:sz w:val="21"/>
        </w:rPr>
      </w:pPr>
      <w:r>
        <w:rPr>
          <w:rFonts w:ascii="Arial" w:hAnsi="Arial"/>
          <w:color w:val="000000"/>
          <w:sz w:val="21"/>
        </w:rPr>
        <w:t>The Corporate Governance and Compliance Committee will consider a nominee for election to the board of directors recommended by a shareholder of record if the shareholder submits the recommendation in compliance with the requirements of our Guidelines Regarding Director Nominations, which are available on our website at </w:t>
      </w:r>
      <w:r>
        <w:rPr>
          <w:rFonts w:ascii="Arial" w:hAnsi="Arial"/>
          <w:b/>
          <w:color w:val="000000"/>
          <w:sz w:val="21"/>
        </w:rPr>
        <w:t>www.regeneron.com</w:t>
      </w:r>
      <w:r>
        <w:rPr>
          <w:rFonts w:ascii="Arial" w:hAnsi="Arial"/>
          <w:color w:val="000000"/>
          <w:sz w:val="21"/>
        </w:rPr>
        <w:t> under the “Corporate Governance” heading on the “Investors &amp; Media” page.</w:t>
      </w:r>
    </w:p>
    <w:p>
      <w:pPr>
        <w:pStyle w:val="TextBody"/>
        <w:pBdr/>
        <w:spacing w:before="0" w:after="210"/>
        <w:ind w:left="0" w:right="0" w:hanging="0"/>
        <w:rPr>
          <w:rFonts w:ascii="Arial" w:hAnsi="Arial"/>
          <w:color w:val="000000"/>
          <w:sz w:val="21"/>
        </w:rPr>
      </w:pPr>
      <w:r>
        <w:rPr>
          <w:rFonts w:ascii="Arial" w:hAnsi="Arial"/>
          <w:color w:val="000000"/>
          <w:sz w:val="21"/>
        </w:rPr>
        <w:t>In considering potential candidates for the board of directors, the Corporate Governance and Compliance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 (5) has the ability to exercise sound business judgment; (6) has the commitment to rigorously represent the long-term interests of the Company’s shareholders; (7) possesses a diverse background and experience, including with respect to race, age, and gender; and (8) should be recommended in light of such other factors as the Corporate Governance and Compliance Committee may determine from time to time.</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2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0" descr=""/>
                          <pic:cNvPicPr>
                            <a:picLocks noChangeAspect="1" noChangeArrowheads="1"/>
                          </pic:cNvPicPr>
                        </pic:nvPicPr>
                        <pic:blipFill>
                          <a:blip r:embed="rId81"/>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23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Candidates for director are reviewed in the context of the current composition of the board of directors, the operating requirements of the Company, and the long-term interests of shareholders. In conducting the assessment, the Committee considers the individual’s independence, experience, skills, background, and diversity, including with respect to race, age, and gender, along with such other factors as it deems appropriate, given the current needs of the board and the Company to maintain a balance of knowledge, experience, and capabilities. When recommending a slate of director nominees each year, the Corporate Governance and Compliance Committee reviews the current composition of the board of directors in order to recommend a slate of directors who, with the continuing directors, will provide the board with the requisite diversity of skills, expertise, experience, and viewpoints necessary to effectively fulfill its duties and responsibilities.</w:t>
      </w:r>
    </w:p>
    <w:p>
      <w:pPr>
        <w:pStyle w:val="TextBody"/>
        <w:pBdr/>
        <w:spacing w:before="0" w:after="210"/>
        <w:ind w:left="0" w:right="0" w:hanging="0"/>
        <w:rPr>
          <w:rFonts w:ascii="Arial" w:hAnsi="Arial"/>
          <w:color w:val="000000"/>
          <w:sz w:val="21"/>
        </w:rPr>
      </w:pPr>
      <w:r>
        <w:rPr>
          <w:rFonts w:ascii="Arial" w:hAnsi="Arial"/>
          <w:color w:val="000000"/>
          <w:sz w:val="21"/>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“independent,” based on our Corporate Governance Guidelines, applicable listing standards of the Nasdaq Stock Market LLC, and applicable SEC and other relevant rules and regulations, if necessary.</w:t>
      </w:r>
    </w:p>
    <w:p>
      <w:pPr>
        <w:pStyle w:val="TextBody"/>
        <w:pBdr/>
        <w:spacing w:before="0" w:after="210"/>
        <w:ind w:left="0" w:right="0" w:hanging="0"/>
        <w:rPr>
          <w:rFonts w:ascii="Arial" w:hAnsi="Arial"/>
          <w:color w:val="000000"/>
          <w:sz w:val="21"/>
        </w:rPr>
      </w:pPr>
      <w:r>
        <w:rPr>
          <w:rFonts w:ascii="Arial" w:hAnsi="Arial"/>
          <w:color w:val="000000"/>
          <w:sz w:val="21"/>
        </w:rPr>
        <w:t>The Corporate Governance and Compliance Committee may employ a variety of methods for identifying and evaluating nominees for the board of directors. In addition, the Corporate Governance and Compliance Committee may consider candidates recommended by other directors, management, search firms, shareholders, or other sources. When conducting searches for new directors, the Corporate Governance and Compliance Committee will take reasonable steps to include diverse candidates in the pool of nominees and any search firm will affirmatively be instructed to seek to include diverse candidates. Candidates recommended by shareholders will be evaluated on the same basis as candidates recommended by our directors or management or by third-party search firms or other sources. Candidates may be evaluated at regular or special meetings of the Corporate Governance and Compliance Committee. The Committee also considers succession planning for board and committee chairs for purposes of continuity and to maintain relevant expertise and depth of experience.</w:t>
      </w:r>
    </w:p>
    <w:p>
      <w:pPr>
        <w:pStyle w:val="TextBody"/>
        <w:pBdr/>
        <w:spacing w:before="0" w:after="210"/>
        <w:jc w:val="center"/>
        <w:rPr>
          <w:caps w:val="false"/>
          <w:smallCaps w:val="false"/>
          <w:color w:val="000000"/>
        </w:rPr>
      </w:pPr>
      <w:r>
        <w:rPr>
          <w:caps w:val="false"/>
          <w:smallCaps w:val="false"/>
          <w:color w:val="000000"/>
        </w:rPr>
        <w:drawing>
          <wp:inline distT="0" distB="0" distL="0" distR="0">
            <wp:extent cx="6600825" cy="1885950"/>
            <wp:effectExtent l="0" t="0" r="0" b="0"/>
            <wp:docPr id="12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1" descr=""/>
                    <pic:cNvPicPr>
                      <a:picLocks noChangeAspect="1" noChangeArrowheads="1"/>
                    </pic:cNvPicPr>
                  </pic:nvPicPr>
                  <pic:blipFill>
                    <a:blip r:embed="rId82"/>
                    <a:stretch>
                      <a:fillRect/>
                    </a:stretch>
                  </pic:blipFill>
                  <pic:spPr bwMode="auto">
                    <a:xfrm>
                      <a:off x="0" y="0"/>
                      <a:ext cx="6600825" cy="1885950"/>
                    </a:xfrm>
                    <a:prstGeom prst="rect">
                      <a:avLst/>
                    </a:prstGeom>
                  </pic:spPr>
                </pic:pic>
              </a:graphicData>
            </a:graphic>
          </wp:inline>
        </w:drawing>
      </w:r>
    </w:p>
    <w:p>
      <w:pPr>
        <w:pStyle w:val="TextBody"/>
        <w:pBdr/>
        <w:spacing w:before="0" w:after="210"/>
        <w:ind w:left="0" w:right="0" w:hanging="0"/>
        <w:rPr>
          <w:color w:val="000000"/>
        </w:rPr>
      </w:pPr>
      <w:r>
        <w:rPr>
          <w:color w:val="000000"/>
        </w:rPr>
        <w:t> </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47" w:name="new_id-42"/>
      <w:bookmarkEnd w:id="47"/>
      <w:r>
        <w:rPr>
          <w:rFonts w:ascii="Arial" w:hAnsi="Arial"/>
          <w:b/>
          <w:i w:val="false"/>
          <w:caps w:val="false"/>
          <w:smallCaps w:val="false"/>
          <w:color w:val="D31B5D"/>
          <w:sz w:val="30"/>
          <w:bdr w:val="single" w:sz="12" w:space="2" w:color="245BA7"/>
        </w:rPr>
        <w:t xml:space="preserve">BOARD AND COMMITTEE SELF-ASSESSMENTS </w:t>
      </w:r>
    </w:p>
    <w:p>
      <w:pPr>
        <w:pStyle w:val="TextBody"/>
        <w:pBdr/>
        <w:spacing w:before="0" w:after="210"/>
        <w:ind w:left="0" w:right="0" w:hanging="0"/>
        <w:rPr>
          <w:rFonts w:ascii="Arial" w:hAnsi="Arial"/>
          <w:color w:val="000000"/>
          <w:sz w:val="21"/>
        </w:rPr>
      </w:pPr>
      <w:r>
        <w:rPr>
          <w:rFonts w:ascii="Arial" w:hAnsi="Arial"/>
          <w:color w:val="000000"/>
          <w:sz w:val="21"/>
        </w:rPr>
        <w:t>On an annual basis, the board of directors, the Audit Committee, the Compensation Committee, and the Corporate Governance and Compliance Committee conduct self-assessments to ensure effective performance and to identify opportunities for improvement. As the first step in the self-assessment process, directors complete a comprehensive questionnaire, which asks them to consider various topics related to board and committee composition, structure, effectiveness, and responsibilities, as well as satisfaction with the schedule, materials, and discussion topics. Each committee, as well as the board as a whole, then reviews and assesses the responses and presents its findings and recommendations to the board of directors. The results of the assessments are then discussed by the board of directors and the respective committees in executive session, with a view toward taking action to address any issues presented. Results requiring additional consideration are addressed at subsequent board and committee meetings, where appropriate.</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2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2" descr=""/>
                          <pic:cNvPicPr>
                            <a:picLocks noChangeAspect="1" noChangeArrowheads="1"/>
                          </pic:cNvPicPr>
                        </pic:nvPicPr>
                        <pic:blipFill>
                          <a:blip r:embed="rId83"/>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24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pBdr/>
        <w:spacing w:before="0" w:after="150"/>
        <w:ind w:left="0" w:right="0" w:hanging="0"/>
        <w:rPr>
          <w:rFonts w:ascii="Arial" w:hAnsi="Arial"/>
          <w:b/>
          <w:color w:val="D31B5D"/>
          <w:sz w:val="24"/>
        </w:rPr>
      </w:pPr>
      <w:bookmarkStart w:id="48" w:name="new_id-43"/>
      <w:bookmarkEnd w:id="48"/>
      <w:r>
        <w:rPr>
          <w:rFonts w:ascii="Arial" w:hAnsi="Arial"/>
          <w:b/>
          <w:color w:val="D31B5D"/>
          <w:sz w:val="24"/>
        </w:rPr>
        <w:t>Annual Self-Assessment Process</w:t>
      </w:r>
    </w:p>
    <w:p>
      <w:pPr>
        <w:pStyle w:val="TextBody"/>
        <w:pBdr/>
        <w:spacing w:before="0" w:after="150"/>
        <w:jc w:val="center"/>
        <w:rPr>
          <w:caps w:val="false"/>
          <w:smallCaps w:val="false"/>
          <w:color w:val="D31B5D"/>
        </w:rPr>
      </w:pPr>
      <w:r>
        <w:rPr>
          <w:caps w:val="false"/>
          <w:smallCaps w:val="false"/>
          <w:color w:val="D31B5D"/>
        </w:rPr>
        <w:drawing>
          <wp:inline distT="0" distB="0" distL="0" distR="0">
            <wp:extent cx="6324600" cy="1381125"/>
            <wp:effectExtent l="0" t="0" r="0" b="0"/>
            <wp:docPr id="12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83" descr=""/>
                    <pic:cNvPicPr>
                      <a:picLocks noChangeAspect="1" noChangeArrowheads="1"/>
                    </pic:cNvPicPr>
                  </pic:nvPicPr>
                  <pic:blipFill>
                    <a:blip r:embed="rId84"/>
                    <a:stretch>
                      <a:fillRect/>
                    </a:stretch>
                  </pic:blipFill>
                  <pic:spPr bwMode="auto">
                    <a:xfrm>
                      <a:off x="0" y="0"/>
                      <a:ext cx="6324600" cy="1381125"/>
                    </a:xfrm>
                    <a:prstGeom prst="rect">
                      <a:avLst/>
                    </a:prstGeom>
                  </pic:spPr>
                </pic:pic>
              </a:graphicData>
            </a:graphic>
          </wp:inline>
        </w:drawing>
      </w:r>
    </w:p>
    <w:p>
      <w:pPr>
        <w:pStyle w:val="TextBody"/>
        <w:pBdr/>
        <w:spacing w:before="0" w:after="0"/>
        <w:ind w:left="0" w:right="0" w:hanging="0"/>
        <w:rPr>
          <w:color w:val="000000"/>
        </w:rPr>
      </w:pPr>
      <w:r>
        <w:rPr>
          <w:color w:val="000000"/>
        </w:rPr>
        <w:t> </w:t>
      </w:r>
    </w:p>
    <w:p>
      <w:pPr>
        <w:pStyle w:val="TextBody"/>
        <w:pBdr/>
        <w:spacing w:before="0" w:after="210"/>
        <w:ind w:left="0" w:right="0" w:hanging="0"/>
        <w:rPr>
          <w:rFonts w:ascii="Arial" w:hAnsi="Arial"/>
          <w:color w:val="000000"/>
          <w:sz w:val="21"/>
        </w:rPr>
      </w:pPr>
      <w:r>
        <w:rPr>
          <w:rFonts w:ascii="Arial" w:hAnsi="Arial"/>
          <w:color w:val="000000"/>
          <w:sz w:val="21"/>
        </w:rPr>
        <w:t>While this formal self-assessment is conducted on an annual basis, directors share perspectives, feedback, and suggestions year round, both inside and outside the boardroom.</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49" w:name="new_id-44"/>
      <w:bookmarkEnd w:id="49"/>
      <w:r>
        <w:rPr>
          <w:rFonts w:ascii="Arial" w:hAnsi="Arial"/>
          <w:b/>
          <w:i w:val="false"/>
          <w:caps w:val="false"/>
          <w:smallCaps w:val="false"/>
          <w:color w:val="D31B5D"/>
          <w:sz w:val="30"/>
          <w:bdr w:val="single" w:sz="12" w:space="2" w:color="245BA7"/>
        </w:rPr>
        <w:t xml:space="preserve">SHAREHOLDER RIGHT TO CALL SPECIAL SHAREHOLDER MEETING </w:t>
      </w:r>
    </w:p>
    <w:p>
      <w:pPr>
        <w:pStyle w:val="TextBody"/>
        <w:pBdr/>
        <w:spacing w:before="0" w:after="210"/>
        <w:ind w:left="0" w:right="0" w:hanging="0"/>
        <w:rPr>
          <w:rFonts w:ascii="Arial" w:hAnsi="Arial"/>
          <w:color w:val="000000"/>
          <w:sz w:val="21"/>
        </w:rPr>
      </w:pPr>
      <w:r>
        <w:rPr>
          <w:rFonts w:ascii="Arial" w:hAnsi="Arial"/>
          <w:color w:val="000000"/>
          <w:sz w:val="21"/>
        </w:rPr>
        <w:t>Regeneron’s charter documents give shareholders the right to call a special shareholder meeting upon the written request of at least 25% of the total number of votes entitled to be cast by shareholders.</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50" w:name="new_id-45"/>
      <w:bookmarkEnd w:id="50"/>
      <w:r>
        <w:rPr>
          <w:rFonts w:ascii="Arial" w:hAnsi="Arial"/>
          <w:b/>
          <w:i w:val="false"/>
          <w:caps w:val="false"/>
          <w:smallCaps w:val="false"/>
          <w:color w:val="D31B5D"/>
          <w:sz w:val="30"/>
          <w:bdr w:val="single" w:sz="12" w:space="2" w:color="245BA7"/>
        </w:rPr>
        <w:t xml:space="preserve">DIRECTOR INDEPENDENCE </w:t>
      </w:r>
    </w:p>
    <w:p>
      <w:pPr>
        <w:pStyle w:val="TextBody"/>
        <w:pBdr/>
        <w:spacing w:before="0" w:after="210"/>
        <w:ind w:left="0" w:right="0" w:hanging="0"/>
        <w:rPr>
          <w:rFonts w:ascii="Arial" w:hAnsi="Arial"/>
          <w:color w:val="000000"/>
          <w:sz w:val="21"/>
        </w:rPr>
      </w:pPr>
      <w:r>
        <w:rPr>
          <w:rFonts w:ascii="Arial" w:hAnsi="Arial"/>
          <w:color w:val="000000"/>
          <w:sz w:val="21"/>
        </w:rPr>
        <w:t>The board of directors has determined that each of the following currently serving directors is independent as defined in the listing standards of the Nasdaq Stock Market LLC and our Corporate Governance Guidelines: Bonnie L. Bassler, Ph.D., Michael S. Brown, M.D., N. Anthony Coles, M.D., Joseph L. Goldstein, M.D., Christine A. Poon, Arthur F. Ryan, George L. Sing, Marc Tessier-Lavigne, Ph.D., Craig B. Thompson, M.D., and Huda Y. Zoghbi, M.D. These individuals are affiliated with numerous educational institutions, hospitals, charities, and corporations, as well as civic organizations and professional associations. The board of directors considered each of these relationships and determined that none of these relationships conflicted with the interests of the Company or would impair their independence or judgment. In accordance with our Corporate Governance Guidelines, the board conducts executive sessions of independent directors presided by the Chair of the Corporate Governance and Compliance Committee following each regularly scheduled board meeting, as discussed further below.</w:t>
      </w:r>
    </w:p>
    <w:p>
      <w:pPr>
        <w:pStyle w:val="TextBody"/>
        <w:pBdr/>
        <w:spacing w:before="0" w:after="210"/>
        <w:ind w:left="0" w:right="0" w:hanging="0"/>
        <w:rPr>
          <w:rFonts w:ascii="Arial" w:hAnsi="Arial"/>
          <w:color w:val="000000"/>
          <w:sz w:val="21"/>
        </w:rPr>
      </w:pPr>
      <w:r>
        <w:rPr>
          <w:rFonts w:ascii="Arial" w:hAnsi="Arial"/>
          <w:color w:val="000000"/>
          <w:sz w:val="21"/>
        </w:rPr>
        <w:t>The board of directors has determined that each of the current members of the Audit Committee, Messrs. Ryan and Sing and Dr. Coles, qualifies as an “audit committee financial expert” as that term is defined by SEC rules, and is independent as defined for audit committee members in the listing standards of the Nasdaq Stock Market LLC and SEC rules.</w:t>
      </w:r>
    </w:p>
    <w:p>
      <w:pPr>
        <w:pStyle w:val="TextBody"/>
        <w:pBdr/>
        <w:spacing w:before="0" w:after="210"/>
        <w:ind w:left="0" w:right="0" w:hanging="0"/>
        <w:rPr>
          <w:rFonts w:ascii="Arial" w:hAnsi="Arial"/>
          <w:color w:val="000000"/>
          <w:sz w:val="21"/>
        </w:rPr>
      </w:pPr>
      <w:r>
        <w:rPr>
          <w:rFonts w:ascii="Arial" w:hAnsi="Arial"/>
          <w:color w:val="000000"/>
          <w:sz w:val="21"/>
        </w:rPr>
        <w:t>In addition, the board of directors has determined that each of the current members of the Compensation Committee, Ms. Poon, Mr. Sing, and Dr. Zoghbi, meets the additional independence criteria applicable to compensation committee members under the listing standards of the Nasdaq Stock Market LLC and qualifies as a “Non-Employee Director” pursuant to Rule 16b-3 under the Securities Exchange Act of 1934, as amended (the “Exchange Act”).</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51" w:name="new_id-46"/>
      <w:bookmarkEnd w:id="51"/>
      <w:r>
        <w:rPr>
          <w:rFonts w:ascii="Arial" w:hAnsi="Arial"/>
          <w:b/>
          <w:i w:val="false"/>
          <w:caps w:val="false"/>
          <w:smallCaps w:val="false"/>
          <w:color w:val="D31B5D"/>
          <w:sz w:val="30"/>
          <w:bdr w:val="single" w:sz="12" w:space="2" w:color="245BA7"/>
        </w:rPr>
        <w:t xml:space="preserve">BOARD LEADERSHIP STRUCTURE </w:t>
      </w:r>
    </w:p>
    <w:p>
      <w:pPr>
        <w:pStyle w:val="TextBody"/>
        <w:pBdr/>
        <w:spacing w:before="0" w:after="210"/>
        <w:ind w:left="0" w:right="0" w:hanging="0"/>
        <w:rPr>
          <w:rFonts w:ascii="Arial" w:hAnsi="Arial"/>
          <w:color w:val="000000"/>
          <w:sz w:val="21"/>
        </w:rPr>
      </w:pPr>
      <w:r>
        <w:rPr>
          <w:rFonts w:ascii="Arial" w:hAnsi="Arial"/>
          <w:color w:val="000000"/>
          <w:sz w:val="21"/>
        </w:rPr>
        <w:t>The board of directors recognizes that one of its key responsibilities is to establish and evaluate an appropriate leadership structure for the board so as to provide effective oversight of management. The board of directors believes that a company’s board leadership structure should take into account relevant corporate governance and strategic considerations (such as board size and composition, director tenure, and experience of the management team) and that the board should maintain flexibility and adjust the leadership structure as appropriate.</w:t>
      </w:r>
    </w:p>
    <w:p>
      <w:pPr>
        <w:pStyle w:val="Heading4"/>
        <w:pBdr/>
        <w:spacing w:before="0" w:after="150"/>
        <w:ind w:left="0" w:right="0" w:hanging="0"/>
        <w:rPr>
          <w:rFonts w:ascii="Arial" w:hAnsi="Arial"/>
          <w:b/>
          <w:i w:val="false"/>
          <w:caps w:val="false"/>
          <w:smallCaps w:val="false"/>
          <w:color w:val="245BA7"/>
          <w:sz w:val="24"/>
        </w:rPr>
      </w:pPr>
      <w:bookmarkStart w:id="52" w:name="new_id-47"/>
      <w:bookmarkEnd w:id="52"/>
      <w:r>
        <w:rPr>
          <w:rFonts w:ascii="Arial" w:hAnsi="Arial"/>
          <w:b/>
          <w:i w:val="false"/>
          <w:caps w:val="false"/>
          <w:smallCaps w:val="false"/>
          <w:color w:val="245BA7"/>
          <w:sz w:val="24"/>
        </w:rPr>
        <w:t xml:space="preserve">Current Board Leadership Structure </w:t>
      </w:r>
    </w:p>
    <w:p>
      <w:pPr>
        <w:pStyle w:val="TextBody"/>
        <w:pBdr/>
        <w:spacing w:before="0" w:after="210"/>
        <w:ind w:left="0" w:right="0" w:hanging="0"/>
        <w:rPr>
          <w:rFonts w:ascii="Arial" w:hAnsi="Arial"/>
          <w:color w:val="000000"/>
          <w:sz w:val="21"/>
        </w:rPr>
      </w:pPr>
      <w:r>
        <w:rPr>
          <w:rFonts w:ascii="Arial" w:hAnsi="Arial"/>
          <w:color w:val="000000"/>
          <w:sz w:val="21"/>
        </w:rPr>
        <w:t xml:space="preserve">Regeneron’s current board leadership structure (in effect since 1995) is based on the separation of the roles of the Chief Executive Officer and the Chair of the Board, with Dr. Vagelos serving as Chair and Dr. Schleifer serving as President and Chief Executive Officer. The board has determined that this leadership structure is currently appropriate for the Company. This determination was based in part on Dr. Vagelos’s extensive leadership experience, business acumen, and deep understanding of the healthcare industry, as well as the fact that in the board’s view Dr. Vagelos is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2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4" descr=""/>
                          <pic:cNvPicPr>
                            <a:picLocks noChangeAspect="1" noChangeArrowheads="1"/>
                          </pic:cNvPicPr>
                        </pic:nvPicPr>
                        <pic:blipFill>
                          <a:blip r:embed="rId85"/>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25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able to directly challenge senior management on both scientific and business matters. The perspectives gained from his extensive industry experience have made Dr. Vagelos an invaluable resource to both the board and the management team and have also allowed him to effectively serve as a sounding board for the other directors.</w:t>
      </w:r>
    </w:p>
    <w:p>
      <w:pPr>
        <w:pStyle w:val="TextBody"/>
        <w:pBdr/>
        <w:spacing w:before="0" w:after="210"/>
        <w:ind w:left="0" w:right="0" w:hanging="0"/>
        <w:rPr>
          <w:rFonts w:ascii="Arial" w:hAnsi="Arial"/>
          <w:color w:val="000000"/>
          <w:sz w:val="21"/>
        </w:rPr>
      </w:pPr>
      <w:r>
        <w:rPr>
          <w:rFonts w:ascii="Arial" w:hAnsi="Arial"/>
          <w:color w:val="000000"/>
          <w:sz w:val="21"/>
        </w:rPr>
        <w:t>Based on the way in which he has executed his role as Chair, the board considers Dr. Vagelos to be an impartial director. However, given that Dr. Vagelos does not meet the independence requirements set forth in the listing standards of the Nasdaq Stock Market LLC, and to enable even more robust independent oversight, Mr. Ryan, an independent director and Chair of the Corporate Governance and Compliance Committee, currently serves as Presiding Director and chairs all executive sessions of independent directors (which generally follow each regularly scheduled board meeting). Mr. Ryan’s substantial leadership experience as a chief executive officer of leading companies in the banking and insurance industries, his extensive business experience and financial expertise, and his prior service as a director of several publicly traded companies have made him well suited to effectively serve as an additional layer of independent oversight.</w:t>
      </w:r>
    </w:p>
    <w:p>
      <w:pPr>
        <w:pStyle w:val="TextBody"/>
        <w:pBdr/>
        <w:spacing w:before="0" w:after="210"/>
        <w:ind w:left="0" w:right="0" w:hanging="0"/>
        <w:rPr>
          <w:rFonts w:ascii="Arial" w:hAnsi="Arial"/>
          <w:color w:val="000000"/>
          <w:sz w:val="21"/>
        </w:rPr>
      </w:pPr>
      <w:r>
        <w:rPr>
          <w:rFonts w:ascii="Arial" w:hAnsi="Arial"/>
          <w:color w:val="000000"/>
          <w:sz w:val="21"/>
        </w:rPr>
        <w:t xml:space="preserve">The board believes that this governance arrangement has bolstered the board’s leadership structure and its goal of ensuring independent oversight of management’s execution of our business strategy and the continued creation of sustainable shareholder value. </w:t>
      </w:r>
    </w:p>
    <w:p>
      <w:pPr>
        <w:pStyle w:val="Heading4"/>
        <w:pBdr/>
        <w:spacing w:before="0" w:after="150"/>
        <w:ind w:left="0" w:right="0" w:hanging="0"/>
        <w:rPr>
          <w:rFonts w:ascii="Arial" w:hAnsi="Arial"/>
          <w:b/>
          <w:i w:val="false"/>
          <w:caps w:val="false"/>
          <w:smallCaps w:val="false"/>
          <w:color w:val="245BA7"/>
          <w:sz w:val="24"/>
        </w:rPr>
      </w:pPr>
      <w:bookmarkStart w:id="53" w:name="new_id-48"/>
      <w:bookmarkEnd w:id="53"/>
      <w:r>
        <w:rPr>
          <w:rFonts w:ascii="Arial" w:hAnsi="Arial"/>
          <w:b/>
          <w:i w:val="false"/>
          <w:caps w:val="false"/>
          <w:smallCaps w:val="false"/>
          <w:color w:val="245BA7"/>
          <w:sz w:val="24"/>
        </w:rPr>
        <w:t xml:space="preserve">Expected Future Board Leadership Structure </w:t>
      </w:r>
    </w:p>
    <w:p>
      <w:pPr>
        <w:pStyle w:val="TextBody"/>
        <w:pBdr/>
        <w:spacing w:before="0" w:after="210"/>
        <w:ind w:left="0" w:right="0" w:hanging="0"/>
        <w:rPr>
          <w:rFonts w:ascii="Arial" w:hAnsi="Arial"/>
          <w:color w:val="000000"/>
          <w:sz w:val="21"/>
        </w:rPr>
      </w:pPr>
      <w:r>
        <w:rPr>
          <w:rFonts w:ascii="Arial" w:hAnsi="Arial"/>
          <w:color w:val="000000"/>
          <w:sz w:val="21"/>
        </w:rPr>
        <w:t>On April 14, 2023, Dr. Vagelos notified the Company of his decision not to stand for re-election at the 2023 Annual Meeting. On the same day, the board of directors adopted a board leadership succession plan, based on which the board plans to elect Drs. Schleifer and Yancopoulos as Co-Chairs of the Board to succeed Dr. Vagelos as Chair and to establish the role of Lead Independent Director (with Ms. Poon expected to be designated by the independent directors as the Lead Independent Director), each effective following the conclusion of the 2023 Annual Meeting. Pursuant to this board leadership succession plan, Drs. Schleifer and Yancopoulos will retain their roles as President and Chief Executive Officer and President and Chief Scientific Officer, respectively. In planning to elect Drs. Schleifer and Yancopoulos as Co-Chairs, the board of directors considered their incomparable knowledge and demonstrated leadership of the Company for over three decades, as well as the fact that Dr. Schleifer previously served as Chair of the Board from 1990 through 1994. The board also believes that their ability to speak as Co-Chairs of the Board as well as Presidents of the Company will provide strong unified leadership for the Company. In the board’s view, electing Drs. Schleifer and Yancopoulos as Co-Chairs, combined with a strong Lead Independent Director appointed by the independent directors, will provide balanced leadership and effective oversight of management and be in the best interest of the Company and its shareholders.</w:t>
      </w:r>
    </w:p>
    <w:p>
      <w:pPr>
        <w:pStyle w:val="TextBody"/>
        <w:pBdr/>
        <w:spacing w:before="0" w:after="210"/>
        <w:ind w:left="0" w:right="0" w:hanging="0"/>
        <w:rPr>
          <w:rFonts w:ascii="Arial" w:hAnsi="Arial"/>
          <w:color w:val="000000"/>
          <w:sz w:val="21"/>
        </w:rPr>
      </w:pPr>
      <w:r>
        <w:rPr>
          <w:rFonts w:ascii="Arial" w:hAnsi="Arial"/>
          <w:color w:val="000000"/>
          <w:sz w:val="21"/>
        </w:rPr>
        <w:t>The board will continue to periodically evaluate and determine, with input from the independent directors, an appropriate leadership structure for the board so as to provide effective oversight of management.</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54" w:name="new_id-49"/>
      <w:bookmarkEnd w:id="54"/>
      <w:r>
        <w:rPr>
          <w:rFonts w:ascii="Arial" w:hAnsi="Arial"/>
          <w:b/>
          <w:i w:val="false"/>
          <w:caps w:val="false"/>
          <w:smallCaps w:val="false"/>
          <w:color w:val="D31B5D"/>
          <w:sz w:val="30"/>
          <w:bdr w:val="single" w:sz="12" w:space="2" w:color="245BA7"/>
        </w:rPr>
        <w:t xml:space="preserve">BOARD OVERSIGHT OF RISK AND KEY PRICING DECISIONS </w:t>
      </w:r>
    </w:p>
    <w:p>
      <w:pPr>
        <w:pStyle w:val="TextBody"/>
        <w:pBdr/>
        <w:spacing w:before="0" w:after="210"/>
        <w:ind w:left="0" w:right="0" w:hanging="0"/>
        <w:rPr>
          <w:rFonts w:ascii="Arial" w:hAnsi="Arial"/>
          <w:color w:val="000000"/>
          <w:sz w:val="21"/>
        </w:rPr>
      </w:pPr>
      <w:r>
        <w:rPr>
          <w:rFonts w:ascii="Arial" w:hAnsi="Arial"/>
          <w:color w:val="000000"/>
          <w:sz w:val="21"/>
        </w:rPr>
        <w:t>The board executes its oversight responsibility for risk management directly and through its committees, as follows:</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The </w:t>
      </w:r>
      <w:r>
        <w:rPr>
          <w:rFonts w:ascii="Arial" w:hAnsi="Arial"/>
          <w:b/>
          <w:color w:val="000000"/>
          <w:sz w:val="21"/>
        </w:rPr>
        <w:t>Audit Committee</w:t>
      </w:r>
      <w:r>
        <w:rPr>
          <w:rFonts w:ascii="Arial" w:hAnsi="Arial"/>
          <w:color w:val="000000"/>
          <w:sz w:val="21"/>
        </w:rPr>
        <w:t>, which includes our Presiding Director as a member, oversees the Company’s risk management program. The risk management program focuses on the most significant risks the Company faces in the short-, intermediate-, and long-term timeframe. The Company’s Chief Audit Executive, who reports independently to the Committee, facilitates the risk management program. Audit Committee meetings include discussions of specific risk areas throughout the year, including, among others, those relating to cybersecurity, and reports from the Chief Audit Executive on the Company’s enterprise risk profile on an annual basis. Recently, the Audit Committee independently engaged a consultant to conduct a cybersecurity assessment and preparedness analysis.</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The </w:t>
      </w:r>
      <w:r>
        <w:rPr>
          <w:rFonts w:ascii="Arial" w:hAnsi="Arial"/>
          <w:b/>
          <w:color w:val="000000"/>
          <w:sz w:val="21"/>
        </w:rPr>
        <w:t>Compensation, Corporate Governance and Compliance, and Technology Committees</w:t>
      </w:r>
      <w:r>
        <w:rPr>
          <w:rFonts w:ascii="Arial" w:hAnsi="Arial"/>
          <w:color w:val="000000"/>
          <w:sz w:val="21"/>
        </w:rPr>
        <w:t xml:space="preserve"> oversee risks associated with their respective areas of responsibility.</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As part of its overall review of the Company’s compensation policies and practices, the Compensation Committee generally considers the risks associated with these policies and practices while designing performance incentives that align executives’ interests with those of long-term shareholders. At least annually the Compensation Committee reviews and considers a compensation program risk assessment performed by its independent compensation consultant.</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2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85" descr=""/>
                          <pic:cNvPicPr>
                            <a:picLocks noChangeAspect="1" noChangeArrowheads="1"/>
                          </pic:cNvPicPr>
                        </pic:nvPicPr>
                        <pic:blipFill>
                          <a:blip r:embed="rId86"/>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26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The Corporate Governance and Compliance Committee oversees all aspects of the Company’s comprehensive compliance program other than financial compliance and considers legal and regulatory compliance risks, including corporate responsibility initiatives that are expected to have a significant impact on the Company’s ability to deliver sustained growth. The Company’s Chief Compliance Officer, who reports to our Executive Vice President, General Counsel and Secretary, provides regular updates directly to the Corporate Governance and Compliance Committee (generally given at every regularly scheduled meeting of the Committee), and relevant information is shared with the full board as part of the Corporate Governance and Compliance Committee’s report to the board.</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The Technology Committee considers risks associated with our research and development programs.</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The </w:t>
      </w:r>
      <w:r>
        <w:rPr>
          <w:rFonts w:ascii="Arial" w:hAnsi="Arial"/>
          <w:b/>
          <w:color w:val="000000"/>
          <w:sz w:val="21"/>
        </w:rPr>
        <w:t>board</w:t>
      </w:r>
      <w:r>
        <w:rPr>
          <w:rFonts w:ascii="Arial" w:hAnsi="Arial"/>
          <w:color w:val="000000"/>
          <w:sz w:val="21"/>
        </w:rPr>
        <w:t xml:space="preserve"> is kept abreast of its committees’ risk oversight and other activities via reports of the committee chairs to the full board at regular board meetings. The board considers specific risk topics, including risks associated with our strategic plan, drug access and pricing (discussed further below), our finances, and our development activities. In addition, 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 Specific risk topics may also be considered at executive sessions of independent directors, which are chaired by our Presiding Director.</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The </w:t>
      </w:r>
      <w:r>
        <w:rPr>
          <w:rFonts w:ascii="Arial" w:hAnsi="Arial"/>
          <w:b/>
          <w:color w:val="000000"/>
          <w:sz w:val="21"/>
        </w:rPr>
        <w:t>board</w:t>
      </w:r>
      <w:r>
        <w:rPr>
          <w:rFonts w:ascii="Arial" w:hAnsi="Arial"/>
          <w:color w:val="000000"/>
          <w:sz w:val="21"/>
        </w:rPr>
        <w:t xml:space="preserve"> is closely involved in and provides oversight of all key pricing determinations for our products, which we endeavor to make in a thoughtful and well-informed manner with fairness and affordability in mind. We believe we have the appropriate governance mechanisms and internal processes in place to ensure that pricing decisions are thoroughly and appropriately vetted prior to implementation and are made in line with our values and commitments. This includes routine presentations to our board of directors on drug pricing strategies, practices, and trends. See “The Company—Corporate Governance—Corporate Responsibility” for more information.</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55" w:name="new_id-50"/>
      <w:bookmarkEnd w:id="55"/>
      <w:r>
        <w:rPr>
          <w:rFonts w:ascii="Arial" w:hAnsi="Arial"/>
          <w:b/>
          <w:i w:val="false"/>
          <w:caps w:val="false"/>
          <w:smallCaps w:val="false"/>
          <w:color w:val="D31B5D"/>
          <w:sz w:val="30"/>
          <w:bdr w:val="single" w:sz="12" w:space="2" w:color="245BA7"/>
        </w:rPr>
        <w:t xml:space="preserve">EXECUTIVE COMPENSATION PROCESSES AND PROCEDURES; ROLE OF COMPENSATION CONSULTANTS </w:t>
      </w:r>
    </w:p>
    <w:p>
      <w:pPr>
        <w:pStyle w:val="TextBody"/>
        <w:pBdr/>
        <w:spacing w:before="0" w:after="210"/>
        <w:ind w:left="0" w:right="0" w:hanging="0"/>
        <w:rPr>
          <w:rFonts w:ascii="Arial" w:hAnsi="Arial"/>
          <w:color w:val="000000"/>
          <w:sz w:val="21"/>
        </w:rPr>
      </w:pPr>
      <w:r>
        <w:rPr>
          <w:rFonts w:ascii="Arial" w:hAnsi="Arial"/>
          <w:color w:val="000000"/>
          <w:sz w:val="21"/>
        </w:rPr>
        <w:t>The Compensation Committee is responsible for overseeing the Company’s general compensation objectives and programs. We describe below under “Compensation-Related Matters—Compensation Discussion and Analysis—Compensation Processes” the role of the Compensation Committee, as well as the role of our executive officers, in decisions regarding executive compensation (particularly with respect to our Named Executive Officers (as defined below under “Compensation-Related Matters—Compensation Discussion and Analysis”)).</w:t>
      </w:r>
    </w:p>
    <w:p>
      <w:pPr>
        <w:pStyle w:val="TextBody"/>
        <w:pBdr/>
        <w:spacing w:before="0" w:after="210"/>
        <w:ind w:left="0" w:right="0" w:hanging="0"/>
        <w:rPr>
          <w:rFonts w:ascii="Arial" w:hAnsi="Arial"/>
          <w:color w:val="000000"/>
          <w:sz w:val="21"/>
        </w:rPr>
      </w:pPr>
      <w:r>
        <w:rPr>
          <w:rFonts w:ascii="Arial" w:hAnsi="Arial"/>
          <w:color w:val="000000"/>
          <w:sz w:val="21"/>
        </w:rPr>
        <w:t>The Compensation Committee has the sole authority to retain its own third-party compensation consultants, and in 2022 utilized the services of Pay Governance LLC, an independent compensation consultant. Advice and recommendations provided by Pay Governance LLC in 2022 related to both executive compensation (discussed in the section “Compensation-Related Matters” below) and director compensation matters (discussed in the subsection “Compensation of Directors” below). As discussed further below, the Corporate Governance and Compliance Committee has adopted a policy requiring the annual review of non-employee director compensation by an independent compensation consultant and separately engaged Pay Governance LLC for that purpose.</w:t>
      </w:r>
    </w:p>
    <w:p>
      <w:pPr>
        <w:pStyle w:val="TextBody"/>
        <w:pBdr/>
        <w:spacing w:before="0" w:after="210"/>
        <w:ind w:left="0" w:right="0" w:hanging="0"/>
        <w:rPr>
          <w:rFonts w:ascii="Arial" w:hAnsi="Arial"/>
          <w:color w:val="000000"/>
          <w:sz w:val="21"/>
        </w:rPr>
      </w:pPr>
      <w:r>
        <w:rPr>
          <w:rFonts w:ascii="Arial" w:hAnsi="Arial"/>
          <w:color w:val="000000"/>
          <w:sz w:val="21"/>
        </w:rPr>
        <w:t>Management also retains another compensation consultant for its own use. In 2022, management used the services of Radford (part of Aon Hewitt, a business unit of Aon plc), a compensation consultant focused on the technology and life sciences sectors. Radford provided various consulting services to us, including analyzing the competitiveness of specific compensation programs; preparing surveys of competitive pay practices; and assisting management in the development and analysis of executive compensation recommendations. Reports prepared by Radford that relate to executive compensation may also be shared with the Compensation Committee, the full board, or another committee of the board.</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56" w:name="new_id-51"/>
      <w:bookmarkEnd w:id="56"/>
      <w:r>
        <w:rPr>
          <w:rFonts w:ascii="Arial" w:hAnsi="Arial"/>
          <w:b/>
          <w:i w:val="false"/>
          <w:caps w:val="false"/>
          <w:smallCaps w:val="false"/>
          <w:color w:val="D31B5D"/>
          <w:sz w:val="30"/>
          <w:bdr w:val="single" w:sz="12" w:space="2" w:color="245BA7"/>
        </w:rPr>
        <w:t xml:space="preserve">SHAREHOLDER ENGAGEMENT PHILOSOPHY AND BOARD RESPONSIVENESS </w:t>
      </w:r>
    </w:p>
    <w:p>
      <w:pPr>
        <w:pStyle w:val="TextBody"/>
        <w:pBdr/>
        <w:spacing w:before="0" w:after="210"/>
        <w:ind w:left="0" w:right="0" w:hanging="0"/>
        <w:rPr>
          <w:rFonts w:ascii="Arial" w:hAnsi="Arial"/>
          <w:color w:val="000000"/>
          <w:sz w:val="21"/>
        </w:rPr>
      </w:pPr>
      <w:r>
        <w:rPr>
          <w:rFonts w:ascii="Arial" w:hAnsi="Arial"/>
          <w:color w:val="000000"/>
          <w:sz w:val="21"/>
        </w:rPr>
        <w:t xml:space="preserve">Our board of directors has always viewed shareholder feedback as critical for its decision-making and has taken several actions after careful consideration of the feedback received. In the past several years, the board and management have conducted regular and extensive outreach. Annually, we seek to engage in direct one-on-one discussions with shareholders collectively representing in excess of 50% of the shares of common stock outstanding (excluding shares held by our directors and executive officers), which we refer to as “public shares.” We encourage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2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6" descr=""/>
                          <pic:cNvPicPr>
                            <a:picLocks noChangeAspect="1" noChangeArrowheads="1"/>
                          </pic:cNvPicPr>
                        </pic:nvPicPr>
                        <pic:blipFill>
                          <a:blip r:embed="rId87"/>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27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director participation in our outreach, and our Presiding Director (who is also the Chair of our Corporate Governance and Compliance Committee) and the Chair of our Compensation Committee led many of these discussions as representatives of the board in recent years. We also routinely engage with our shareholders through regular investor-relations channels, industry and corporate governance conferences, and informal exchanges in other settings.</w:t>
      </w:r>
    </w:p>
    <w:p>
      <w:pPr>
        <w:pStyle w:val="Heading4"/>
        <w:pBdr/>
        <w:spacing w:before="0" w:after="150"/>
        <w:ind w:left="0" w:right="0" w:hanging="0"/>
        <w:rPr>
          <w:rFonts w:ascii="Arial" w:hAnsi="Arial"/>
          <w:b/>
          <w:i w:val="false"/>
          <w:caps w:val="false"/>
          <w:smallCaps w:val="false"/>
          <w:color w:val="D31B5D"/>
          <w:sz w:val="24"/>
        </w:rPr>
      </w:pPr>
      <w:bookmarkStart w:id="57" w:name="new_id-52"/>
      <w:bookmarkEnd w:id="57"/>
      <w:r>
        <w:rPr>
          <w:rFonts w:ascii="Arial" w:hAnsi="Arial"/>
          <w:b/>
          <w:i w:val="false"/>
          <w:caps w:val="false"/>
          <w:smallCaps w:val="false"/>
          <w:color w:val="D31B5D"/>
          <w:sz w:val="24"/>
        </w:rPr>
        <w:t>Regeneron’s Longstanding Commitment to Shareholder Engagement</w:t>
      </w:r>
    </w:p>
    <w:p>
      <w:pPr>
        <w:pStyle w:val="TextBody"/>
        <w:pBdr/>
        <w:spacing w:before="0" w:after="150"/>
        <w:jc w:val="center"/>
        <w:rPr>
          <w:caps w:val="false"/>
          <w:smallCaps w:val="false"/>
          <w:color w:val="D31B5D"/>
        </w:rPr>
      </w:pPr>
      <w:r>
        <w:rPr>
          <w:caps w:val="false"/>
          <w:smallCaps w:val="false"/>
          <w:color w:val="D31B5D"/>
        </w:rPr>
        <w:drawing>
          <wp:inline distT="0" distB="0" distL="0" distR="0">
            <wp:extent cx="6600825" cy="3171825"/>
            <wp:effectExtent l="0" t="0" r="0" b="0"/>
            <wp:docPr id="12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7" descr=""/>
                    <pic:cNvPicPr>
                      <a:picLocks noChangeAspect="1" noChangeArrowheads="1"/>
                    </pic:cNvPicPr>
                  </pic:nvPicPr>
                  <pic:blipFill>
                    <a:blip r:embed="rId88"/>
                    <a:stretch>
                      <a:fillRect/>
                    </a:stretch>
                  </pic:blipFill>
                  <pic:spPr bwMode="auto">
                    <a:xfrm>
                      <a:off x="0" y="0"/>
                      <a:ext cx="6600825" cy="3171825"/>
                    </a:xfrm>
                    <a:prstGeom prst="rect">
                      <a:avLst/>
                    </a:prstGeom>
                  </pic:spPr>
                </pic:pic>
              </a:graphicData>
            </a:graphic>
          </wp:inline>
        </w:drawing>
      </w:r>
    </w:p>
    <w:p>
      <w:pPr>
        <w:pStyle w:val="TextBody"/>
        <w:pBdr/>
        <w:spacing w:before="0" w:after="0"/>
        <w:ind w:left="0" w:right="0" w:hanging="0"/>
        <w:rPr>
          <w:color w:val="000000"/>
        </w:rPr>
      </w:pPr>
      <w:r>
        <w:rPr>
          <w:color w:val="000000"/>
        </w:rPr>
        <w:t> </w:t>
      </w:r>
    </w:p>
    <w:p>
      <w:pPr>
        <w:pStyle w:val="TextBody"/>
        <w:pBdr/>
        <w:spacing w:before="0" w:after="210"/>
        <w:ind w:left="0" w:right="0" w:hanging="0"/>
        <w:rPr>
          <w:rFonts w:ascii="Arial" w:hAnsi="Arial"/>
          <w:color w:val="000000"/>
          <w:sz w:val="21"/>
        </w:rPr>
      </w:pPr>
      <w:r>
        <w:rPr>
          <w:rFonts w:ascii="Arial" w:hAnsi="Arial"/>
          <w:color w:val="000000"/>
          <w:sz w:val="21"/>
        </w:rPr>
        <w:t>Our active outreach program solicits and gathers feedback on a broad range of matters, including board structure and composition, executive compensation, shareholder rights, and corporate responsibility and other ESG topics. The feedback received is a key input in board and relevant committee discussions, and has consistently been a significant driver of actions taken over the last several years. We have a track record of taking actions in response to shareholder input, as described in the section “Compensation Related Matters—Compensation Discussion and Analysis—Compensation Processes—Shareholder Input and Outreach and the 2022 Say-on-Pay Vote Result.”</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2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8" descr=""/>
                          <pic:cNvPicPr>
                            <a:picLocks noChangeAspect="1" noChangeArrowheads="1"/>
                          </pic:cNvPicPr>
                        </pic:nvPicPr>
                        <pic:blipFill>
                          <a:blip r:embed="rId89"/>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28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jc w:val="center"/>
        <w:rPr/>
      </w:pPr>
      <w:r>
        <w:rPr/>
        <w:drawing>
          <wp:inline distT="0" distB="0" distL="0" distR="0">
            <wp:extent cx="7620000" cy="1552575"/>
            <wp:effectExtent l="0" t="0" r="0" b="0"/>
            <wp:docPr id="12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9" descr=""/>
                    <pic:cNvPicPr>
                      <a:picLocks noChangeAspect="1" noChangeArrowheads="1"/>
                    </pic:cNvPicPr>
                  </pic:nvPicPr>
                  <pic:blipFill>
                    <a:blip r:embed="rId90"/>
                    <a:stretch>
                      <a:fillRect/>
                    </a:stretch>
                  </pic:blipFill>
                  <pic:spPr bwMode="auto">
                    <a:xfrm>
                      <a:off x="0" y="0"/>
                      <a:ext cx="7620000" cy="1552575"/>
                    </a:xfrm>
                    <a:prstGeom prst="rect">
                      <a:avLst/>
                    </a:prstGeom>
                  </pic:spPr>
                </pic:pic>
              </a:graphicData>
            </a:graphic>
          </wp:inline>
        </w:drawing>
      </w:r>
    </w:p>
    <w:p>
      <w:pPr>
        <w:pStyle w:val="Heading1"/>
        <w:pBdr/>
        <w:spacing w:before="0" w:after="0"/>
        <w:ind w:left="720" w:right="0" w:hanging="0"/>
        <w:jc w:val="left"/>
        <w:rPr>
          <w:rFonts w:ascii="Arial" w:hAnsi="Arial"/>
          <w:b/>
          <w:i w:val="false"/>
          <w:caps w:val="false"/>
          <w:smallCaps w:val="false"/>
          <w:color w:val="245BA7"/>
          <w:sz w:val="54"/>
        </w:rPr>
      </w:pPr>
      <w:bookmarkStart w:id="58" w:name="new_id-53"/>
      <w:bookmarkEnd w:id="58"/>
      <w:r>
        <w:rPr>
          <w:rFonts w:ascii="Arial" w:hAnsi="Arial"/>
          <w:b/>
          <w:i w:val="false"/>
          <w:caps w:val="false"/>
          <w:smallCaps w:val="false"/>
          <w:color w:val="245BA7"/>
          <w:sz w:val="54"/>
        </w:rPr>
        <w:t>COMPENSATION OF DIRECTORS</w:t>
      </w:r>
    </w:p>
    <w:p>
      <w:pPr>
        <w:pStyle w:val="TextBody"/>
        <w:pBdr/>
        <w:spacing w:before="0" w:after="0"/>
        <w:ind w:left="0" w:right="0" w:hanging="0"/>
        <w:rPr>
          <w:caps w:val="false"/>
          <w:smallCaps w:val="false"/>
          <w:color w:val="245BA7"/>
        </w:rPr>
      </w:pPr>
      <w:r>
        <w:rPr>
          <w:caps w:val="false"/>
          <w:smallCaps w:val="false"/>
          <w:color w:val="245BA7"/>
        </w:rPr>
        <w:t> </w:t>
      </w:r>
    </w:p>
    <w:p>
      <w:pPr>
        <w:pStyle w:val="Heading3"/>
        <w:pBdr/>
        <w:spacing w:before="0" w:after="0"/>
        <w:ind w:left="0" w:right="0" w:hanging="0"/>
        <w:jc w:val="left"/>
        <w:rPr>
          <w:rFonts w:ascii="Arial" w:hAnsi="Arial"/>
          <w:b/>
          <w:i w:val="false"/>
          <w:caps w:val="false"/>
          <w:smallCaps w:val="false"/>
          <w:color w:val="D31B5D"/>
          <w:sz w:val="30"/>
          <w:bdr w:val="single" w:sz="12" w:space="2" w:color="245BA7"/>
        </w:rPr>
      </w:pPr>
      <w:bookmarkStart w:id="59" w:name="new_id-54"/>
      <w:bookmarkEnd w:id="59"/>
      <w:r>
        <w:rPr>
          <w:rFonts w:ascii="Arial" w:hAnsi="Arial"/>
          <w:b/>
          <w:i w:val="false"/>
          <w:caps w:val="false"/>
          <w:smallCaps w:val="false"/>
          <w:color w:val="D31B5D"/>
          <w:sz w:val="30"/>
          <w:bdr w:val="single" w:sz="12" w:space="2" w:color="245BA7"/>
        </w:rPr>
        <w:t xml:space="preserve">OVERVIEW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general philosophy we have applied to compensation of our non-employee directors and the current Chair of the Board is similar to the executive compensation philosophy outlined in the “Compensation-Related Matters” section of this proxy statement. This philosophy, including its emphasis on equity compensation, is consistent with the Company’s long-term business orientation and has helped ensure alignment of directors’ interests with those of Regeneron shareholders.</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Non-employee director compensation matters are subject to annual review. The Corporate Governance and Compliance Committee makes recommendations to the board of directors regarding, and the board of directors determines, the compensation of non-employee directors. The Corporate Governance and Compliance Committee evaluates the appropriate level and form of compensation for non-employee directors and recommends changes to such compensation to the board of directors when appropriate. Directors who are Company employees receive no additional compensation for serving on our board of directors or its committees. In determining compensation recommendations for the non-employee directors, the Corporate Governance and Compliance Committee considers, among other things, the qualifications, expertise, and demands on our directors, practices of similar companies in the biotechnology industry (including the Peer Group2), and any comparative information provided by independent compensation consultants. In addition, since November 2018, the Corporate Governance and Compliance Committee has required the annual review of non-employee director compensation by an independent compensation consultant, and has engaged Pay Governance LLC for this purpose since 2021.</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process governing the compensation arrangements of the current Chair of the Board is described under “Compensation Arrangements of the Chair of the Board of Directors” below.</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current compensation program for our non-employee directors and the current Chair of the Board (which has been effective for our non-employee directors and the Chair of the Board since January 2019 and December 2018, respectively, and is further described below) is referred to in this section as the “Current Compensation Program.”3</w:t>
      </w:r>
    </w:p>
    <w:p>
      <w:pPr>
        <w:pStyle w:val="Heading3"/>
        <w:pBdr/>
        <w:spacing w:before="0" w:after="0"/>
        <w:ind w:left="0" w:right="0" w:hanging="0"/>
        <w:jc w:val="left"/>
        <w:rPr>
          <w:rFonts w:ascii="Arial" w:hAnsi="Arial"/>
          <w:b/>
          <w:i w:val="false"/>
          <w:caps w:val="false"/>
          <w:smallCaps w:val="false"/>
          <w:color w:val="D31B5D"/>
          <w:sz w:val="30"/>
          <w:bdr w:val="single" w:sz="12" w:space="2" w:color="245BA7"/>
        </w:rPr>
      </w:pPr>
      <w:bookmarkStart w:id="60" w:name="new_id-55"/>
      <w:bookmarkEnd w:id="60"/>
      <w:r>
        <w:rPr>
          <w:rFonts w:ascii="Arial" w:hAnsi="Arial"/>
          <w:b/>
          <w:i w:val="false"/>
          <w:caps w:val="false"/>
          <w:smallCaps w:val="false"/>
          <w:color w:val="D31B5D"/>
          <w:sz w:val="30"/>
          <w:bdr w:val="single" w:sz="12" w:space="2" w:color="245BA7"/>
        </w:rPr>
        <w:t xml:space="preserve">NON-EMPLOYEE DIRECTOR COMPENSATION PHILOSOPHY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Our philosophy for non-employee director compensation is simple: to attract the most highly qualified directors with a diverse skillset who will serve as stewards of the Company’s long-term prospects and scientific focus. There is significant competition within our industry for highly qualified directors, particularly those with distinguished scientific credentials (such as members of the National Academy of Sciences) and the caliber of science-based backgrounds that we seek in our board members from the industry. With this in mind, our non-employee director compensation program emphasizes equity compensation primarily in the form of stock options, which reward increases in stock price, over cash fees. The board of directors believes that this emphasis is consistent with the Company’s long-term business orientation and has helped ensure alignment of directors’ interests with those of Regeneron shareholders. Under the Current Compensation Program, we have utilized value-denominated equity compensation awards (granted in the form of stock options and a relatively small percentage of RSUs) for our non-employee directors. This feature of the Current Compensation Program is meant to, among other things, ensure greater stability in reported non-employee director compensation on a year-over-year basis. The board of directors believes that the Current Compensation Program is consistent with Regeneron’s philosophy for non-employee director compensation.</w:t>
      </w:r>
    </w:p>
    <w:p>
      <w:pPr>
        <w:pStyle w:val="TextBody"/>
        <w:rPr/>
      </w:pPr>
      <w:r>
        <w:rPr/>
      </w:r>
    </w:p>
    <w:tbl>
      <w:tblPr>
        <w:tblW w:w="10205" w:type="dxa"/>
        <w:jc w:val="left"/>
        <w:tblInd w:w="0" w:type="dxa"/>
        <w:tblCellMar>
          <w:top w:w="45" w:type="dxa"/>
          <w:left w:w="0" w:type="dxa"/>
          <w:bottom w:w="0" w:type="dxa"/>
          <w:right w:w="0" w:type="dxa"/>
        </w:tblCellMar>
      </w:tblPr>
      <w:tblGrid>
        <w:gridCol w:w="226"/>
        <w:gridCol w:w="9979"/>
      </w:tblGrid>
      <w:tr>
        <w:trPr/>
        <w:tc>
          <w:tcPr>
            <w:tcW w:w="226" w:type="dxa"/>
            <w:tcBorders>
              <w:top w:val="single" w:sz="2" w:space="0" w:color="000000"/>
            </w:tcBorders>
            <w:shd w:fill="auto" w:val="clear"/>
            <w:vAlign w:val="center"/>
          </w:tcPr>
          <w:p>
            <w:pPr>
              <w:pStyle w:val="TableContents"/>
              <w:pBdr/>
              <w:spacing w:before="60" w:after="0"/>
              <w:ind w:left="0" w:right="0" w:hanging="0"/>
              <w:rPr>
                <w:rFonts w:ascii="Arial" w:hAnsi="Arial"/>
                <w:color w:val="245BA7"/>
                <w:sz w:val="20"/>
              </w:rPr>
            </w:pPr>
            <w:r>
              <w:rPr>
                <w:rFonts w:ascii="Arial" w:hAnsi="Arial"/>
                <w:color w:val="245BA7"/>
                <w:sz w:val="20"/>
              </w:rPr>
              <w:t>2</w:t>
            </w:r>
          </w:p>
        </w:tc>
        <w:tc>
          <w:tcPr>
            <w:tcW w:w="9979" w:type="dxa"/>
            <w:tcBorders>
              <w:top w:val="single" w:sz="2" w:space="0" w:color="000000"/>
            </w:tcBorders>
            <w:shd w:fill="auto" w:val="clear"/>
            <w:vAlign w:val="center"/>
          </w:tcPr>
          <w:p>
            <w:pPr>
              <w:pStyle w:val="TableContents"/>
              <w:pBdr/>
              <w:spacing w:before="60" w:after="0"/>
              <w:ind w:left="0" w:right="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See “Compensation-Related Matters— Compensation Discussion and Analysis—Compensation Processes—Peer Data” below for a list of the companies included in our Peer Group.</w:t>
            </w:r>
          </w:p>
        </w:tc>
      </w:tr>
    </w:tbl>
    <w:tbl>
      <w:tblPr>
        <w:tblW w:w="10205" w:type="dxa"/>
        <w:jc w:val="left"/>
        <w:tblInd w:w="0" w:type="dxa"/>
        <w:tblCellMar>
          <w:top w:w="28" w:type="dxa"/>
          <w:left w:w="28" w:type="dxa"/>
          <w:bottom w:w="28" w:type="dxa"/>
          <w:right w:w="28" w:type="dxa"/>
        </w:tblCellMar>
      </w:tblPr>
      <w:tblGrid>
        <w:gridCol w:w="226"/>
        <w:gridCol w:w="9979"/>
      </w:tblGrid>
      <w:tr>
        <w:trPr/>
        <w:tc>
          <w:tcPr>
            <w:tcW w:w="226" w:type="dxa"/>
            <w:tcBorders/>
            <w:shd w:fill="auto" w:val="clear"/>
            <w:vAlign w:val="center"/>
          </w:tcPr>
          <w:p>
            <w:pPr>
              <w:pStyle w:val="TableContents"/>
              <w:pBdr/>
              <w:spacing w:before="60" w:after="0"/>
              <w:ind w:left="0" w:right="0" w:hanging="0"/>
              <w:rPr>
                <w:rFonts w:ascii="Arial" w:hAnsi="Arial"/>
                <w:color w:val="245BA7"/>
                <w:sz w:val="20"/>
              </w:rPr>
            </w:pPr>
            <w:r>
              <w:rPr>
                <w:rFonts w:ascii="Arial" w:hAnsi="Arial"/>
                <w:color w:val="245BA7"/>
                <w:sz w:val="20"/>
              </w:rPr>
              <w:t>3</w:t>
            </w:r>
          </w:p>
        </w:tc>
        <w:tc>
          <w:tcPr>
            <w:tcW w:w="9979" w:type="dxa"/>
            <w:tcBorders/>
            <w:shd w:fill="auto" w:val="clear"/>
            <w:vAlign w:val="center"/>
          </w:tcPr>
          <w:p>
            <w:pPr>
              <w:pStyle w:val="TableContents"/>
              <w:pBdr/>
              <w:spacing w:before="60" w:after="0"/>
              <w:ind w:left="0" w:right="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Current Compensation Program was implemented following the previously disclosed settlement of two shareholder derivative actions (the “Settlement”) and complies with the terms of the Settlement.</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3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0" descr=""/>
                          <pic:cNvPicPr>
                            <a:picLocks noChangeAspect="1" noChangeArrowheads="1"/>
                          </pic:cNvPicPr>
                        </pic:nvPicPr>
                        <pic:blipFill>
                          <a:blip r:embed="rId91"/>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29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61" w:name="new_id-56"/>
      <w:bookmarkEnd w:id="61"/>
      <w:r>
        <w:rPr>
          <w:rFonts w:ascii="Arial" w:hAnsi="Arial"/>
          <w:b/>
          <w:i w:val="false"/>
          <w:caps w:val="false"/>
          <w:smallCaps w:val="false"/>
          <w:color w:val="D31B5D"/>
          <w:sz w:val="30"/>
          <w:bdr w:val="single" w:sz="12" w:space="2" w:color="245BA7"/>
        </w:rPr>
        <w:t xml:space="preserve">CASH FEES, EXPENSES, AND MATCHING GIFT PROGRAM </w:t>
      </w:r>
    </w:p>
    <w:p>
      <w:pPr>
        <w:pStyle w:val="TextBody"/>
        <w:pBdr/>
        <w:spacing w:before="0" w:after="210"/>
        <w:ind w:left="0" w:right="0" w:hanging="0"/>
        <w:rPr>
          <w:rFonts w:ascii="Arial" w:hAnsi="Arial"/>
          <w:color w:val="000000"/>
          <w:sz w:val="21"/>
        </w:rPr>
      </w:pPr>
      <w:r>
        <w:rPr>
          <w:rFonts w:ascii="Arial" w:hAnsi="Arial"/>
          <w:color w:val="000000"/>
          <w:sz w:val="21"/>
        </w:rPr>
        <w:t>In 2022, each non-employee director received an annual retainer of $90,000 and an annual committee retainer of $10,000 for each standing committee of the Company’s board of directors on which the director served. In addition, each chair of each standing committee received an additional annual retainer of $10,000. Compared to cash compensation of non-employee directors in our Peer Group, the 2022 annual retainer for board service was below the median and the additional retainers provided to our committee chairs were at or below the median.</w:t>
      </w:r>
      <w:r>
        <w:rPr>
          <w:rFonts w:ascii="Arial" w:hAnsi="Arial"/>
          <w:color w:val="000000"/>
          <w:sz w:val="12"/>
        </w:rPr>
        <w:t>4</w:t>
      </w:r>
    </w:p>
    <w:p>
      <w:pPr>
        <w:pStyle w:val="TextBody"/>
        <w:pBdr/>
        <w:spacing w:before="0" w:after="210"/>
        <w:ind w:left="0" w:right="0" w:hanging="0"/>
        <w:rPr>
          <w:rFonts w:ascii="Arial" w:hAnsi="Arial"/>
          <w:color w:val="000000"/>
          <w:sz w:val="21"/>
        </w:rPr>
      </w:pPr>
      <w:r>
        <w:rPr>
          <w:rFonts w:ascii="Arial" w:hAnsi="Arial"/>
          <w:color w:val="000000"/>
          <w:sz w:val="21"/>
        </w:rPr>
        <w:t>Non-employee directors are reimbursed for their actual expenses incurred in connection with their activities as directors, which include travel, hotel, and food and entertainment expenses (as applicable). In addition, directors are eligible to participate in the Regeneron Matching Gift Program, which is also available to eligible employees. Under this program, the Company matches contributions made by directors and employees to eligible tax-exempt organizations up to an annual maximum amount of $5,000 per director or employee.</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62" w:name="new_id-57"/>
      <w:bookmarkEnd w:id="62"/>
      <w:r>
        <w:rPr>
          <w:rFonts w:ascii="Arial" w:hAnsi="Arial"/>
          <w:b/>
          <w:i w:val="false"/>
          <w:caps w:val="false"/>
          <w:smallCaps w:val="false"/>
          <w:color w:val="D31B5D"/>
          <w:sz w:val="30"/>
          <w:bdr w:val="single" w:sz="12" w:space="2" w:color="245BA7"/>
        </w:rPr>
        <w:t xml:space="preserve">ANNUAL EQUITY AWARDS </w:t>
      </w:r>
    </w:p>
    <w:p>
      <w:pPr>
        <w:pStyle w:val="Heading4"/>
        <w:pBdr/>
        <w:spacing w:before="0" w:after="150"/>
        <w:ind w:left="0" w:right="0" w:hanging="0"/>
        <w:rPr>
          <w:rFonts w:ascii="Arial" w:hAnsi="Arial"/>
          <w:b/>
          <w:i w:val="false"/>
          <w:caps w:val="false"/>
          <w:smallCaps w:val="false"/>
          <w:color w:val="245BA7"/>
          <w:sz w:val="24"/>
        </w:rPr>
      </w:pPr>
      <w:bookmarkStart w:id="63" w:name="new_id-58"/>
      <w:bookmarkEnd w:id="63"/>
      <w:r>
        <w:rPr>
          <w:rFonts w:ascii="Arial" w:hAnsi="Arial"/>
          <w:b/>
          <w:i w:val="false"/>
          <w:caps w:val="false"/>
          <w:smallCaps w:val="false"/>
          <w:color w:val="245BA7"/>
          <w:sz w:val="24"/>
        </w:rPr>
        <w:t xml:space="preserve">2022 and 2023 Equity Awards </w:t>
      </w:r>
    </w:p>
    <w:p>
      <w:pPr>
        <w:pStyle w:val="TextBody"/>
        <w:pBdr/>
        <w:spacing w:before="0" w:after="210"/>
        <w:ind w:left="0" w:right="0" w:hanging="0"/>
        <w:rPr>
          <w:rFonts w:ascii="Arial" w:hAnsi="Arial"/>
          <w:color w:val="000000"/>
          <w:sz w:val="21"/>
        </w:rPr>
      </w:pPr>
      <w:r>
        <w:rPr>
          <w:rFonts w:ascii="Arial" w:hAnsi="Arial"/>
          <w:color w:val="000000"/>
          <w:sz w:val="21"/>
        </w:rPr>
        <w:t>The January 2022 and January 2023 annual equity awards to our non-employee directors were made in accordance with the Current Compensation Program and complied with the respective limits imposed by the Second Amended and Restated Regeneron Pharmaceuticals, Inc. 2014 Long-Term Incentive Plan and the Settlement.</w:t>
      </w:r>
    </w:p>
    <w:p>
      <w:pPr>
        <w:pStyle w:val="TextBody"/>
        <w:pBdr/>
        <w:spacing w:before="0" w:after="210"/>
        <w:ind w:left="0" w:right="0" w:hanging="0"/>
        <w:rPr>
          <w:rFonts w:ascii="Arial" w:hAnsi="Arial"/>
          <w:color w:val="000000"/>
          <w:sz w:val="21"/>
        </w:rPr>
      </w:pPr>
      <w:r>
        <w:rPr>
          <w:rFonts w:ascii="Arial" w:hAnsi="Arial"/>
          <w:color w:val="000000"/>
          <w:sz w:val="21"/>
        </w:rPr>
        <w:t>With respect to each of the January 2022 and January 2023 annual equity awards, the board of directors (upon the recommendation of the Corporate Governance and Compliance Committee) determined that the targeted aggregate grant date fair value of such equity awards would be set at $600,000 per non-employee director and consist of stock options with a grant date fair value of $480,000 (or 80% thereof) and RSUs with a grant date fair value of $120,000 (or 20% thereof). The January 2022 annual equity awards to our non-employee directors are shown in the table below. On January 3, 2023, each of the then-serving non-employee directors (other than Dr. Thompson) received an annual equity award comprised of stock options representing 1,929 shares of common stock (with a grant date fair value of $480,215) and 165 RSUs (with a grant date fair value of $119,772). The aggregate grant date fair value of the January 2023 equity awards to these directors was $599,987 per non-employee director. As a non-employee director newly elected effective October 3, 2022, Dr. Thompson received a prorated annual equity award on January 3, 2023 consisting of 477 options (with a grant date fair value of $118,750) and 40 RSUs (with a grant date fair value of $29,036). See “Equity Awards to New Directors” below for more information.</w:t>
      </w:r>
    </w:p>
    <w:p>
      <w:pPr>
        <w:pStyle w:val="TextBody"/>
        <w:pBdr/>
        <w:spacing w:before="0" w:after="210"/>
        <w:ind w:left="0" w:right="0" w:hanging="0"/>
        <w:rPr>
          <w:rFonts w:ascii="Arial" w:hAnsi="Arial"/>
          <w:color w:val="000000"/>
          <w:sz w:val="21"/>
        </w:rPr>
      </w:pPr>
      <w:r>
        <w:rPr>
          <w:rFonts w:ascii="Arial" w:hAnsi="Arial"/>
          <w:color w:val="000000"/>
          <w:sz w:val="21"/>
        </w:rPr>
        <w:t>Similar to the process undertaken in respect of the January 2022 annual equity awards, the Corporate Governance and Compliance Committee recommended the approval of, and the board of directors approved, the terms of the January 2023 annual equity awards after consideration of the review, analysis, and recommendations of the Corporate Governance and Compliance Committee’s independent compensation consultant. Such analysis focused on, among other matters, the market practices of companies in our Peer Group, other relevant industry and market data points, Regeneron’s non-employee director compensation philosophy (including its emphasis on long-term incentives), and the terms of the Settlement.</w:t>
      </w:r>
    </w:p>
    <w:p>
      <w:pPr>
        <w:pStyle w:val="Heading4"/>
        <w:pBdr/>
        <w:spacing w:before="0" w:after="150"/>
        <w:ind w:left="0" w:right="0" w:hanging="0"/>
        <w:rPr>
          <w:rFonts w:ascii="Arial" w:hAnsi="Arial"/>
          <w:b/>
          <w:i w:val="false"/>
          <w:caps w:val="false"/>
          <w:smallCaps w:val="false"/>
          <w:color w:val="245BA7"/>
          <w:sz w:val="24"/>
        </w:rPr>
      </w:pPr>
      <w:bookmarkStart w:id="64" w:name="new_id-59"/>
      <w:bookmarkEnd w:id="64"/>
      <w:r>
        <w:rPr>
          <w:rFonts w:ascii="Arial" w:hAnsi="Arial"/>
          <w:b/>
          <w:i w:val="false"/>
          <w:caps w:val="false"/>
          <w:smallCaps w:val="false"/>
          <w:color w:val="245BA7"/>
          <w:sz w:val="24"/>
        </w:rPr>
        <w:t xml:space="preserve">Terms of Equity Awards </w:t>
      </w:r>
    </w:p>
    <w:p>
      <w:pPr>
        <w:pStyle w:val="TextBody"/>
        <w:pBdr/>
        <w:spacing w:before="0" w:after="210"/>
        <w:ind w:left="0" w:right="0" w:hanging="0"/>
        <w:rPr>
          <w:rFonts w:ascii="Arial" w:hAnsi="Arial"/>
          <w:color w:val="000000"/>
          <w:sz w:val="21"/>
        </w:rPr>
      </w:pPr>
      <w:r>
        <w:rPr>
          <w:rFonts w:ascii="Arial" w:hAnsi="Arial"/>
          <w:color w:val="000000"/>
          <w:sz w:val="21"/>
        </w:rPr>
        <w:t>The exercise price of a non-employee director stock option is equal to the fair market value of a share of the Company’s common stock on the date of grant (determined as the average of the high and low sales price per share of the Company’s common stock on the Nasdaq Global Select Market on the date of grant or, if such date is not a trading day, on the last preceding date on which there was a sale of the Company’s common stock on the Nasdaq Global Select Market).</w:t>
      </w:r>
    </w:p>
    <w:p>
      <w:pPr>
        <w:pStyle w:val="TextBody"/>
        <w:pBdr/>
        <w:spacing w:before="0" w:after="210"/>
        <w:ind w:left="0" w:right="0" w:hanging="0"/>
        <w:rPr>
          <w:color w:val="000000"/>
        </w:rPr>
      </w:pPr>
      <w:r>
        <w:rPr>
          <w:color w:val="000000"/>
        </w:rPr>
        <w:t> </w:t>
      </w:r>
    </w:p>
    <w:p>
      <w:pPr>
        <w:pStyle w:val="TextBody"/>
        <w:pBdr/>
        <w:spacing w:before="0" w:after="210"/>
        <w:ind w:left="0" w:right="0" w:hanging="0"/>
        <w:rPr>
          <w:color w:val="000000"/>
        </w:rPr>
      </w:pPr>
      <w:r>
        <w:rPr>
          <w:color w:val="000000"/>
        </w:rPr>
        <w:t> </w:t>
      </w:r>
    </w:p>
    <w:tbl>
      <w:tblPr>
        <w:tblW w:w="6211" w:type="dxa"/>
        <w:jc w:val="left"/>
        <w:tblInd w:w="0" w:type="dxa"/>
        <w:tblCellMar>
          <w:top w:w="28" w:type="dxa"/>
          <w:left w:w="28" w:type="dxa"/>
          <w:bottom w:w="28" w:type="dxa"/>
          <w:right w:w="28" w:type="dxa"/>
        </w:tblCellMar>
      </w:tblPr>
      <w:tblGrid>
        <w:gridCol w:w="6211"/>
      </w:tblGrid>
      <w:tr>
        <w:trPr/>
        <w:tc>
          <w:tcPr>
            <w:tcW w:w="6211" w:type="dxa"/>
            <w:tcBorders/>
            <w:shd w:fill="auto" w:val="clear"/>
            <w:vAlign w:val="center"/>
          </w:tcPr>
          <w:p>
            <w:pPr>
              <w:pStyle w:val="TableContents"/>
              <w:spacing w:before="0" w:after="0"/>
              <w:ind w:left="0" w:right="3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4</w:t>
            </w:r>
          </w:p>
          <w:p>
            <w:pPr>
              <w:pStyle w:val="TableContents"/>
              <w:pBdr/>
              <w:spacing w:before="0" w:after="0"/>
              <w:ind w:left="0" w:right="3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Based on information reported by our Peer Group companies in 2022.</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3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1" descr=""/>
                          <pic:cNvPicPr>
                            <a:picLocks noChangeAspect="1" noChangeArrowheads="1"/>
                          </pic:cNvPicPr>
                        </pic:nvPicPr>
                        <pic:blipFill>
                          <a:blip r:embed="rId92"/>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30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Under the Current Compensation Program, a pro-rata portion of each equity award (i.e., each stock option and RSU award) equal to the portion of one year that has passed from its date of grant vests on the date of the Company’s first annual shareholder meeting following the date of grant, and the remaining portion vests on the first anniversary of the date of grant. The RSU awards contain mandatory deferral provisions, according to which the shares underlying the RSUs will generally not be delivered to the non-employee director until the earliest of (i) the termination of the non-employee director’s service as a member of the board, (ii) the seventh anniversary of the RSU grant date, and (iii) the date of a change in control (as defined in the Second Amended and Restated Regeneron Pharmaceuticals, Inc. 2014 Long-Term Incentive Plan (or its predecessor)). A non-employee director may, subject to compliance with applicable tax rules, elect in writing a maximum deferral period longer than the seventh anniversary of the grant date. Other than as discussed below, the vesting of equity awards is generally subject to continued service on the board, and stock option awards generally expire ten years following the date of grant.</w:t>
      </w:r>
    </w:p>
    <w:p>
      <w:pPr>
        <w:pStyle w:val="TextBody"/>
        <w:pBdr/>
        <w:spacing w:before="0" w:after="210"/>
        <w:ind w:left="0" w:right="0" w:hanging="0"/>
        <w:rPr>
          <w:rFonts w:ascii="Arial" w:hAnsi="Arial"/>
          <w:color w:val="000000"/>
          <w:sz w:val="21"/>
        </w:rPr>
      </w:pPr>
      <w:r>
        <w:rPr>
          <w:rFonts w:ascii="Arial" w:hAnsi="Arial"/>
          <w:color w:val="000000"/>
          <w:sz w:val="21"/>
        </w:rPr>
        <w:t>To the extent they remain unvested and outstanding, equity awards granted to a non-employee director continue to vest following the retirement of that director provided applicable conditions relating to the length of the director’s service and the director’s age have been met. If a non-employee director’s service as a member of the board is terminated as a result of his or her death, all of the director’s equity awards will immediately vest in full.</w:t>
      </w:r>
    </w:p>
    <w:p>
      <w:pPr>
        <w:pStyle w:val="TextBody"/>
        <w:pBdr/>
        <w:spacing w:before="0" w:after="210"/>
        <w:ind w:left="0" w:right="0" w:hanging="0"/>
        <w:rPr>
          <w:rFonts w:ascii="Arial" w:hAnsi="Arial"/>
          <w:color w:val="000000"/>
          <w:sz w:val="21"/>
        </w:rPr>
      </w:pPr>
      <w:r>
        <w:rPr>
          <w:rFonts w:ascii="Arial" w:hAnsi="Arial"/>
          <w:color w:val="000000"/>
          <w:sz w:val="21"/>
        </w:rPr>
        <w:t>To the extent they remain unvested and outstanding, equity awards granted to non-employee directors become fully vested automatically upon a change in control of the Company. Each non-employee director has the right to nullify this acceleration of vesting, in whole or in part, if it would cause the director to pay excise taxes under the requirements of the Internal Revenue Code.</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65" w:name="new_id-60"/>
      <w:bookmarkEnd w:id="65"/>
      <w:r>
        <w:rPr>
          <w:rFonts w:ascii="Arial" w:hAnsi="Arial"/>
          <w:b/>
          <w:i w:val="false"/>
          <w:caps w:val="false"/>
          <w:smallCaps w:val="false"/>
          <w:color w:val="D31B5D"/>
          <w:sz w:val="30"/>
          <w:bdr w:val="single" w:sz="12" w:space="2" w:color="245BA7"/>
        </w:rPr>
        <w:t xml:space="preserve">EQUITY AWARDS TO NEW DIRECTORS </w:t>
      </w:r>
    </w:p>
    <w:p>
      <w:pPr>
        <w:pStyle w:val="TextBody"/>
        <w:pBdr/>
        <w:spacing w:before="0" w:after="210"/>
        <w:ind w:left="0" w:right="0" w:hanging="0"/>
        <w:rPr>
          <w:rFonts w:ascii="Arial" w:hAnsi="Arial"/>
          <w:color w:val="000000"/>
          <w:sz w:val="21"/>
        </w:rPr>
      </w:pPr>
      <w:r>
        <w:rPr>
          <w:rFonts w:ascii="Arial" w:hAnsi="Arial"/>
          <w:color w:val="000000"/>
          <w:sz w:val="21"/>
        </w:rPr>
        <w:t>Under the Current Compensation Program, any newly elected non-employee director will receive an initial equity award with an aggregate grant date fair value equal to 5/3rds of the aggregate grant date fair value of the most recent annual equity award to a non-employee director; and, with respect to the annual equity award to a non-employee director in respect of the first year of his or her service, the aggregate grant date fair value of such annual award will be prorated based on the date as of which the non-employee director first becomes a member of the board of directors. The initial equity award to Dr. Thompson (shown in the table below) and his prorated January 2023 annual equity award (discussed above) were consistent with these guidelines.</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66" w:name="new_id-61"/>
      <w:bookmarkEnd w:id="66"/>
      <w:r>
        <w:rPr>
          <w:rFonts w:ascii="Arial" w:hAnsi="Arial"/>
          <w:b/>
          <w:i w:val="false"/>
          <w:caps w:val="false"/>
          <w:smallCaps w:val="false"/>
          <w:color w:val="D31B5D"/>
          <w:sz w:val="30"/>
          <w:bdr w:val="single" w:sz="12" w:space="2" w:color="245BA7"/>
        </w:rPr>
        <w:t xml:space="preserve">COMPENSATION ARRANGEMENTS OF THE CHAIR OF THE BOARD OF DIRECTORS </w:t>
      </w:r>
    </w:p>
    <w:p>
      <w:pPr>
        <w:pStyle w:val="TextBody"/>
        <w:pBdr/>
        <w:spacing w:before="0" w:after="210"/>
        <w:ind w:left="0" w:right="0" w:hanging="0"/>
        <w:rPr>
          <w:rFonts w:ascii="Arial" w:hAnsi="Arial"/>
          <w:color w:val="000000"/>
          <w:sz w:val="21"/>
        </w:rPr>
      </w:pPr>
      <w:r>
        <w:rPr>
          <w:rFonts w:ascii="Arial" w:hAnsi="Arial"/>
          <w:color w:val="000000"/>
          <w:sz w:val="21"/>
        </w:rPr>
        <w:t>On December 31, 1998, we entered into an employment agreement with the current Chair of the board of directors, Dr. Vagelos. Pursuant to the terms of his employment agreement, Dr. Vagelos has received an annual salary of $100,000 as a non-officer employee.</w:t>
      </w:r>
    </w:p>
    <w:p>
      <w:pPr>
        <w:pStyle w:val="TextBody"/>
        <w:pBdr/>
        <w:spacing w:before="0" w:after="210"/>
        <w:ind w:left="0" w:right="0" w:hanging="0"/>
        <w:rPr>
          <w:rFonts w:ascii="Arial" w:hAnsi="Arial"/>
          <w:color w:val="000000"/>
          <w:sz w:val="21"/>
        </w:rPr>
      </w:pPr>
      <w:r>
        <w:rPr>
          <w:rFonts w:ascii="Arial" w:hAnsi="Arial"/>
          <w:color w:val="000000"/>
          <w:sz w:val="21"/>
        </w:rPr>
        <w:t>Under the Current Compensation Program, Dr. Vagelos has received an annual equity award with an aggregate grant date fair value equal to 10 times the aggregate grant date fair value of the corresponding non-employee director annual award. In December 2022, the Compensation Committee determined that stock options and RSUs would comprise 80% and 20% of the 2022 annual equity award to Dr. Vagelos, respectively, and set the targeted aggregate grant date fair value of such award at (but no more than) ten times the aggregate grant date fair value of the corresponding annual equity award for our non-employee directors. As in prior years, Dr. Vagelos’s 2022 annual equity award reflected, among other things, Dr. Vagelos’s key contributions as the Company had gained momentum as a fully integrated biotech company with multiple class-leading products, as well as Dr. Vagelos’s crucial role as a trusted advisor to the CEO, other senior managers, and the non-employee directors (as described further in the subsection “Board Governance—Board Leadership Structure” above).</w:t>
      </w:r>
    </w:p>
    <w:p>
      <w:pPr>
        <w:pStyle w:val="TextBody"/>
        <w:pBdr/>
        <w:spacing w:before="0" w:after="210"/>
        <w:ind w:left="0" w:right="0" w:hanging="0"/>
        <w:rPr>
          <w:rFonts w:ascii="Arial" w:hAnsi="Arial"/>
          <w:color w:val="000000"/>
          <w:sz w:val="21"/>
        </w:rPr>
      </w:pPr>
      <w:r>
        <w:rPr>
          <w:rFonts w:ascii="Arial" w:hAnsi="Arial"/>
          <w:color w:val="000000"/>
          <w:sz w:val="21"/>
        </w:rPr>
        <w:t>The 2022 stock option award granted to Dr. Vagelos vests ratably over four years and contains change-of-control provisions consistent with those described above for equity grants to non-employee directors. The 2022 RSU award granted to Dr. Vagelos vests 50% on the second anniversary of the date of grant and 50% of the fourth anniversary of the date of grant and contains change-of-control provisions consistent with those described above for equity grants to non-employee directors. In addition, the award agreements relating to Dr. Vagelos’s equity awards provide that each such award will continue to vest in accordance with the terms of the applicable award agreement following his qualified retirement (as defined in the applicable Company policy; Dr. Vagelos currently meets the policy requirement).</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3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2" descr=""/>
                          <pic:cNvPicPr>
                            <a:picLocks noChangeAspect="1" noChangeArrowheads="1"/>
                          </pic:cNvPicPr>
                        </pic:nvPicPr>
                        <pic:blipFill>
                          <a:blip r:embed="rId93"/>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31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The following table and explanatory footnotes provide information with respect to compensation paid to Dr. Vagelos and each non-employee director for their service in 2022 in accordance with the policies, plans, and employment agreement described above:</w:t>
      </w:r>
    </w:p>
    <w:p>
      <w:pPr>
        <w:pStyle w:val="Heading4"/>
        <w:pBdr/>
        <w:spacing w:before="0" w:after="150"/>
        <w:ind w:left="0" w:right="0" w:hanging="0"/>
        <w:rPr>
          <w:rFonts w:ascii="Arial" w:hAnsi="Arial"/>
          <w:b/>
          <w:i w:val="false"/>
          <w:caps w:val="false"/>
          <w:smallCaps w:val="false"/>
          <w:color w:val="D31B5D"/>
          <w:sz w:val="24"/>
        </w:rPr>
      </w:pPr>
      <w:bookmarkStart w:id="67" w:name="new_id-62"/>
      <w:bookmarkEnd w:id="67"/>
      <w:r>
        <w:rPr>
          <w:rFonts w:ascii="Arial" w:hAnsi="Arial"/>
          <w:b/>
          <w:i w:val="false"/>
          <w:caps w:val="false"/>
          <w:smallCaps w:val="false"/>
          <w:color w:val="D31B5D"/>
          <w:sz w:val="24"/>
        </w:rPr>
        <w:t xml:space="preserve">Director Compensation </w:t>
      </w:r>
    </w:p>
    <w:tbl>
      <w:tblPr>
        <w:tblW w:w="10870" w:type="dxa"/>
        <w:jc w:val="left"/>
        <w:tblInd w:w="0" w:type="dxa"/>
        <w:tblCellMar>
          <w:top w:w="45" w:type="dxa"/>
          <w:left w:w="0" w:type="dxa"/>
          <w:bottom w:w="75" w:type="dxa"/>
          <w:right w:w="0" w:type="dxa"/>
        </w:tblCellMar>
      </w:tblPr>
      <w:tblGrid>
        <w:gridCol w:w="1460"/>
        <w:gridCol w:w="1280"/>
        <w:gridCol w:w="1195"/>
        <w:gridCol w:w="85"/>
        <w:gridCol w:w="845"/>
        <w:gridCol w:w="60"/>
        <w:gridCol w:w="1235"/>
        <w:gridCol w:w="2465"/>
        <w:gridCol w:w="1143"/>
        <w:gridCol w:w="182"/>
        <w:gridCol w:w="845"/>
        <w:gridCol w:w="75"/>
      </w:tblGrid>
      <w:tr>
        <w:trPr/>
        <w:tc>
          <w:tcPr>
            <w:tcW w:w="1460" w:type="dxa"/>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A</w:t>
            </w:r>
          </w:p>
        </w:tc>
        <w:tc>
          <w:tcPr>
            <w:tcW w:w="1280"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B</w:t>
            </w:r>
          </w:p>
        </w:tc>
        <w:tc>
          <w:tcPr>
            <w:tcW w:w="1280" w:type="dxa"/>
            <w:gridSpan w:val="2"/>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C</w:t>
            </w:r>
          </w:p>
        </w:tc>
        <w:tc>
          <w:tcPr>
            <w:tcW w:w="905" w:type="dxa"/>
            <w:gridSpan w:val="2"/>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D</w:t>
            </w:r>
          </w:p>
        </w:tc>
        <w:tc>
          <w:tcPr>
            <w:tcW w:w="1235" w:type="dxa"/>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E</w:t>
            </w:r>
          </w:p>
        </w:tc>
        <w:tc>
          <w:tcPr>
            <w:tcW w:w="2465" w:type="dxa"/>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F</w:t>
            </w:r>
          </w:p>
        </w:tc>
        <w:tc>
          <w:tcPr>
            <w:tcW w:w="1325" w:type="dxa"/>
            <w:gridSpan w:val="2"/>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G</w:t>
            </w:r>
          </w:p>
        </w:tc>
        <w:tc>
          <w:tcPr>
            <w:tcW w:w="920" w:type="dxa"/>
            <w:gridSpan w:val="2"/>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H</w:t>
            </w:r>
          </w:p>
        </w:tc>
      </w:tr>
      <w:tr>
        <w:trPr/>
        <w:tc>
          <w:tcPr>
            <w:tcW w:w="1460" w:type="dxa"/>
            <w:tcBorders>
              <w:bottom w:val="single" w:sz="12" w:space="0" w:color="245AA7"/>
            </w:tcBorders>
            <w:shd w:fill="auto" w:val="clear"/>
            <w:tcMar>
              <w:top w:w="0" w:type="dxa"/>
            </w:tcMar>
            <w:vAlign w:val="center"/>
          </w:tcPr>
          <w:p>
            <w:pPr>
              <w:pStyle w:val="TableContents"/>
              <w:pBdr/>
              <w:spacing w:before="15" w:after="0"/>
              <w:ind w:left="15" w:right="15" w:hanging="0"/>
              <w:rPr>
                <w:rFonts w:ascii="Arial" w:hAnsi="Arial"/>
                <w:b/>
                <w:color w:val="245BA7"/>
                <w:sz w:val="18"/>
              </w:rPr>
            </w:pPr>
            <w:r>
              <w:rPr>
                <w:rFonts w:ascii="Arial" w:hAnsi="Arial"/>
                <w:b/>
                <w:color w:val="245BA7"/>
                <w:sz w:val="18"/>
              </w:rPr>
              <w:t>Name</w:t>
            </w:r>
          </w:p>
        </w:tc>
        <w:tc>
          <w:tcPr>
            <w:tcW w:w="1280"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Fees earned</w:t>
            </w:r>
          </w:p>
          <w:p>
            <w:pPr>
              <w:pStyle w:val="TableContents"/>
              <w:pBdr/>
              <w:spacing w:before="15" w:after="0"/>
              <w:ind w:left="15" w:right="15" w:hanging="0"/>
              <w:jc w:val="center"/>
              <w:rPr>
                <w:rFonts w:ascii="Arial" w:hAnsi="Arial"/>
                <w:b/>
                <w:color w:val="245BA7"/>
                <w:sz w:val="18"/>
              </w:rPr>
            </w:pPr>
            <w:r>
              <w:rPr>
                <w:rFonts w:ascii="Arial" w:hAnsi="Arial"/>
                <w:b/>
                <w:color w:val="245BA7"/>
                <w:sz w:val="18"/>
              </w:rPr>
              <w:t>or paid in cash</w:t>
            </w:r>
          </w:p>
          <w:p>
            <w:pPr>
              <w:pStyle w:val="TableContents"/>
              <w:pBdr/>
              <w:spacing w:before="15" w:after="0"/>
              <w:ind w:left="15" w:right="15" w:hanging="0"/>
              <w:jc w:val="center"/>
              <w:rPr>
                <w:rFonts w:ascii="Arial" w:hAnsi="Arial"/>
                <w:b/>
                <w:color w:val="245BA7"/>
                <w:sz w:val="18"/>
              </w:rPr>
            </w:pPr>
            <w:r>
              <w:rPr>
                <w:rFonts w:ascii="Arial" w:hAnsi="Arial"/>
                <w:b/>
                <w:color w:val="245BA7"/>
                <w:sz w:val="18"/>
              </w:rPr>
              <w:t>($)</w:t>
            </w:r>
          </w:p>
        </w:tc>
        <w:tc>
          <w:tcPr>
            <w:tcW w:w="1280" w:type="dxa"/>
            <w:gridSpan w:val="2"/>
            <w:tcBorders>
              <w:bottom w:val="single" w:sz="12" w:space="0" w:color="245AA7"/>
            </w:tcBorders>
            <w:shd w:fill="auto" w:val="clear"/>
            <w:tcMar>
              <w:top w:w="0" w:type="dxa"/>
            </w:tcM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Stock awards</w:t>
            </w:r>
            <w:r>
              <w:rPr>
                <w:rFonts w:ascii="Arial" w:hAnsi="Arial"/>
                <w:b/>
                <w:color w:val="245BA7"/>
                <w:position w:val="6"/>
                <w:sz w:val="14"/>
                <w:sz w:val="18"/>
              </w:rPr>
              <w:t>1</w:t>
            </w:r>
          </w:p>
          <w:p>
            <w:pPr>
              <w:pStyle w:val="TableContents"/>
              <w:pBdr/>
              <w:spacing w:before="15" w:after="0"/>
              <w:ind w:left="0" w:right="0" w:hanging="0"/>
              <w:jc w:val="center"/>
              <w:rPr>
                <w:rFonts w:ascii="Arial" w:hAnsi="Arial"/>
                <w:b/>
                <w:color w:val="245BA7"/>
                <w:sz w:val="18"/>
              </w:rPr>
            </w:pPr>
            <w:r>
              <w:rPr>
                <w:rFonts w:ascii="Arial" w:hAnsi="Arial"/>
                <w:b/>
                <w:color w:val="245BA7"/>
                <w:sz w:val="18"/>
              </w:rPr>
              <w:t>($)</w:t>
            </w:r>
          </w:p>
        </w:tc>
        <w:tc>
          <w:tcPr>
            <w:tcW w:w="905" w:type="dxa"/>
            <w:gridSpan w:val="2"/>
            <w:tcBorders>
              <w:bottom w:val="single" w:sz="12" w:space="0" w:color="245AA7"/>
            </w:tcBorders>
            <w:shd w:fill="auto" w:val="clear"/>
            <w:tcMar>
              <w:top w:w="0" w:type="dxa"/>
            </w:tcM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Option</w:t>
            </w:r>
          </w:p>
          <w:p>
            <w:pPr>
              <w:pStyle w:val="TableContents"/>
              <w:pBdr/>
              <w:spacing w:before="15" w:after="0"/>
              <w:ind w:left="0" w:right="0" w:hanging="0"/>
              <w:jc w:val="center"/>
              <w:rPr>
                <w:rFonts w:ascii="Arial" w:hAnsi="Arial"/>
                <w:b/>
                <w:color w:val="245BA7"/>
                <w:sz w:val="18"/>
              </w:rPr>
            </w:pPr>
            <w:r>
              <w:rPr>
                <w:rFonts w:ascii="Arial" w:hAnsi="Arial"/>
                <w:b/>
                <w:color w:val="245BA7"/>
                <w:sz w:val="18"/>
              </w:rPr>
              <w:t>awards</w:t>
            </w:r>
            <w:r>
              <w:rPr>
                <w:rFonts w:ascii="Arial" w:hAnsi="Arial"/>
                <w:b/>
                <w:color w:val="245BA7"/>
                <w:position w:val="6"/>
                <w:sz w:val="14"/>
                <w:sz w:val="18"/>
              </w:rPr>
              <w:t>1,2</w:t>
            </w:r>
          </w:p>
          <w:p>
            <w:pPr>
              <w:pStyle w:val="TableContents"/>
              <w:pBdr/>
              <w:spacing w:before="15" w:after="0"/>
              <w:ind w:left="0" w:right="0" w:hanging="0"/>
              <w:jc w:val="center"/>
              <w:rPr>
                <w:rFonts w:ascii="Arial" w:hAnsi="Arial"/>
                <w:b/>
                <w:color w:val="245BA7"/>
                <w:sz w:val="18"/>
              </w:rPr>
            </w:pPr>
            <w:r>
              <w:rPr>
                <w:rFonts w:ascii="Arial" w:hAnsi="Arial"/>
                <w:b/>
                <w:color w:val="245BA7"/>
                <w:sz w:val="18"/>
              </w:rPr>
              <w:t>($)</w:t>
            </w:r>
          </w:p>
        </w:tc>
        <w:tc>
          <w:tcPr>
            <w:tcW w:w="1235" w:type="dxa"/>
            <w:tcBorders>
              <w:bottom w:val="single" w:sz="12" w:space="0" w:color="245AA7"/>
            </w:tcBorders>
            <w:shd w:fill="auto" w:val="clear"/>
            <w:tcMar>
              <w:top w:w="0" w:type="dxa"/>
            </w:tcM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 xml:space="preserve">Non-equity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incentive plan </w:t>
            </w:r>
          </w:p>
          <w:p>
            <w:pPr>
              <w:pStyle w:val="TableContents"/>
              <w:pBdr/>
              <w:spacing w:before="0" w:after="0"/>
              <w:ind w:left="0" w:right="0" w:hanging="0"/>
              <w:jc w:val="center"/>
              <w:rPr>
                <w:rFonts w:ascii="Arial" w:hAnsi="Arial"/>
                <w:b/>
                <w:color w:val="245BA7"/>
                <w:sz w:val="18"/>
              </w:rPr>
            </w:pPr>
            <w:r>
              <w:rPr>
                <w:rFonts w:ascii="Arial" w:hAnsi="Arial"/>
                <w:b/>
                <w:color w:val="245BA7"/>
                <w:sz w:val="18"/>
              </w:rPr>
              <w:t>compensation</w:t>
            </w:r>
          </w:p>
          <w:p>
            <w:pPr>
              <w:pStyle w:val="TableContents"/>
              <w:pBdr/>
              <w:spacing w:before="15" w:after="0"/>
              <w:ind w:left="0" w:right="0" w:hanging="0"/>
              <w:jc w:val="center"/>
              <w:rPr>
                <w:rFonts w:ascii="Arial" w:hAnsi="Arial"/>
                <w:b/>
                <w:color w:val="245BA7"/>
                <w:sz w:val="18"/>
              </w:rPr>
            </w:pPr>
            <w:r>
              <w:rPr>
                <w:rFonts w:ascii="Arial" w:hAnsi="Arial"/>
                <w:b/>
                <w:color w:val="245BA7"/>
                <w:sz w:val="18"/>
              </w:rPr>
              <w:t>($)</w:t>
            </w:r>
          </w:p>
        </w:tc>
        <w:tc>
          <w:tcPr>
            <w:tcW w:w="2465" w:type="dxa"/>
            <w:tcBorders>
              <w:bottom w:val="single" w:sz="12" w:space="0" w:color="245AA7"/>
            </w:tcBorders>
            <w:shd w:fill="auto" w:val="clear"/>
            <w:tcMar>
              <w:top w:w="0" w:type="dxa"/>
            </w:tcM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 xml:space="preserve">Change in pension value and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non-qualified deferred </w:t>
            </w:r>
          </w:p>
          <w:p>
            <w:pPr>
              <w:pStyle w:val="TableContents"/>
              <w:pBdr/>
              <w:spacing w:before="0" w:after="0"/>
              <w:ind w:left="0" w:right="0" w:hanging="0"/>
              <w:jc w:val="center"/>
              <w:rPr>
                <w:rFonts w:ascii="Arial" w:hAnsi="Arial"/>
                <w:b/>
                <w:color w:val="245BA7"/>
                <w:sz w:val="18"/>
              </w:rPr>
            </w:pPr>
            <w:r>
              <w:rPr>
                <w:rFonts w:ascii="Arial" w:hAnsi="Arial"/>
                <w:b/>
                <w:color w:val="245BA7"/>
                <w:sz w:val="18"/>
              </w:rPr>
              <w:t>compensation earnings</w:t>
            </w:r>
          </w:p>
        </w:tc>
        <w:tc>
          <w:tcPr>
            <w:tcW w:w="1325" w:type="dxa"/>
            <w:gridSpan w:val="2"/>
            <w:tcBorders>
              <w:bottom w:val="single" w:sz="12" w:space="0" w:color="245AA7"/>
            </w:tcBorders>
            <w:shd w:fill="auto" w:val="clear"/>
            <w:tcMar>
              <w:top w:w="0" w:type="dxa"/>
            </w:tcM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 xml:space="preserve">All other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compensation</w:t>
            </w:r>
            <w:r>
              <w:rPr>
                <w:rFonts w:ascii="Arial" w:hAnsi="Arial"/>
                <w:b/>
                <w:color w:val="245BA7"/>
                <w:position w:val="6"/>
                <w:sz w:val="14"/>
                <w:sz w:val="18"/>
              </w:rPr>
              <w:t>3</w:t>
            </w:r>
            <w:r>
              <w:rPr>
                <w:rFonts w:ascii="Arial" w:hAnsi="Arial"/>
                <w:b/>
                <w:color w:val="245BA7"/>
                <w:sz w:val="18"/>
              </w:rPr>
              <w:t xml:space="preserve"> </w:t>
            </w:r>
          </w:p>
          <w:p>
            <w:pPr>
              <w:pStyle w:val="TableContents"/>
              <w:pBdr/>
              <w:spacing w:before="0" w:after="0"/>
              <w:ind w:left="0" w:right="0" w:hanging="0"/>
              <w:jc w:val="center"/>
              <w:rPr>
                <w:rFonts w:ascii="Arial" w:hAnsi="Arial"/>
                <w:b/>
                <w:color w:val="245BA7"/>
                <w:sz w:val="18"/>
              </w:rPr>
            </w:pPr>
            <w:r>
              <w:rPr>
                <w:rFonts w:ascii="Arial" w:hAnsi="Arial"/>
                <w:b/>
                <w:color w:val="245BA7"/>
                <w:sz w:val="18"/>
              </w:rPr>
              <w:t>($)</w:t>
            </w:r>
          </w:p>
        </w:tc>
        <w:tc>
          <w:tcPr>
            <w:tcW w:w="920" w:type="dxa"/>
            <w:gridSpan w:val="2"/>
            <w:tcBorders>
              <w:bottom w:val="single" w:sz="12" w:space="0" w:color="245AA7"/>
            </w:tcBorders>
            <w:shd w:fill="auto" w:val="clear"/>
            <w:tcMar>
              <w:top w:w="0" w:type="dxa"/>
            </w:tcM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Total</w:t>
            </w:r>
          </w:p>
          <w:p>
            <w:pPr>
              <w:pStyle w:val="TableContents"/>
              <w:pBdr/>
              <w:spacing w:before="15" w:after="0"/>
              <w:ind w:left="0" w:right="0" w:hanging="0"/>
              <w:jc w:val="center"/>
              <w:rPr>
                <w:rFonts w:ascii="Arial" w:hAnsi="Arial"/>
                <w:b/>
                <w:color w:val="245BA7"/>
                <w:sz w:val="18"/>
              </w:rPr>
            </w:pPr>
            <w:r>
              <w:rPr>
                <w:rFonts w:ascii="Arial" w:hAnsi="Arial"/>
                <w:b/>
                <w:color w:val="245BA7"/>
                <w:sz w:val="18"/>
              </w:rPr>
              <w:t>($)</w:t>
            </w:r>
          </w:p>
        </w:tc>
      </w:tr>
      <w:tr>
        <w:trPr/>
        <w:tc>
          <w:tcPr>
            <w:tcW w:w="1460" w:type="dxa"/>
            <w:tcBorders>
              <w:bottom w:val="single" w:sz="2" w:space="0" w:color="575756"/>
            </w:tcBorders>
            <w:shd w:fill="auto" w:val="clear"/>
            <w:tcMar>
              <w:top w:w="0" w:type="dxa"/>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Bonnie L. Bassler, Ph.D.</w:t>
            </w:r>
          </w:p>
        </w:tc>
        <w:tc>
          <w:tcPr>
            <w:tcW w:w="1280"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110,000</w:t>
            </w:r>
          </w:p>
        </w:tc>
        <w:tc>
          <w:tcPr>
            <w:tcW w:w="1195"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119,490</w:t>
            </w:r>
          </w:p>
        </w:tc>
        <w:tc>
          <w:tcPr>
            <w:tcW w:w="85"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480,539</w:t>
            </w:r>
          </w:p>
        </w:tc>
        <w:tc>
          <w:tcPr>
            <w:tcW w:w="60"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c>
          <w:tcPr>
            <w:tcW w:w="123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center"/>
              <w:rPr>
                <w:color w:val="000000"/>
              </w:rPr>
            </w:pPr>
            <w:r>
              <w:rPr>
                <w:color w:val="000000"/>
              </w:rPr>
              <w:t>—</w:t>
            </w:r>
          </w:p>
        </w:tc>
        <w:tc>
          <w:tcPr>
            <w:tcW w:w="246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center"/>
              <w:rPr>
                <w:color w:val="000000"/>
              </w:rPr>
            </w:pPr>
            <w:r>
              <w:rPr>
                <w:color w:val="000000"/>
              </w:rPr>
              <w:t>—</w:t>
            </w:r>
          </w:p>
        </w:tc>
        <w:tc>
          <w:tcPr>
            <w:tcW w:w="1143"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5,000</w:t>
            </w:r>
          </w:p>
        </w:tc>
        <w:tc>
          <w:tcPr>
            <w:tcW w:w="182"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4</w:t>
            </w:r>
          </w:p>
        </w:tc>
        <w:tc>
          <w:tcPr>
            <w:tcW w:w="845"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715,029</w:t>
            </w:r>
          </w:p>
        </w:tc>
        <w:tc>
          <w:tcPr>
            <w:tcW w:w="75"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r>
      <w:tr>
        <w:trPr/>
        <w:tc>
          <w:tcPr>
            <w:tcW w:w="1460" w:type="dxa"/>
            <w:tcBorders>
              <w:top w:val="single" w:sz="2" w:space="0" w:color="F2F2F2"/>
              <w:bottom w:val="single" w:sz="2" w:space="0" w:color="575756"/>
            </w:tcBorders>
            <w:shd w:fill="F2F2F2"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Michael S. Brown, M.D.</w:t>
            </w:r>
          </w:p>
        </w:tc>
        <w:tc>
          <w:tcPr>
            <w:tcW w:w="1280"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120,000</w:t>
            </w:r>
          </w:p>
        </w:tc>
        <w:tc>
          <w:tcPr>
            <w:tcW w:w="119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119,490</w:t>
            </w:r>
          </w:p>
        </w:tc>
        <w:tc>
          <w:tcPr>
            <w:tcW w:w="8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480,539</w:t>
            </w:r>
          </w:p>
        </w:tc>
        <w:tc>
          <w:tcPr>
            <w:tcW w:w="60"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23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center"/>
              <w:rPr>
                <w:color w:val="000000"/>
              </w:rPr>
            </w:pPr>
            <w:r>
              <w:rPr>
                <w:color w:val="000000"/>
              </w:rPr>
              <w:t>—</w:t>
            </w:r>
          </w:p>
        </w:tc>
        <w:tc>
          <w:tcPr>
            <w:tcW w:w="246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center"/>
              <w:rPr>
                <w:color w:val="000000"/>
              </w:rPr>
            </w:pPr>
            <w:r>
              <w:rPr>
                <w:color w:val="000000"/>
              </w:rPr>
              <w:t>—</w:t>
            </w:r>
          </w:p>
        </w:tc>
        <w:tc>
          <w:tcPr>
            <w:tcW w:w="1143"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5,000</w:t>
            </w:r>
          </w:p>
        </w:tc>
        <w:tc>
          <w:tcPr>
            <w:tcW w:w="182"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4</w:t>
            </w:r>
          </w:p>
        </w:tc>
        <w:tc>
          <w:tcPr>
            <w:tcW w:w="84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725,029</w:t>
            </w:r>
          </w:p>
        </w:tc>
        <w:tc>
          <w:tcPr>
            <w:tcW w:w="7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r>
      <w:tr>
        <w:trPr/>
        <w:tc>
          <w:tcPr>
            <w:tcW w:w="1460" w:type="dxa"/>
            <w:tcBorders>
              <w:bottom w:val="single" w:sz="2" w:space="0" w:color="575756"/>
            </w:tcBorders>
            <w:shd w:fill="auto" w:val="clear"/>
            <w:tcMar>
              <w:top w:w="0" w:type="dxa"/>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N. Anthony Coles, M. D.</w:t>
            </w:r>
          </w:p>
        </w:tc>
        <w:tc>
          <w:tcPr>
            <w:tcW w:w="1280"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100,000</w:t>
            </w:r>
          </w:p>
        </w:tc>
        <w:tc>
          <w:tcPr>
            <w:tcW w:w="1195"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119,490</w:t>
            </w:r>
          </w:p>
        </w:tc>
        <w:tc>
          <w:tcPr>
            <w:tcW w:w="85"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480,539</w:t>
            </w:r>
          </w:p>
        </w:tc>
        <w:tc>
          <w:tcPr>
            <w:tcW w:w="60"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c>
          <w:tcPr>
            <w:tcW w:w="123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center"/>
              <w:rPr>
                <w:color w:val="000000"/>
              </w:rPr>
            </w:pPr>
            <w:r>
              <w:rPr>
                <w:color w:val="000000"/>
              </w:rPr>
              <w:t>—</w:t>
            </w:r>
          </w:p>
        </w:tc>
        <w:tc>
          <w:tcPr>
            <w:tcW w:w="246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center"/>
              <w:rPr>
                <w:color w:val="000000"/>
              </w:rPr>
            </w:pPr>
            <w:r>
              <w:rPr>
                <w:color w:val="000000"/>
              </w:rPr>
              <w:t>—</w:t>
            </w:r>
          </w:p>
        </w:tc>
        <w:tc>
          <w:tcPr>
            <w:tcW w:w="1143"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5,000</w:t>
            </w:r>
          </w:p>
        </w:tc>
        <w:tc>
          <w:tcPr>
            <w:tcW w:w="182"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4</w:t>
            </w:r>
          </w:p>
        </w:tc>
        <w:tc>
          <w:tcPr>
            <w:tcW w:w="845"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705,029</w:t>
            </w:r>
          </w:p>
        </w:tc>
        <w:tc>
          <w:tcPr>
            <w:tcW w:w="75"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r>
      <w:tr>
        <w:trPr/>
        <w:tc>
          <w:tcPr>
            <w:tcW w:w="1460" w:type="dxa"/>
            <w:tcBorders>
              <w:top w:val="single" w:sz="2" w:space="0" w:color="F2F2F2"/>
              <w:bottom w:val="single" w:sz="2" w:space="0" w:color="575756"/>
            </w:tcBorders>
            <w:shd w:fill="F2F2F2"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Joseph L. Goldstein, M.D.</w:t>
            </w:r>
          </w:p>
        </w:tc>
        <w:tc>
          <w:tcPr>
            <w:tcW w:w="1280"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110,000</w:t>
            </w:r>
          </w:p>
        </w:tc>
        <w:tc>
          <w:tcPr>
            <w:tcW w:w="119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119,490</w:t>
            </w:r>
          </w:p>
        </w:tc>
        <w:tc>
          <w:tcPr>
            <w:tcW w:w="8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480,539</w:t>
            </w:r>
          </w:p>
        </w:tc>
        <w:tc>
          <w:tcPr>
            <w:tcW w:w="60"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23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center"/>
              <w:rPr>
                <w:color w:val="000000"/>
              </w:rPr>
            </w:pPr>
            <w:r>
              <w:rPr>
                <w:color w:val="000000"/>
              </w:rPr>
              <w:t>—</w:t>
            </w:r>
          </w:p>
        </w:tc>
        <w:tc>
          <w:tcPr>
            <w:tcW w:w="246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center"/>
              <w:rPr>
                <w:color w:val="000000"/>
              </w:rPr>
            </w:pPr>
            <w:r>
              <w:rPr>
                <w:color w:val="000000"/>
              </w:rPr>
              <w:t>—</w:t>
            </w:r>
          </w:p>
        </w:tc>
        <w:tc>
          <w:tcPr>
            <w:tcW w:w="1143"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color w:val="000000"/>
              </w:rPr>
            </w:pPr>
            <w:r>
              <w:rPr>
                <w:color w:val="000000"/>
              </w:rPr>
              <w:t>—</w:t>
            </w:r>
          </w:p>
        </w:tc>
        <w:tc>
          <w:tcPr>
            <w:tcW w:w="182"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710,029</w:t>
            </w:r>
          </w:p>
        </w:tc>
        <w:tc>
          <w:tcPr>
            <w:tcW w:w="7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r>
      <w:tr>
        <w:trPr/>
        <w:tc>
          <w:tcPr>
            <w:tcW w:w="1460" w:type="dxa"/>
            <w:tcBorders>
              <w:bottom w:val="single" w:sz="2" w:space="0" w:color="575756"/>
            </w:tcBorders>
            <w:shd w:fill="auto" w:val="clear"/>
            <w:tcMar>
              <w:top w:w="0" w:type="dxa"/>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Christine A. Poon</w:t>
            </w:r>
          </w:p>
        </w:tc>
        <w:tc>
          <w:tcPr>
            <w:tcW w:w="1280"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120,000</w:t>
            </w:r>
          </w:p>
        </w:tc>
        <w:tc>
          <w:tcPr>
            <w:tcW w:w="1195"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119,490</w:t>
            </w:r>
          </w:p>
        </w:tc>
        <w:tc>
          <w:tcPr>
            <w:tcW w:w="85"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480,539</w:t>
            </w:r>
          </w:p>
        </w:tc>
        <w:tc>
          <w:tcPr>
            <w:tcW w:w="60"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c>
          <w:tcPr>
            <w:tcW w:w="123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center"/>
              <w:rPr>
                <w:color w:val="000000"/>
              </w:rPr>
            </w:pPr>
            <w:r>
              <w:rPr>
                <w:color w:val="000000"/>
              </w:rPr>
              <w:t>—</w:t>
            </w:r>
          </w:p>
        </w:tc>
        <w:tc>
          <w:tcPr>
            <w:tcW w:w="246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center"/>
              <w:rPr>
                <w:color w:val="000000"/>
              </w:rPr>
            </w:pPr>
            <w:r>
              <w:rPr>
                <w:color w:val="000000"/>
              </w:rPr>
              <w:t>—</w:t>
            </w:r>
          </w:p>
        </w:tc>
        <w:tc>
          <w:tcPr>
            <w:tcW w:w="1143"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color w:val="000000"/>
              </w:rPr>
            </w:pPr>
            <w:r>
              <w:rPr>
                <w:color w:val="000000"/>
              </w:rPr>
              <w:t>—</w:t>
            </w:r>
          </w:p>
        </w:tc>
        <w:tc>
          <w:tcPr>
            <w:tcW w:w="182"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720,029</w:t>
            </w:r>
          </w:p>
        </w:tc>
        <w:tc>
          <w:tcPr>
            <w:tcW w:w="75"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r>
      <w:tr>
        <w:trPr/>
        <w:tc>
          <w:tcPr>
            <w:tcW w:w="1460" w:type="dxa"/>
            <w:tcBorders>
              <w:top w:val="single" w:sz="2" w:space="0" w:color="F2F2F2"/>
              <w:bottom w:val="single" w:sz="2" w:space="0" w:color="575756"/>
            </w:tcBorders>
            <w:shd w:fill="F2F2F2"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Arthur F. Ryan</w:t>
            </w:r>
          </w:p>
        </w:tc>
        <w:tc>
          <w:tcPr>
            <w:tcW w:w="1280"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120,000</w:t>
            </w:r>
          </w:p>
        </w:tc>
        <w:tc>
          <w:tcPr>
            <w:tcW w:w="119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119,490</w:t>
            </w:r>
          </w:p>
        </w:tc>
        <w:tc>
          <w:tcPr>
            <w:tcW w:w="8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480,539</w:t>
            </w:r>
          </w:p>
        </w:tc>
        <w:tc>
          <w:tcPr>
            <w:tcW w:w="60"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23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center"/>
              <w:rPr>
                <w:color w:val="000000"/>
              </w:rPr>
            </w:pPr>
            <w:r>
              <w:rPr>
                <w:color w:val="000000"/>
              </w:rPr>
              <w:t>—</w:t>
            </w:r>
          </w:p>
        </w:tc>
        <w:tc>
          <w:tcPr>
            <w:tcW w:w="246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center"/>
              <w:rPr>
                <w:color w:val="000000"/>
              </w:rPr>
            </w:pPr>
            <w:r>
              <w:rPr>
                <w:color w:val="000000"/>
              </w:rPr>
              <w:t>—</w:t>
            </w:r>
          </w:p>
        </w:tc>
        <w:tc>
          <w:tcPr>
            <w:tcW w:w="1143"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5,000</w:t>
            </w:r>
          </w:p>
        </w:tc>
        <w:tc>
          <w:tcPr>
            <w:tcW w:w="182"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4</w:t>
            </w:r>
          </w:p>
        </w:tc>
        <w:tc>
          <w:tcPr>
            <w:tcW w:w="84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725,029</w:t>
            </w:r>
          </w:p>
        </w:tc>
        <w:tc>
          <w:tcPr>
            <w:tcW w:w="7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r>
      <w:tr>
        <w:trPr/>
        <w:tc>
          <w:tcPr>
            <w:tcW w:w="1460" w:type="dxa"/>
            <w:tcBorders>
              <w:bottom w:val="single" w:sz="2" w:space="0" w:color="575756"/>
            </w:tcBorders>
            <w:shd w:fill="auto" w:val="clear"/>
            <w:tcMar>
              <w:top w:w="0" w:type="dxa"/>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George L. Sing</w:t>
            </w:r>
          </w:p>
        </w:tc>
        <w:tc>
          <w:tcPr>
            <w:tcW w:w="1280"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120,000</w:t>
            </w:r>
          </w:p>
        </w:tc>
        <w:tc>
          <w:tcPr>
            <w:tcW w:w="1195"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119,490</w:t>
            </w:r>
          </w:p>
        </w:tc>
        <w:tc>
          <w:tcPr>
            <w:tcW w:w="85"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480,539</w:t>
            </w:r>
          </w:p>
        </w:tc>
        <w:tc>
          <w:tcPr>
            <w:tcW w:w="60"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c>
          <w:tcPr>
            <w:tcW w:w="123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center"/>
              <w:rPr>
                <w:color w:val="000000"/>
              </w:rPr>
            </w:pPr>
            <w:r>
              <w:rPr>
                <w:color w:val="000000"/>
              </w:rPr>
              <w:t>—</w:t>
            </w:r>
          </w:p>
        </w:tc>
        <w:tc>
          <w:tcPr>
            <w:tcW w:w="246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center"/>
              <w:rPr>
                <w:color w:val="000000"/>
              </w:rPr>
            </w:pPr>
            <w:r>
              <w:rPr>
                <w:color w:val="000000"/>
              </w:rPr>
              <w:t>—</w:t>
            </w:r>
          </w:p>
        </w:tc>
        <w:tc>
          <w:tcPr>
            <w:tcW w:w="1143"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color w:val="000000"/>
              </w:rPr>
            </w:pPr>
            <w:r>
              <w:rPr>
                <w:color w:val="000000"/>
              </w:rPr>
              <w:t>—</w:t>
            </w:r>
          </w:p>
        </w:tc>
        <w:tc>
          <w:tcPr>
            <w:tcW w:w="182"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720,029</w:t>
            </w:r>
          </w:p>
        </w:tc>
        <w:tc>
          <w:tcPr>
            <w:tcW w:w="75"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r>
      <w:tr>
        <w:trPr/>
        <w:tc>
          <w:tcPr>
            <w:tcW w:w="1460" w:type="dxa"/>
            <w:tcBorders>
              <w:top w:val="single" w:sz="2" w:space="0" w:color="F2F2F2"/>
              <w:bottom w:val="single" w:sz="2" w:space="0" w:color="575756"/>
            </w:tcBorders>
            <w:shd w:fill="F2F2F2"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Marc Tessier-Lavigne, Ph.D.</w:t>
            </w:r>
          </w:p>
        </w:tc>
        <w:tc>
          <w:tcPr>
            <w:tcW w:w="1280"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100,000</w:t>
            </w:r>
          </w:p>
        </w:tc>
        <w:tc>
          <w:tcPr>
            <w:tcW w:w="119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119,490</w:t>
            </w:r>
          </w:p>
        </w:tc>
        <w:tc>
          <w:tcPr>
            <w:tcW w:w="8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480,539</w:t>
            </w:r>
          </w:p>
        </w:tc>
        <w:tc>
          <w:tcPr>
            <w:tcW w:w="60"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23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center"/>
              <w:rPr>
                <w:color w:val="000000"/>
              </w:rPr>
            </w:pPr>
            <w:r>
              <w:rPr>
                <w:color w:val="000000"/>
              </w:rPr>
              <w:t>—</w:t>
            </w:r>
          </w:p>
        </w:tc>
        <w:tc>
          <w:tcPr>
            <w:tcW w:w="246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center"/>
              <w:rPr>
                <w:color w:val="000000"/>
              </w:rPr>
            </w:pPr>
            <w:r>
              <w:rPr>
                <w:color w:val="000000"/>
              </w:rPr>
              <w:t>—</w:t>
            </w:r>
          </w:p>
        </w:tc>
        <w:tc>
          <w:tcPr>
            <w:tcW w:w="1143"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color w:val="000000"/>
              </w:rPr>
            </w:pPr>
            <w:r>
              <w:rPr>
                <w:color w:val="000000"/>
              </w:rPr>
              <w:t>—</w:t>
            </w:r>
          </w:p>
        </w:tc>
        <w:tc>
          <w:tcPr>
            <w:tcW w:w="182"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700,029</w:t>
            </w:r>
          </w:p>
        </w:tc>
        <w:tc>
          <w:tcPr>
            <w:tcW w:w="7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r>
      <w:tr>
        <w:trPr/>
        <w:tc>
          <w:tcPr>
            <w:tcW w:w="1460" w:type="dxa"/>
            <w:tcBorders>
              <w:bottom w:val="single" w:sz="2" w:space="0" w:color="575756"/>
            </w:tcBorders>
            <w:shd w:fill="auto" w:val="clear"/>
            <w:tcMar>
              <w:top w:w="0" w:type="dxa"/>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Craig B. Thompson, M.D.</w:t>
            </w:r>
            <w:r>
              <w:rPr>
                <w:rFonts w:ascii="Arial" w:hAnsi="Arial"/>
                <w:b/>
                <w:color w:val="D31B5D"/>
                <w:position w:val="6"/>
                <w:sz w:val="14"/>
                <w:sz w:val="18"/>
              </w:rPr>
              <w:t>5</w:t>
            </w:r>
          </w:p>
        </w:tc>
        <w:tc>
          <w:tcPr>
            <w:tcW w:w="1280"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24,457</w:t>
            </w:r>
          </w:p>
        </w:tc>
        <w:tc>
          <w:tcPr>
            <w:tcW w:w="1195"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199,641</w:t>
            </w:r>
          </w:p>
        </w:tc>
        <w:tc>
          <w:tcPr>
            <w:tcW w:w="85"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800,169</w:t>
            </w:r>
          </w:p>
        </w:tc>
        <w:tc>
          <w:tcPr>
            <w:tcW w:w="60"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c>
          <w:tcPr>
            <w:tcW w:w="123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center"/>
              <w:rPr>
                <w:color w:val="000000"/>
              </w:rPr>
            </w:pPr>
            <w:r>
              <w:rPr>
                <w:color w:val="000000"/>
              </w:rPr>
              <w:t>—</w:t>
            </w:r>
          </w:p>
        </w:tc>
        <w:tc>
          <w:tcPr>
            <w:tcW w:w="246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center"/>
              <w:rPr>
                <w:color w:val="000000"/>
              </w:rPr>
            </w:pPr>
            <w:r>
              <w:rPr>
                <w:color w:val="000000"/>
              </w:rPr>
              <w:t>—</w:t>
            </w:r>
          </w:p>
        </w:tc>
        <w:tc>
          <w:tcPr>
            <w:tcW w:w="1143"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color w:val="000000"/>
              </w:rPr>
            </w:pPr>
            <w:r>
              <w:rPr>
                <w:color w:val="000000"/>
              </w:rPr>
              <w:t>—</w:t>
            </w:r>
          </w:p>
        </w:tc>
        <w:tc>
          <w:tcPr>
            <w:tcW w:w="182"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1,024,267</w:t>
            </w:r>
          </w:p>
        </w:tc>
        <w:tc>
          <w:tcPr>
            <w:tcW w:w="75" w:type="dxa"/>
            <w:tcBorders>
              <w:bottom w:val="single" w:sz="2" w:space="0" w:color="575756"/>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r>
      <w:tr>
        <w:trPr/>
        <w:tc>
          <w:tcPr>
            <w:tcW w:w="1460" w:type="dxa"/>
            <w:tcBorders>
              <w:top w:val="single" w:sz="2" w:space="0" w:color="F2F2F2"/>
              <w:bottom w:val="single" w:sz="2" w:space="0" w:color="575756"/>
            </w:tcBorders>
            <w:shd w:fill="F2F2F2"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P. Roy Vagelos, M.D.</w:t>
            </w:r>
          </w:p>
        </w:tc>
        <w:tc>
          <w:tcPr>
            <w:tcW w:w="1280"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center"/>
              <w:rPr>
                <w:color w:val="000000"/>
              </w:rPr>
            </w:pPr>
            <w:r>
              <w:rPr>
                <w:color w:val="000000"/>
              </w:rPr>
              <w:t>—</w:t>
            </w:r>
          </w:p>
        </w:tc>
        <w:tc>
          <w:tcPr>
            <w:tcW w:w="119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1,199,501</w:t>
            </w:r>
          </w:p>
        </w:tc>
        <w:tc>
          <w:tcPr>
            <w:tcW w:w="8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4,799,762</w:t>
            </w:r>
          </w:p>
        </w:tc>
        <w:tc>
          <w:tcPr>
            <w:tcW w:w="60"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23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center"/>
              <w:rPr>
                <w:color w:val="000000"/>
              </w:rPr>
            </w:pPr>
            <w:r>
              <w:rPr>
                <w:color w:val="000000"/>
              </w:rPr>
              <w:t>—</w:t>
            </w:r>
          </w:p>
        </w:tc>
        <w:tc>
          <w:tcPr>
            <w:tcW w:w="246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center"/>
              <w:rPr>
                <w:color w:val="000000"/>
              </w:rPr>
            </w:pPr>
            <w:r>
              <w:rPr>
                <w:color w:val="000000"/>
              </w:rPr>
              <w:t>—</w:t>
            </w:r>
          </w:p>
        </w:tc>
        <w:tc>
          <w:tcPr>
            <w:tcW w:w="1143"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110,000</w:t>
            </w:r>
          </w:p>
        </w:tc>
        <w:tc>
          <w:tcPr>
            <w:tcW w:w="182"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6</w:t>
            </w:r>
          </w:p>
        </w:tc>
        <w:tc>
          <w:tcPr>
            <w:tcW w:w="84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6,109,263</w:t>
            </w:r>
          </w:p>
        </w:tc>
        <w:tc>
          <w:tcPr>
            <w:tcW w:w="7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r>
      <w:tr>
        <w:trPr/>
        <w:tc>
          <w:tcPr>
            <w:tcW w:w="1460" w:type="dxa"/>
            <w:tcBorders>
              <w:bottom w:val="single" w:sz="2" w:space="0" w:color="245BA7"/>
            </w:tcBorders>
            <w:shd w:fill="auto" w:val="clear"/>
            <w:tcMar>
              <w:top w:w="0" w:type="dxa"/>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Huda Y. Zoghbi, M.D.</w:t>
            </w:r>
          </w:p>
        </w:tc>
        <w:tc>
          <w:tcPr>
            <w:tcW w:w="1280" w:type="dxa"/>
            <w:tcBorders>
              <w:bottom w:val="single" w:sz="2" w:space="0" w:color="245BA7"/>
            </w:tcBorders>
            <w:shd w:fill="auto" w:val="clear"/>
            <w:tcMar>
              <w:top w:w="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110,000</w:t>
            </w:r>
          </w:p>
        </w:tc>
        <w:tc>
          <w:tcPr>
            <w:tcW w:w="1195" w:type="dxa"/>
            <w:tcBorders>
              <w:bottom w:val="single" w:sz="2" w:space="0" w:color="245BA7"/>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119,490</w:t>
            </w:r>
          </w:p>
        </w:tc>
        <w:tc>
          <w:tcPr>
            <w:tcW w:w="85" w:type="dxa"/>
            <w:tcBorders>
              <w:bottom w:val="single" w:sz="2" w:space="0" w:color="245BA7"/>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c>
          <w:tcPr>
            <w:tcW w:w="845" w:type="dxa"/>
            <w:tcBorders>
              <w:bottom w:val="single" w:sz="2" w:space="0" w:color="245BA7"/>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480,539</w:t>
            </w:r>
          </w:p>
        </w:tc>
        <w:tc>
          <w:tcPr>
            <w:tcW w:w="60" w:type="dxa"/>
            <w:tcBorders>
              <w:bottom w:val="single" w:sz="2" w:space="0" w:color="245BA7"/>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c>
          <w:tcPr>
            <w:tcW w:w="1235" w:type="dxa"/>
            <w:tcBorders>
              <w:bottom w:val="single" w:sz="2" w:space="0" w:color="245BA7"/>
            </w:tcBorders>
            <w:shd w:fill="auto" w:val="clear"/>
            <w:tcMar>
              <w:top w:w="0" w:type="dxa"/>
              <w:bottom w:w="45" w:type="dxa"/>
            </w:tcMar>
            <w:vAlign w:val="center"/>
          </w:tcPr>
          <w:p>
            <w:pPr>
              <w:pStyle w:val="TableContents"/>
              <w:pBdr/>
              <w:spacing w:before="0" w:after="45"/>
              <w:ind w:left="15" w:right="15" w:hanging="0"/>
              <w:jc w:val="center"/>
              <w:rPr>
                <w:color w:val="000000"/>
              </w:rPr>
            </w:pPr>
            <w:r>
              <w:rPr>
                <w:color w:val="000000"/>
              </w:rPr>
              <w:t>—</w:t>
            </w:r>
          </w:p>
        </w:tc>
        <w:tc>
          <w:tcPr>
            <w:tcW w:w="2465" w:type="dxa"/>
            <w:tcBorders>
              <w:bottom w:val="single" w:sz="2" w:space="0" w:color="245BA7"/>
            </w:tcBorders>
            <w:shd w:fill="auto" w:val="clear"/>
            <w:tcMar>
              <w:top w:w="0" w:type="dxa"/>
              <w:bottom w:w="45" w:type="dxa"/>
            </w:tcMar>
            <w:vAlign w:val="center"/>
          </w:tcPr>
          <w:p>
            <w:pPr>
              <w:pStyle w:val="TableContents"/>
              <w:pBdr/>
              <w:spacing w:before="0" w:after="45"/>
              <w:ind w:left="15" w:right="15" w:hanging="0"/>
              <w:jc w:val="center"/>
              <w:rPr>
                <w:color w:val="000000"/>
              </w:rPr>
            </w:pPr>
            <w:r>
              <w:rPr>
                <w:color w:val="000000"/>
              </w:rPr>
              <w:t>—</w:t>
            </w:r>
          </w:p>
        </w:tc>
        <w:tc>
          <w:tcPr>
            <w:tcW w:w="1143" w:type="dxa"/>
            <w:tcBorders>
              <w:bottom w:val="single" w:sz="2" w:space="0" w:color="245BA7"/>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5,000</w:t>
            </w:r>
          </w:p>
        </w:tc>
        <w:tc>
          <w:tcPr>
            <w:tcW w:w="182" w:type="dxa"/>
            <w:tcBorders>
              <w:bottom w:val="single" w:sz="2" w:space="0" w:color="245BA7"/>
            </w:tcBorders>
            <w:shd w:fill="auto" w:val="clear"/>
            <w:tcMar>
              <w:top w:w="0" w:type="dxa"/>
              <w:bottom w:w="45"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4</w:t>
            </w:r>
          </w:p>
        </w:tc>
        <w:tc>
          <w:tcPr>
            <w:tcW w:w="845" w:type="dxa"/>
            <w:tcBorders>
              <w:bottom w:val="single" w:sz="2" w:space="0" w:color="245BA7"/>
            </w:tcBorders>
            <w:shd w:fill="auto" w:val="clear"/>
            <w:tcMar>
              <w:top w:w="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715,029</w:t>
            </w:r>
          </w:p>
        </w:tc>
        <w:tc>
          <w:tcPr>
            <w:tcW w:w="75" w:type="dxa"/>
            <w:tcBorders>
              <w:bottom w:val="single" w:sz="2" w:space="0" w:color="245BA7"/>
            </w:tcBorders>
            <w:shd w:fill="auto" w:val="clear"/>
            <w:tcMar>
              <w:top w:w="0" w:type="dxa"/>
              <w:bottom w:w="45" w:type="dxa"/>
            </w:tcMar>
            <w:vAlign w:val="center"/>
          </w:tcPr>
          <w:p>
            <w:pPr>
              <w:pStyle w:val="TableContents"/>
              <w:pBdr/>
              <w:spacing w:before="0" w:after="45"/>
              <w:ind w:left="0" w:right="0" w:hanging="0"/>
              <w:rPr>
                <w:color w:val="000000"/>
              </w:rPr>
            </w:pPr>
            <w:r>
              <w:rPr>
                <w:color w:val="000000"/>
              </w:rPr>
              <w:t> </w:t>
            </w:r>
          </w:p>
        </w:tc>
      </w:tr>
      <w:tr>
        <w:trPr/>
        <w:tc>
          <w:tcPr>
            <w:tcW w:w="10870" w:type="dxa"/>
            <w:gridSpan w:val="12"/>
            <w:tcBorders/>
            <w:shd w:fill="auto" w:val="clear"/>
            <w:tcMar>
              <w:top w:w="0" w:type="dxa"/>
              <w:bottom w:w="0" w:type="dxa"/>
            </w:tcMar>
            <w:vAlign w:val="center"/>
          </w:tcPr>
          <w:p>
            <w:pPr>
              <w:pStyle w:val="TableContents"/>
              <w:spacing w:before="0" w:after="0"/>
              <w:ind w:left="0" w:right="3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1</w:t>
            </w:r>
          </w:p>
          <w:p>
            <w:pPr>
              <w:pStyle w:val="TableContents"/>
              <w:pBdr/>
              <w:spacing w:before="0" w:after="0"/>
              <w:ind w:left="0" w:right="3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amounts in columns C and D reflect the respective aggregate grant date fair values of RSUs and options awarded during the year ended December 31, 2022 pursuant to the Second Amended and Restated Regeneron Pharmaceuticals, Inc. 2014 Long-Term Incentive Plan. Valuation assumptions and methodologies used in the calculation of these amounts do not take into account expected forfeitures and are otherwise described in Note 13 to the Company’s audited financial statements for the fiscal year ended December 31, 2022 included in our Annual Report on Form 10-K for the fiscal year ended December 31, 2022 filed with the U.S. Securities and Exchange Commission (“SEC”) on February 6, 2023 (the “2022 Annual Report”).</w:t>
            </w:r>
          </w:p>
          <w:p>
            <w:pPr>
              <w:pStyle w:val="TableContents"/>
              <w:spacing w:before="0" w:after="0"/>
              <w:ind w:left="0" w:right="3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2</w:t>
            </w:r>
          </w:p>
          <w:p>
            <w:pPr>
              <w:pStyle w:val="TableContents"/>
              <w:pBdr/>
              <w:spacing w:before="0" w:after="0"/>
              <w:ind w:left="0" w:right="3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At December 31, 2022, the non-employee directors and Dr. Vagelos had the following aggregate number of stock option awards outstanding: Dr. Bassler: 22,376; Dr. Brown: 13,968; Dr. Coles: 2,707; Dr. Goldstein: 6,320; Ms. Poon: 62,064; Mr. Ryan: 2,707; Mr. Sing: 49,784; Dr. Tessier-Lavigne: 15,532; Dr. Thompson: 3,216; Dr. Vagelos: 611,277; and Dr. Zoghbi: 26,459.</w:t>
            </w:r>
          </w:p>
          <w:p>
            <w:pPr>
              <w:pStyle w:val="TableContents"/>
              <w:spacing w:before="0" w:after="0"/>
              <w:ind w:left="0" w:right="3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3</w:t>
            </w:r>
          </w:p>
          <w:p>
            <w:pPr>
              <w:pStyle w:val="TableContents"/>
              <w:pBdr/>
              <w:spacing w:before="0" w:after="0"/>
              <w:ind w:left="0" w:right="3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See the subsection “Compensation-Related Matters–Compensation Dashboard—Additional Compensation Information–Perquisites and Personal Benefits” for information regarding director air transportation in accordance with guidelines approved by our board of directors.</w:t>
            </w:r>
          </w:p>
          <w:p>
            <w:pPr>
              <w:pStyle w:val="TableContents"/>
              <w:spacing w:before="0" w:after="0"/>
              <w:ind w:left="0" w:right="3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4</w:t>
            </w:r>
          </w:p>
          <w:p>
            <w:pPr>
              <w:pStyle w:val="TableContents"/>
              <w:pBdr/>
              <w:spacing w:before="0" w:after="0"/>
              <w:ind w:left="0" w:right="3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Consists of a Company contribution paid or payable on or before April 11, 2023 under the Regeneron Matching Gift Program in respect of charitable gifts made in 2022.</w:t>
            </w:r>
          </w:p>
          <w:p>
            <w:pPr>
              <w:pStyle w:val="TableContents"/>
              <w:spacing w:before="0" w:after="0"/>
              <w:ind w:left="0" w:right="3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5</w:t>
            </w:r>
          </w:p>
          <w:p>
            <w:pPr>
              <w:pStyle w:val="TableContents"/>
              <w:pBdr/>
              <w:spacing w:before="0" w:after="0"/>
              <w:ind w:left="0" w:right="3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Dr. Thompson was elected as a member of the board of directors on October 3, 2022; accordingly, his fees were prorated based on his election date. The table also reflects his initial equity award granted effective as of his October 3, 2022 election date.</w:t>
            </w:r>
          </w:p>
          <w:p>
            <w:pPr>
              <w:pStyle w:val="TableContents"/>
              <w:spacing w:before="0" w:after="0"/>
              <w:ind w:left="0" w:right="30" w:hanging="0"/>
              <w:rPr>
                <w:rFonts w:ascii="Arial" w:hAnsi="Arial"/>
                <w:b w:val="false"/>
                <w:i w:val="false"/>
                <w:caps w:val="false"/>
                <w:smallCaps w:val="false"/>
                <w:color w:val="245BA7"/>
                <w:sz w:val="20"/>
              </w:rPr>
            </w:pPr>
            <w:r>
              <w:rPr>
                <w:rFonts w:ascii="Arial" w:hAnsi="Arial"/>
                <w:b w:val="false"/>
                <w:i w:val="false"/>
                <w:caps w:val="false"/>
                <w:smallCaps w:val="false"/>
                <w:color w:val="245BA7"/>
                <w:sz w:val="20"/>
              </w:rPr>
              <w:t>6</w:t>
            </w:r>
          </w:p>
          <w:p>
            <w:pPr>
              <w:pStyle w:val="TableContents"/>
              <w:pBdr/>
              <w:spacing w:before="0" w:after="0"/>
              <w:ind w:left="0" w:right="3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Consists of (i) $100,000 for the salary paid pursuant to the terms of our employment agreement with Dr. Vagelos, (ii) $5,000 for a Company contribution paid or payable on or before April 11, 2023 under the Regeneron Matching Gift Program in respect of a charitable gift made in 2022, and (iii) $5,000 for 401(k) Savings Plan matching contributions in respect of 2022.</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3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3" descr=""/>
                          <pic:cNvPicPr>
                            <a:picLocks noChangeAspect="1" noChangeArrowheads="1"/>
                          </pic:cNvPicPr>
                        </pic:nvPicPr>
                        <pic:blipFill>
                          <a:blip r:embed="rId94"/>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32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pBdr/>
        <w:spacing w:before="0" w:after="0"/>
        <w:ind w:left="0" w:right="0" w:hanging="0"/>
        <w:jc w:val="left"/>
        <w:rPr>
          <w:caps w:val="false"/>
          <w:smallCaps w:val="false"/>
          <w:color w:val="D31B5D"/>
        </w:rPr>
      </w:pPr>
      <w:r>
        <w:rPr>
          <w:caps w:val="false"/>
          <w:smallCaps w:val="false"/>
          <w:color w:val="D31B5D"/>
        </w:rPr>
        <w:drawing>
          <wp:inline distT="0" distB="0" distL="0" distR="0">
            <wp:extent cx="7620000" cy="9639300"/>
            <wp:effectExtent l="0" t="0" r="0" b="0"/>
            <wp:docPr id="13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4" descr=""/>
                    <pic:cNvPicPr>
                      <a:picLocks noChangeAspect="1" noChangeArrowheads="1"/>
                    </pic:cNvPicPr>
                  </pic:nvPicPr>
                  <pic:blipFill>
                    <a:blip r:embed="rId95"/>
                    <a:stretch>
                      <a:fillRect/>
                    </a:stretch>
                  </pic:blipFill>
                  <pic:spPr bwMode="auto">
                    <a:xfrm>
                      <a:off x="0" y="0"/>
                      <a:ext cx="7620000" cy="9639300"/>
                    </a:xfrm>
                    <a:prstGeom prst="rect">
                      <a:avLst/>
                    </a:prstGeom>
                  </pic:spPr>
                </pic:pic>
              </a:graphicData>
            </a:graphic>
          </wp:inline>
        </w:drawing>
      </w:r>
    </w:p>
    <w:p>
      <w:pPr>
        <w:pStyle w:val="TextBody"/>
        <w:pBdr/>
        <w:spacing w:before="0" w:after="0"/>
        <w:ind w:left="0" w:right="0" w:hanging="0"/>
        <w:jc w:val="left"/>
        <w:rPr>
          <w:caps w:val="false"/>
          <w:smallCaps w:val="false"/>
          <w:color w:val="D31B5D"/>
        </w:rPr>
      </w:pPr>
      <w:r>
        <w:rPr>
          <w:caps w:val="false"/>
          <w:smallCaps w:val="false"/>
          <w:color w:val="D31B5D"/>
        </w:rPr>
        <w:t> </w:t>
      </w:r>
    </w:p>
    <w:p>
      <w:pPr>
        <w:pStyle w:val="Normal"/>
        <w:spacing w:before="0" w:after="0"/>
        <w:ind w:left="0" w:right="0" w:hanging="0"/>
        <w:rPr>
          <w:sz w:val="4"/>
          <w:szCs w:val="4"/>
        </w:rPr>
      </w:pPr>
      <w:r>
        <w:rPr>
          <w:sz w:val="4"/>
          <w:szCs w:val="4"/>
        </w:rPr>
      </w:r>
      <w:bookmarkStart w:id="68" w:name="new_id-63"/>
      <w:bookmarkStart w:id="69" w:name="new_id-63"/>
      <w:bookmarkEnd w:id="69"/>
    </w:p>
    <w:tbl>
      <w:tblPr>
        <w:tblW w:w="10205" w:type="dxa"/>
        <w:jc w:val="left"/>
        <w:tblInd w:w="0" w:type="dxa"/>
        <w:tblCellMar>
          <w:top w:w="0" w:type="dxa"/>
          <w:left w:w="0" w:type="dxa"/>
          <w:bottom w:w="0" w:type="dxa"/>
          <w:right w:w="0" w:type="dxa"/>
        </w:tblCellMar>
      </w:tblPr>
      <w:tblGrid>
        <w:gridCol w:w="10014"/>
        <w:gridCol w:w="191"/>
      </w:tblGrid>
      <w:tr>
        <w:trPr/>
        <w:tc>
          <w:tcPr>
            <w:tcW w:w="10014" w:type="dxa"/>
            <w:tcBorders/>
            <w:shd w:fill="auto" w:val="clear"/>
            <w:vAlign w:val="center"/>
          </w:tcPr>
          <w:p>
            <w:pPr>
              <w:pStyle w:val="Heading1"/>
              <w:pBdr/>
              <w:spacing w:before="0" w:after="405"/>
              <w:ind w:left="0" w:right="0" w:hanging="0"/>
              <w:rPr>
                <w:rFonts w:ascii="Arial" w:hAnsi="Arial"/>
                <w:b/>
                <w:i w:val="false"/>
                <w:caps w:val="false"/>
                <w:smallCaps w:val="false"/>
                <w:color w:val="245BA7"/>
                <w:sz w:val="72"/>
              </w:rPr>
            </w:pPr>
            <w:r>
              <w:rPr>
                <w:rFonts w:ascii="Arial" w:hAnsi="Arial"/>
                <w:b/>
                <w:i w:val="false"/>
                <w:caps w:val="false"/>
                <w:smallCaps w:val="false"/>
                <w:color w:val="000000"/>
                <w:sz w:val="50"/>
              </w:rPr>
              <w:t>PROPOSAL 1</w:t>
            </w:r>
            <w:r>
              <w:rPr>
                <w:rFonts w:ascii="Arial" w:hAnsi="Arial"/>
                <w:b/>
                <w:i w:val="false"/>
                <w:caps w:val="false"/>
                <w:smallCaps w:val="false"/>
                <w:color w:val="245BA7"/>
                <w:sz w:val="72"/>
              </w:rPr>
              <w:br/>
              <w:t xml:space="preserve">ELECTION OF DIRECTORS </w:t>
            </w:r>
          </w:p>
        </w:tc>
        <w:tc>
          <w:tcPr>
            <w:tcW w:w="191" w:type="dxa"/>
            <w:tcBorders/>
            <w:shd w:fill="auto" w:val="clear"/>
            <w:tcMar>
              <w:top w:w="28" w:type="dxa"/>
              <w:left w:w="28" w:type="dxa"/>
              <w:bottom w:w="28" w:type="dxa"/>
              <w:right w:w="28" w:type="dxa"/>
            </w:tcMar>
            <w:vAlign w:val="center"/>
          </w:tcPr>
          <w:p>
            <w:pPr>
              <w:pStyle w:val="TableContents"/>
              <w:spacing w:before="0" w:after="283"/>
              <w:rPr/>
            </w:pPr>
            <w:r>
              <w:rPr/>
              <w:t> </w:t>
            </w:r>
          </w:p>
        </w:tc>
      </w:tr>
      <w:tr>
        <w:trPr/>
        <w:tc>
          <w:tcPr>
            <w:tcW w:w="10014" w:type="dxa"/>
            <w:tcBorders/>
            <w:shd w:fill="auto" w:val="clear"/>
            <w:vAlign w:val="center"/>
          </w:tcPr>
          <w:p>
            <w:pPr>
              <w:pStyle w:val="TableContents"/>
              <w:pBdr/>
              <w:spacing w:before="0" w:after="120"/>
              <w:ind w:left="0" w:right="1365" w:hanging="0"/>
              <w:jc w:val="left"/>
              <w:rPr>
                <w:rFonts w:ascii="Arial" w:hAnsi="Arial"/>
                <w:b w:val="false"/>
                <w:i w:val="false"/>
                <w:caps w:val="false"/>
                <w:smallCaps w:val="false"/>
                <w:color w:val="000000"/>
                <w:sz w:val="26"/>
              </w:rPr>
            </w:pPr>
            <w:r>
              <w:rPr>
                <w:rFonts w:ascii="Arial" w:hAnsi="Arial"/>
                <w:b w:val="false"/>
                <w:i w:val="false"/>
                <w:caps w:val="false"/>
                <w:smallCaps w:val="false"/>
                <w:color w:val="000000"/>
                <w:sz w:val="26"/>
              </w:rPr>
              <w:t>The board of directors, upon the recommendation of the Corporate Governance and Compliance Committee, has nominated for election at the 2023 Annual Meeting Joseph L. Goldstein, M.D., Christine A. Poon, Craig B. Thompson, M.D., and Huda Y. Zoghbi, M.D., as Class II Directors for a three-year term expiring at the 2026 Annual Meeting.</w:t>
            </w:r>
          </w:p>
        </w:tc>
        <w:tc>
          <w:tcPr>
            <w:tcW w:w="191" w:type="dxa"/>
            <w:tcBorders/>
            <w:shd w:fill="auto" w:val="clear"/>
            <w:tcMar>
              <w:top w:w="28" w:type="dxa"/>
              <w:left w:w="28" w:type="dxa"/>
              <w:bottom w:w="28" w:type="dxa"/>
              <w:right w:w="28" w:type="dxa"/>
            </w:tcMar>
            <w:vAlign w:val="center"/>
          </w:tcPr>
          <w:p>
            <w:pPr>
              <w:pStyle w:val="TableContents"/>
              <w:spacing w:before="0" w:after="283"/>
              <w:rPr/>
            </w:pPr>
            <w:r>
              <w:rPr/>
              <w:t> </w:t>
            </w:r>
          </w:p>
        </w:tc>
      </w:tr>
    </w:tbl>
    <w:p>
      <w:pPr>
        <w:pStyle w:val="TextBody"/>
        <w:pBdr/>
        <w:spacing w:before="0" w:after="0"/>
        <w:ind w:left="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0014"/>
        <w:gridCol w:w="191"/>
      </w:tblGrid>
      <w:tr>
        <w:trPr/>
        <w:tc>
          <w:tcPr>
            <w:tcW w:w="10014" w:type="dxa"/>
            <w:tcBorders/>
            <w:shd w:fill="auto" w:val="clear"/>
            <w:vAlign w:val="center"/>
          </w:tcPr>
          <w:p>
            <w:pPr>
              <w:pStyle w:val="TableContents"/>
              <w:pBdr/>
              <w:spacing w:before="60" w:after="60"/>
              <w:ind w:left="0" w:right="0" w:hanging="0"/>
              <w:jc w:val="left"/>
              <w:rPr>
                <w:rFonts w:ascii="Arial" w:hAnsi="Arial"/>
                <w:b w:val="false"/>
                <w:i w:val="false"/>
                <w:caps w:val="false"/>
                <w:smallCaps w:val="false"/>
                <w:color w:val="245BA7"/>
                <w:sz w:val="26"/>
              </w:rPr>
            </w:pPr>
            <w:r>
              <w:rPr>
                <w:rFonts w:ascii="Arial" w:hAnsi="Arial"/>
                <w:b w:val="false"/>
                <w:i w:val="false"/>
                <w:caps w:val="false"/>
                <w:smallCaps w:val="false"/>
                <w:color w:val="245BA7"/>
                <w:sz w:val="26"/>
              </w:rPr>
              <w:t xml:space="preserve">The board of directors unanimously recommends a vote </w:t>
            </w:r>
            <w:r>
              <w:rPr>
                <w:rFonts w:ascii="Arial" w:hAnsi="Arial"/>
                <w:b/>
                <w:i w:val="false"/>
                <w:caps w:val="false"/>
                <w:smallCaps w:val="false"/>
                <w:color w:val="245BA7"/>
                <w:sz w:val="26"/>
              </w:rPr>
              <w:t>FOR</w:t>
            </w:r>
            <w:r>
              <w:rPr>
                <w:rFonts w:ascii="Arial" w:hAnsi="Arial"/>
                <w:b w:val="false"/>
                <w:i w:val="false"/>
                <w:caps w:val="false"/>
                <w:smallCaps w:val="false"/>
                <w:color w:val="245BA7"/>
                <w:sz w:val="26"/>
              </w:rPr>
              <w:t xml:space="preserve"> the election of each of these nominees.</w:t>
            </w:r>
          </w:p>
        </w:tc>
        <w:tc>
          <w:tcPr>
            <w:tcW w:w="191" w:type="dxa"/>
            <w:tcBorders/>
            <w:shd w:fill="auto" w:val="clear"/>
            <w:tcMar>
              <w:top w:w="28" w:type="dxa"/>
              <w:left w:w="28" w:type="dxa"/>
              <w:bottom w:w="28" w:type="dxa"/>
              <w:right w:w="28" w:type="dxa"/>
            </w:tcMar>
            <w:vAlign w:val="center"/>
          </w:tcPr>
          <w:p>
            <w:pPr>
              <w:pStyle w:val="TableContents"/>
              <w:spacing w:before="0" w:after="283"/>
              <w:jc w:val="right"/>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3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95" descr=""/>
                          <pic:cNvPicPr>
                            <a:picLocks noChangeAspect="1" noChangeArrowheads="1"/>
                          </pic:cNvPicPr>
                        </pic:nvPicPr>
                        <pic:blipFill>
                          <a:blip r:embed="rId96"/>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33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jc w:val="left"/>
        <w:rPr/>
      </w:pPr>
      <w:r>
        <w:rPr/>
        <w:drawing>
          <wp:inline distT="0" distB="0" distL="0" distR="0">
            <wp:extent cx="7620000" cy="1552575"/>
            <wp:effectExtent l="0" t="0" r="0" b="0"/>
            <wp:docPr id="13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6" descr=""/>
                    <pic:cNvPicPr>
                      <a:picLocks noChangeAspect="1" noChangeArrowheads="1"/>
                    </pic:cNvPicPr>
                  </pic:nvPicPr>
                  <pic:blipFill>
                    <a:blip r:embed="rId97"/>
                    <a:stretch>
                      <a:fillRect/>
                    </a:stretch>
                  </pic:blipFill>
                  <pic:spPr bwMode="auto">
                    <a:xfrm>
                      <a:off x="0" y="0"/>
                      <a:ext cx="7620000" cy="1552575"/>
                    </a:xfrm>
                    <a:prstGeom prst="rect">
                      <a:avLst/>
                    </a:prstGeom>
                  </pic:spPr>
                </pic:pic>
              </a:graphicData>
            </a:graphic>
          </wp:inline>
        </w:drawing>
      </w:r>
    </w:p>
    <w:p>
      <w:pPr>
        <w:pStyle w:val="Heading1"/>
        <w:pBdr/>
        <w:spacing w:before="0" w:after="705"/>
        <w:ind w:left="200" w:right="0" w:hanging="0"/>
        <w:jc w:val="left"/>
        <w:rPr>
          <w:rFonts w:ascii="Arial" w:hAnsi="Arial"/>
          <w:b/>
          <w:i w:val="false"/>
          <w:caps w:val="false"/>
          <w:smallCaps w:val="false"/>
          <w:color w:val="FFFFFF"/>
          <w:sz w:val="59"/>
        </w:rPr>
      </w:pPr>
      <w:bookmarkStart w:id="70" w:name="new_id-64"/>
      <w:bookmarkEnd w:id="70"/>
      <w:r>
        <w:rPr>
          <w:rFonts w:ascii="Arial" w:hAnsi="Arial"/>
          <w:b/>
          <w:i w:val="false"/>
          <w:caps w:val="false"/>
          <w:smallCaps w:val="false"/>
          <w:color w:val="FFFFFF"/>
          <w:sz w:val="59"/>
        </w:rPr>
        <w:t xml:space="preserve">THE COMPANY </w:t>
      </w:r>
    </w:p>
    <w:p>
      <w:pPr>
        <w:pStyle w:val="TextBody"/>
        <w:pBdr/>
        <w:spacing w:before="0" w:after="0"/>
        <w:ind w:left="0" w:right="0" w:hanging="0"/>
        <w:jc w:val="left"/>
        <w:rPr>
          <w:caps w:val="false"/>
          <w:smallCaps w:val="false"/>
        </w:rPr>
      </w:pPr>
      <w:r>
        <w:rPr>
          <w:caps w:val="false"/>
          <w:smallCaps w:val="false"/>
        </w:rPr>
        <w:t> </w:t>
      </w:r>
    </w:p>
    <w:p>
      <w:pPr>
        <w:pStyle w:val="Heading1"/>
        <w:pBdr/>
        <w:spacing w:before="0" w:after="330"/>
        <w:ind w:left="0" w:right="0" w:hanging="0"/>
        <w:jc w:val="left"/>
        <w:rPr>
          <w:rFonts w:ascii="Arial" w:hAnsi="Arial"/>
          <w:b/>
          <w:i w:val="false"/>
          <w:caps w:val="false"/>
          <w:smallCaps w:val="false"/>
          <w:color w:val="245BA7"/>
          <w:sz w:val="54"/>
        </w:rPr>
      </w:pPr>
      <w:bookmarkStart w:id="71" w:name="new_id-65"/>
      <w:bookmarkEnd w:id="71"/>
      <w:r>
        <w:rPr>
          <w:rFonts w:ascii="Arial" w:hAnsi="Arial"/>
          <w:b/>
          <w:i w:val="false"/>
          <w:caps w:val="false"/>
          <w:smallCaps w:val="false"/>
          <w:color w:val="245BA7"/>
          <w:sz w:val="54"/>
        </w:rPr>
        <w:t xml:space="preserve">EXECUTIVE OFFICERS OF THE COMPANY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Our leadership team possesses deep and diverse industry knowledge, a passion for science, and a shared commitment to help transform lives. All officers of the Company are appointed annually and serve at the pleasure of the board of directors. The names, positions, ages, and background of the Company’s executive officers as of April 11, 2023 are set forth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tbl>
      <w:tblPr>
        <w:tblW w:w="10205" w:type="dxa"/>
        <w:jc w:val="left"/>
        <w:tblInd w:w="0" w:type="dxa"/>
        <w:tblCellMar>
          <w:top w:w="28" w:type="dxa"/>
          <w:left w:w="0" w:type="dxa"/>
          <w:bottom w:w="28" w:type="dxa"/>
          <w:right w:w="0" w:type="dxa"/>
        </w:tblCellMar>
      </w:tblPr>
      <w:tblGrid>
        <w:gridCol w:w="1531"/>
        <w:gridCol w:w="8674"/>
      </w:tblGrid>
      <w:tr>
        <w:trPr/>
        <w:tc>
          <w:tcPr>
            <w:tcW w:w="1531" w:type="dxa"/>
            <w:tcBorders>
              <w:top w:val="single" w:sz="12" w:space="0" w:color="245BA7"/>
              <w:bottom w:val="single" w:sz="12" w:space="0" w:color="245BA7"/>
            </w:tcBorders>
            <w:shd w:fill="auto" w:val="clear"/>
            <w:vAlign w:val="center"/>
          </w:tcPr>
          <w:p>
            <w:pPr>
              <w:pStyle w:val="TableContents"/>
              <w:spacing w:before="0" w:after="283"/>
              <w:jc w:val="left"/>
              <w:rPr/>
            </w:pPr>
            <w:r>
              <w:rPr/>
              <w:drawing>
                <wp:inline distT="114300" distB="114300" distL="0" distR="0">
                  <wp:extent cx="904875" cy="904875"/>
                  <wp:effectExtent l="0" t="0" r="0" b="0"/>
                  <wp:docPr id="13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7" descr=""/>
                          <pic:cNvPicPr>
                            <a:picLocks noChangeAspect="1" noChangeArrowheads="1"/>
                          </pic:cNvPicPr>
                        </pic:nvPicPr>
                        <pic:blipFill>
                          <a:blip r:embed="rId98"/>
                          <a:stretch>
                            <a:fillRect/>
                          </a:stretch>
                        </pic:blipFill>
                        <pic:spPr bwMode="auto">
                          <a:xfrm>
                            <a:off x="0" y="0"/>
                            <a:ext cx="904875" cy="904875"/>
                          </a:xfrm>
                          <a:prstGeom prst="rect">
                            <a:avLst/>
                          </a:prstGeom>
                        </pic:spPr>
                      </pic:pic>
                    </a:graphicData>
                  </a:graphic>
                </wp:inline>
              </w:drawing>
            </w:r>
            <w:r>
              <w:rPr/>
              <w:t xml:space="preserve"> </w:t>
            </w:r>
          </w:p>
        </w:tc>
        <w:tc>
          <w:tcPr>
            <w:tcW w:w="8674" w:type="dxa"/>
            <w:tcBorders>
              <w:top w:val="single" w:sz="12" w:space="0" w:color="245BA7"/>
              <w:bottom w:val="single" w:sz="12" w:space="0" w:color="245BA7"/>
            </w:tcBorders>
            <w:shd w:fill="auto" w:val="clear"/>
            <w:tcMar>
              <w:top w:w="105" w:type="dxa"/>
              <w:bottom w:w="105" w:type="dxa"/>
            </w:tcMar>
            <w:vAlign w:val="center"/>
          </w:tcPr>
          <w:p>
            <w:pPr>
              <w:pStyle w:val="TableContents"/>
              <w:pBdr/>
              <w:spacing w:before="45" w:after="45"/>
              <w:ind w:left="0" w:right="0" w:hanging="0"/>
              <w:rPr>
                <w:rFonts w:ascii="Arial" w:hAnsi="Arial"/>
                <w:color w:val="000000"/>
                <w:sz w:val="20"/>
              </w:rPr>
            </w:pPr>
            <w:r>
              <w:rPr>
                <w:rFonts w:ascii="Arial" w:hAnsi="Arial"/>
                <w:b/>
                <w:color w:val="D31B5D"/>
                <w:sz w:val="20"/>
              </w:rPr>
              <w:t>Leonard S. Schleifer, M.D., Ph.D.,</w:t>
            </w:r>
            <w:r>
              <w:rPr>
                <w:rFonts w:ascii="Arial" w:hAnsi="Arial"/>
                <w:color w:val="000000"/>
                <w:sz w:val="20"/>
              </w:rPr>
              <w:t xml:space="preserve"> 70, founded the Company in 1988, has been a director and its President and Chief Executive Officer since its inception, and served as Chair of the Board from 1990 through 1994. Dr. Schleifer, together with Regeneron’s founding scientist, Dr. Yancopoulos, built and has managed the Company over the past 35 years. Dr. Schleifer received his M.D. and Ph.D. in Pharmacology from the University of Virginia. Dr. Schleifer is a licensed physician and is certified in Neurology by the American Board of Psychiatry and Neurology.</w:t>
            </w:r>
          </w:p>
        </w:tc>
      </w:tr>
      <w:tr>
        <w:trPr/>
        <w:tc>
          <w:tcPr>
            <w:tcW w:w="1531" w:type="dxa"/>
            <w:tcBorders>
              <w:bottom w:val="single" w:sz="12" w:space="0" w:color="245BA7"/>
            </w:tcBorders>
            <w:shd w:fill="auto" w:val="clear"/>
            <w:tcMar>
              <w:top w:w="0" w:type="dxa"/>
            </w:tcMar>
            <w:vAlign w:val="center"/>
          </w:tcPr>
          <w:p>
            <w:pPr>
              <w:pStyle w:val="TableContents"/>
              <w:spacing w:before="0" w:after="283"/>
              <w:jc w:val="left"/>
              <w:rPr/>
            </w:pPr>
            <w:r>
              <w:rPr/>
              <w:drawing>
                <wp:inline distT="114300" distB="114300" distL="0" distR="0">
                  <wp:extent cx="904875" cy="904875"/>
                  <wp:effectExtent l="0" t="0" r="0" b="0"/>
                  <wp:docPr id="13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8" descr=""/>
                          <pic:cNvPicPr>
                            <a:picLocks noChangeAspect="1" noChangeArrowheads="1"/>
                          </pic:cNvPicPr>
                        </pic:nvPicPr>
                        <pic:blipFill>
                          <a:blip r:embed="rId99"/>
                          <a:stretch>
                            <a:fillRect/>
                          </a:stretch>
                        </pic:blipFill>
                        <pic:spPr bwMode="auto">
                          <a:xfrm>
                            <a:off x="0" y="0"/>
                            <a:ext cx="904875" cy="904875"/>
                          </a:xfrm>
                          <a:prstGeom prst="rect">
                            <a:avLst/>
                          </a:prstGeom>
                        </pic:spPr>
                      </pic:pic>
                    </a:graphicData>
                  </a:graphic>
                </wp:inline>
              </w:drawing>
            </w:r>
            <w:r>
              <w:rPr/>
              <w:t xml:space="preserve"> </w:t>
            </w:r>
          </w:p>
        </w:tc>
        <w:tc>
          <w:tcPr>
            <w:tcW w:w="8674" w:type="dxa"/>
            <w:tcBorders>
              <w:bottom w:val="single" w:sz="12" w:space="0" w:color="245BA7"/>
            </w:tcBorders>
            <w:shd w:fill="auto" w:val="clear"/>
            <w:tcMar>
              <w:top w:w="0" w:type="dxa"/>
              <w:bottom w:w="105" w:type="dxa"/>
            </w:tcMar>
            <w:vAlign w:val="center"/>
          </w:tcPr>
          <w:p>
            <w:pPr>
              <w:pStyle w:val="TableContents"/>
              <w:pBdr/>
              <w:spacing w:before="45" w:after="45"/>
              <w:ind w:left="0" w:right="0" w:hanging="0"/>
              <w:rPr>
                <w:rFonts w:ascii="Arial" w:hAnsi="Arial"/>
                <w:color w:val="000000"/>
                <w:sz w:val="20"/>
              </w:rPr>
            </w:pPr>
            <w:r>
              <w:rPr>
                <w:rFonts w:ascii="Arial" w:hAnsi="Arial"/>
                <w:b/>
                <w:color w:val="D31B5D"/>
                <w:sz w:val="20"/>
              </w:rPr>
              <w:t xml:space="preserve">George D. Yancopoulos, M.D., Ph.D., </w:t>
            </w:r>
            <w:r>
              <w:rPr>
                <w:rFonts w:ascii="Arial" w:hAnsi="Arial"/>
                <w:color w:val="000000"/>
                <w:sz w:val="20"/>
              </w:rPr>
              <w:t xml:space="preserve">63, joined Dr. Schleifer in 1989 as founding scientist of the Company, and together they built and have managed the Company since then. Dr. Yancopoulos is currently President and Chief Scientific Officer, and has served on the board since 2001.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and/or developer of the nine FDA-approved drugs the Company has developed, EYLEA, Praluent, Dupixent, Kevzara, Libtayo, Evkeeza, Inmazeb, ZALTRAP, and ARCALYST, as well as of its foundation technologies, including the TRAP technology, </w:t>
            </w:r>
            <w:r>
              <w:rPr>
                <w:rFonts w:ascii="Arial" w:hAnsi="Arial"/>
                <w:i/>
                <w:color w:val="000000"/>
                <w:sz w:val="20"/>
              </w:rPr>
              <w:t>VelociGene</w:t>
            </w:r>
            <w:r>
              <w:rPr>
                <w:rFonts w:ascii="Arial" w:hAnsi="Arial"/>
                <w:color w:val="000000"/>
                <w:sz w:val="17"/>
              </w:rPr>
              <w:t>®</w:t>
            </w:r>
            <w:r>
              <w:rPr>
                <w:rFonts w:ascii="Arial" w:hAnsi="Arial"/>
                <w:color w:val="000000"/>
                <w:sz w:val="20"/>
              </w:rPr>
              <w:t xml:space="preserve">, and </w:t>
            </w:r>
            <w:r>
              <w:rPr>
                <w:rFonts w:ascii="Arial" w:hAnsi="Arial"/>
                <w:i/>
                <w:color w:val="000000"/>
                <w:sz w:val="20"/>
              </w:rPr>
              <w:t>VelocImmune</w:t>
            </w:r>
            <w:r>
              <w:rPr>
                <w:rFonts w:ascii="Arial" w:hAnsi="Arial"/>
                <w:color w:val="000000"/>
                <w:sz w:val="17"/>
              </w:rPr>
              <w:t>®</w:t>
            </w:r>
            <w:r>
              <w:rPr>
                <w:rFonts w:ascii="Arial" w:hAnsi="Arial"/>
                <w:color w:val="000000"/>
                <w:sz w:val="20"/>
              </w:rPr>
              <w:t>.</w:t>
            </w:r>
          </w:p>
        </w:tc>
      </w:tr>
      <w:tr>
        <w:trPr/>
        <w:tc>
          <w:tcPr>
            <w:tcW w:w="1531" w:type="dxa"/>
            <w:tcBorders>
              <w:bottom w:val="single" w:sz="12" w:space="0" w:color="245BA7"/>
            </w:tcBorders>
            <w:shd w:fill="auto" w:val="clear"/>
            <w:tcMar>
              <w:top w:w="0" w:type="dxa"/>
            </w:tcMar>
            <w:vAlign w:val="center"/>
          </w:tcPr>
          <w:p>
            <w:pPr>
              <w:pStyle w:val="TableContents"/>
              <w:spacing w:before="0" w:after="283"/>
              <w:jc w:val="left"/>
              <w:rPr/>
            </w:pPr>
            <w:r>
              <w:rPr/>
              <w:drawing>
                <wp:inline distT="114300" distB="114300" distL="0" distR="0">
                  <wp:extent cx="904875" cy="904875"/>
                  <wp:effectExtent l="0" t="0" r="0" b="0"/>
                  <wp:docPr id="13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99" descr=""/>
                          <pic:cNvPicPr>
                            <a:picLocks noChangeAspect="1" noChangeArrowheads="1"/>
                          </pic:cNvPicPr>
                        </pic:nvPicPr>
                        <pic:blipFill>
                          <a:blip r:embed="rId100"/>
                          <a:stretch>
                            <a:fillRect/>
                          </a:stretch>
                        </pic:blipFill>
                        <pic:spPr bwMode="auto">
                          <a:xfrm>
                            <a:off x="0" y="0"/>
                            <a:ext cx="904875" cy="904875"/>
                          </a:xfrm>
                          <a:prstGeom prst="rect">
                            <a:avLst/>
                          </a:prstGeom>
                        </pic:spPr>
                      </pic:pic>
                    </a:graphicData>
                  </a:graphic>
                </wp:inline>
              </w:drawing>
            </w:r>
            <w:r>
              <w:rPr/>
              <w:t xml:space="preserve"> </w:t>
            </w:r>
          </w:p>
        </w:tc>
        <w:tc>
          <w:tcPr>
            <w:tcW w:w="8674" w:type="dxa"/>
            <w:tcBorders>
              <w:bottom w:val="single" w:sz="12" w:space="0" w:color="245BA7"/>
            </w:tcBorders>
            <w:shd w:fill="auto" w:val="clear"/>
            <w:tcMar>
              <w:top w:w="0" w:type="dxa"/>
              <w:bottom w:w="105" w:type="dxa"/>
            </w:tcMar>
            <w:vAlign w:val="center"/>
          </w:tcPr>
          <w:p>
            <w:pPr>
              <w:pStyle w:val="TableContents"/>
              <w:pBdr/>
              <w:spacing w:before="45" w:after="45"/>
              <w:ind w:left="0" w:right="0" w:hanging="0"/>
              <w:rPr>
                <w:rFonts w:ascii="Arial" w:hAnsi="Arial"/>
                <w:color w:val="000000"/>
                <w:sz w:val="20"/>
              </w:rPr>
            </w:pPr>
            <w:r>
              <w:rPr>
                <w:rFonts w:ascii="Arial" w:hAnsi="Arial"/>
                <w:b/>
                <w:color w:val="D31B5D"/>
                <w:sz w:val="20"/>
              </w:rPr>
              <w:t>Christopher Fenimore,</w:t>
            </w:r>
            <w:r>
              <w:rPr>
                <w:rFonts w:ascii="Arial" w:hAnsi="Arial"/>
                <w:color w:val="000000"/>
                <w:sz w:val="20"/>
              </w:rPr>
              <w:t xml:space="preserve"> 52, has been Senior Vice President, Controller since January 2021. He previously served as Vice President, Controller from March 2017 to December 2020, as Vice President, Deputy Controller from January 2017 to March 2017, and as Vice President, Financial Planning from January 2012 to December 2016. Prior to joining the Company in 2003, he was Vice President, Finance at Mojave Therapeutics, Inc. Mr. Fenimore’s prior experience includes working as a supervising senior accountant at KPMG, as well as healthcare industry-focused venture capital and investment banking roles. Mr. Fenimore holds an M.A. in Biotechnology from Columbia University, an M.B.A. in Professional Accounting from Rutgers Business School, and a B.A. in Economics from Rutgers University. Mr. Fenimore is a Certified Public Accountant in the State of New York.</w:t>
            </w:r>
          </w:p>
        </w:tc>
      </w:tr>
      <w:tr>
        <w:trPr/>
        <w:tc>
          <w:tcPr>
            <w:tcW w:w="1531" w:type="dxa"/>
            <w:tcBorders>
              <w:bottom w:val="single" w:sz="12" w:space="0" w:color="245BA7"/>
            </w:tcBorders>
            <w:shd w:fill="auto" w:val="clear"/>
            <w:tcMar>
              <w:top w:w="0" w:type="dxa"/>
            </w:tcMar>
            <w:vAlign w:val="center"/>
          </w:tcPr>
          <w:p>
            <w:pPr>
              <w:pStyle w:val="TableContents"/>
              <w:spacing w:before="0" w:after="283"/>
              <w:jc w:val="left"/>
              <w:rPr/>
            </w:pPr>
            <w:r>
              <w:rPr/>
              <w:drawing>
                <wp:inline distT="114300" distB="114300" distL="0" distR="0">
                  <wp:extent cx="904875" cy="904875"/>
                  <wp:effectExtent l="0" t="0" r="0" b="0"/>
                  <wp:docPr id="14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0" descr=""/>
                          <pic:cNvPicPr>
                            <a:picLocks noChangeAspect="1" noChangeArrowheads="1"/>
                          </pic:cNvPicPr>
                        </pic:nvPicPr>
                        <pic:blipFill>
                          <a:blip r:embed="rId101"/>
                          <a:stretch>
                            <a:fillRect/>
                          </a:stretch>
                        </pic:blipFill>
                        <pic:spPr bwMode="auto">
                          <a:xfrm>
                            <a:off x="0" y="0"/>
                            <a:ext cx="904875" cy="904875"/>
                          </a:xfrm>
                          <a:prstGeom prst="rect">
                            <a:avLst/>
                          </a:prstGeom>
                        </pic:spPr>
                      </pic:pic>
                    </a:graphicData>
                  </a:graphic>
                </wp:inline>
              </w:drawing>
            </w:r>
            <w:r>
              <w:rPr/>
              <w:t xml:space="preserve"> </w:t>
            </w:r>
          </w:p>
        </w:tc>
        <w:tc>
          <w:tcPr>
            <w:tcW w:w="8674" w:type="dxa"/>
            <w:tcBorders>
              <w:bottom w:val="single" w:sz="12" w:space="0" w:color="245BA7"/>
            </w:tcBorders>
            <w:shd w:fill="auto" w:val="clear"/>
            <w:tcMar>
              <w:top w:w="0" w:type="dxa"/>
              <w:bottom w:w="105" w:type="dxa"/>
            </w:tcMar>
            <w:vAlign w:val="center"/>
          </w:tcPr>
          <w:p>
            <w:pPr>
              <w:pStyle w:val="TableContents"/>
              <w:pBdr/>
              <w:spacing w:before="45" w:after="45"/>
              <w:ind w:left="0" w:right="0" w:hanging="0"/>
              <w:rPr>
                <w:rFonts w:ascii="Arial" w:hAnsi="Arial"/>
                <w:color w:val="000000"/>
                <w:sz w:val="20"/>
              </w:rPr>
            </w:pPr>
            <w:r>
              <w:rPr>
                <w:rFonts w:ascii="Arial" w:hAnsi="Arial"/>
                <w:b/>
                <w:color w:val="D31B5D"/>
                <w:sz w:val="20"/>
              </w:rPr>
              <w:t>Robert E. Landry,</w:t>
            </w:r>
            <w:r>
              <w:rPr>
                <w:rFonts w:ascii="Arial" w:hAnsi="Arial"/>
                <w:color w:val="000000"/>
                <w:sz w:val="20"/>
              </w:rPr>
              <w:t xml:space="preserve"> 59, has been Executive Vice President, Finance since January 2019 and Chief Financial Officer since October 2013. From September 2013 to December 2018, he served as Senior Vice President, Finance. Previously, Mr. Landry served as Senior Vice President, Treasurer, at Pfizer Inc. from October 2012 to August 2013 and Senior Vice President—Finance, Pfizer’s Diversified Business, from October 2009 to October 2012. Prior to those roles, Mr. Landry held a number of positions at Wyeth, which was acquired by Pfizer Inc. in October 2009, including Treasurer and Principal Corporate Officer from 2007 to 2009, Director of Pharmaceutical Marketing and Sales of Wyeth’s Australian affiliate from 2006 to 2007, and Chief Financial Officer of Wyeth’s Australian and New Zealand affiliates from 2004 to 2006. Mr. Landry holds a B.B.A. in Accounting from the University of Notre Dame.</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4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1" descr=""/>
                          <pic:cNvPicPr>
                            <a:picLocks noChangeAspect="1" noChangeArrowheads="1"/>
                          </pic:cNvPicPr>
                        </pic:nvPicPr>
                        <pic:blipFill>
                          <a:blip r:embed="rId102"/>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34</w:t>
            </w:r>
          </w:p>
        </w:tc>
      </w:tr>
    </w:tbl>
    <w:p>
      <w:pPr>
        <w:pStyle w:val="HorizontalLine"/>
        <w:rPr/>
      </w:pPr>
      <w:r>
        <w:rPr/>
      </w:r>
      <w:r>
        <w:br w:type="page"/>
      </w:r>
    </w:p>
    <w:p>
      <w:pPr>
        <w:pStyle w:val="TextBody"/>
        <w:spacing w:lineRule="atLeast" w:line="200" w:before="0" w:after="560"/>
        <w:ind w:left="0" w:right="0" w:hanging="0"/>
        <w:jc w:val="left"/>
        <w:rPr/>
      </w:pPr>
      <w:hyperlink w:anchor="_TOC">
        <w:r>
          <w:rPr>
            <w:rStyle w:val="InternetLink"/>
            <w:rFonts w:ascii="Arial" w:hAnsi="Arial"/>
            <w:b/>
            <w:i w:val="false"/>
            <w:caps w:val="false"/>
            <w:smallCaps w:val="false"/>
            <w:color w:val="000FFF"/>
            <w:sz w:val="16"/>
          </w:rPr>
          <w:t>Back to Contents</w:t>
        </w:r>
      </w:hyperlink>
      <w:hyperlink w:anchor="_TOC">
        <w:r>
          <w:rPr>
            <w:rStyle w:val="InternetLink"/>
            <w:rFonts w:ascii="Arial" w:hAnsi="Arial"/>
            <w:b w:val="false"/>
            <w:i w:val="false"/>
            <w:caps w:val="false"/>
            <w:smallCaps w:val="false"/>
            <w:sz w:val="16"/>
          </w:rPr>
          <w:t xml:space="preserve"> </w:t>
        </w:r>
      </w:hyperlink>
    </w:p>
    <w:tbl>
      <w:tblPr>
        <w:tblW w:w="10205" w:type="dxa"/>
        <w:jc w:val="left"/>
        <w:tblInd w:w="0" w:type="dxa"/>
        <w:tblCellMar>
          <w:top w:w="0" w:type="dxa"/>
          <w:left w:w="0" w:type="dxa"/>
          <w:bottom w:w="28" w:type="dxa"/>
          <w:right w:w="0" w:type="dxa"/>
        </w:tblCellMar>
      </w:tblPr>
      <w:tblGrid>
        <w:gridCol w:w="1529"/>
        <w:gridCol w:w="8676"/>
      </w:tblGrid>
      <w:tr>
        <w:trPr/>
        <w:tc>
          <w:tcPr>
            <w:tcW w:w="1529" w:type="dxa"/>
            <w:tcBorders>
              <w:bottom w:val="single" w:sz="12" w:space="0" w:color="245BA7"/>
            </w:tcBorders>
            <w:shd w:fill="auto" w:val="clear"/>
            <w:vAlign w:val="center"/>
          </w:tcPr>
          <w:p>
            <w:pPr>
              <w:pStyle w:val="TableContents"/>
              <w:spacing w:before="0" w:after="283"/>
              <w:jc w:val="left"/>
              <w:rPr/>
            </w:pPr>
            <w:r>
              <w:rPr/>
              <w:drawing>
                <wp:inline distT="114300" distB="114300" distL="0" distR="0">
                  <wp:extent cx="904875" cy="904875"/>
                  <wp:effectExtent l="0" t="0" r="0" b="0"/>
                  <wp:docPr id="14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2" descr=""/>
                          <pic:cNvPicPr>
                            <a:picLocks noChangeAspect="1" noChangeArrowheads="1"/>
                          </pic:cNvPicPr>
                        </pic:nvPicPr>
                        <pic:blipFill>
                          <a:blip r:embed="rId103"/>
                          <a:stretch>
                            <a:fillRect/>
                          </a:stretch>
                        </pic:blipFill>
                        <pic:spPr bwMode="auto">
                          <a:xfrm>
                            <a:off x="0" y="0"/>
                            <a:ext cx="904875" cy="904875"/>
                          </a:xfrm>
                          <a:prstGeom prst="rect">
                            <a:avLst/>
                          </a:prstGeom>
                        </pic:spPr>
                      </pic:pic>
                    </a:graphicData>
                  </a:graphic>
                </wp:inline>
              </w:drawing>
            </w:r>
            <w:r>
              <w:rPr/>
              <w:t xml:space="preserve"> </w:t>
            </w:r>
          </w:p>
        </w:tc>
        <w:tc>
          <w:tcPr>
            <w:tcW w:w="8676" w:type="dxa"/>
            <w:tcBorders>
              <w:bottom w:val="single" w:sz="12" w:space="0" w:color="245BA7"/>
            </w:tcBorders>
            <w:shd w:fill="auto" w:val="clear"/>
            <w:tcMar>
              <w:bottom w:w="105" w:type="dxa"/>
            </w:tcMar>
            <w:vAlign w:val="center"/>
          </w:tcPr>
          <w:p>
            <w:pPr>
              <w:pStyle w:val="TableContents"/>
              <w:pBdr/>
              <w:spacing w:before="45" w:after="45"/>
              <w:ind w:left="0" w:right="0" w:hanging="0"/>
              <w:rPr>
                <w:rFonts w:ascii="Arial" w:hAnsi="Arial"/>
                <w:color w:val="000000"/>
                <w:sz w:val="20"/>
              </w:rPr>
            </w:pPr>
            <w:r>
              <w:rPr>
                <w:rFonts w:ascii="Arial" w:hAnsi="Arial"/>
                <w:b/>
                <w:color w:val="D31B5D"/>
                <w:sz w:val="20"/>
              </w:rPr>
              <w:t xml:space="preserve">Joseph J. LaRosa, </w:t>
            </w:r>
            <w:r>
              <w:rPr>
                <w:rFonts w:ascii="Arial" w:hAnsi="Arial"/>
                <w:color w:val="000000"/>
                <w:sz w:val="20"/>
              </w:rPr>
              <w:t>64, has been Executive Vice President, General Counsel and Secretary since January 2019. From September 2011 to December 2018, he served as Senior Vice President, General Counsel and Secretary. Before joining Regeneron, Mr. LaRosa was Senior Vice President, General Counsel, and Secretary at Nycomed US Inc. Mr. LaRosa’s prior experience includes working in a number of senior legal positions at Schering-Plough Corporation from 1993 to 2009, where he was a corporate officer and served most recently as Vice President, Legal Affairs, and a member of the Operations Management Team. Mr. LaRosa received his J.D. from New York University School of Law.</w:t>
            </w:r>
          </w:p>
        </w:tc>
      </w:tr>
      <w:tr>
        <w:trPr/>
        <w:tc>
          <w:tcPr>
            <w:tcW w:w="1529" w:type="dxa"/>
            <w:tcBorders>
              <w:bottom w:val="single" w:sz="12" w:space="0" w:color="245BA7"/>
            </w:tcBorders>
            <w:shd w:fill="auto" w:val="clear"/>
            <w:vAlign w:val="center"/>
          </w:tcPr>
          <w:p>
            <w:pPr>
              <w:pStyle w:val="TableContents"/>
              <w:spacing w:before="0" w:after="283"/>
              <w:jc w:val="left"/>
              <w:rPr/>
            </w:pPr>
            <w:r>
              <w:rPr/>
              <w:drawing>
                <wp:inline distT="114300" distB="114300" distL="0" distR="0">
                  <wp:extent cx="904875" cy="904875"/>
                  <wp:effectExtent l="0" t="0" r="0" b="0"/>
                  <wp:docPr id="14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03" descr=""/>
                          <pic:cNvPicPr>
                            <a:picLocks noChangeAspect="1" noChangeArrowheads="1"/>
                          </pic:cNvPicPr>
                        </pic:nvPicPr>
                        <pic:blipFill>
                          <a:blip r:embed="rId104"/>
                          <a:stretch>
                            <a:fillRect/>
                          </a:stretch>
                        </pic:blipFill>
                        <pic:spPr bwMode="auto">
                          <a:xfrm>
                            <a:off x="0" y="0"/>
                            <a:ext cx="904875" cy="904875"/>
                          </a:xfrm>
                          <a:prstGeom prst="rect">
                            <a:avLst/>
                          </a:prstGeom>
                        </pic:spPr>
                      </pic:pic>
                    </a:graphicData>
                  </a:graphic>
                </wp:inline>
              </w:drawing>
            </w:r>
            <w:r>
              <w:rPr/>
              <w:t xml:space="preserve"> </w:t>
            </w:r>
          </w:p>
        </w:tc>
        <w:tc>
          <w:tcPr>
            <w:tcW w:w="8676" w:type="dxa"/>
            <w:tcBorders>
              <w:bottom w:val="single" w:sz="12" w:space="0" w:color="245BA7"/>
            </w:tcBorders>
            <w:shd w:fill="auto" w:val="clear"/>
            <w:tcMar>
              <w:bottom w:w="105" w:type="dxa"/>
            </w:tcMar>
            <w:vAlign w:val="center"/>
          </w:tcPr>
          <w:p>
            <w:pPr>
              <w:pStyle w:val="TableContents"/>
              <w:pBdr/>
              <w:spacing w:before="45" w:after="45"/>
              <w:ind w:left="0" w:right="0" w:hanging="0"/>
              <w:rPr>
                <w:rFonts w:ascii="Arial" w:hAnsi="Arial"/>
                <w:color w:val="000000"/>
                <w:sz w:val="20"/>
              </w:rPr>
            </w:pPr>
            <w:r>
              <w:rPr>
                <w:rFonts w:ascii="Arial" w:hAnsi="Arial"/>
                <w:b/>
                <w:color w:val="D31B5D"/>
                <w:sz w:val="20"/>
              </w:rPr>
              <w:t>Marion McCourt,</w:t>
            </w:r>
            <w:r>
              <w:rPr>
                <w:rFonts w:ascii="Arial" w:hAnsi="Arial"/>
                <w:color w:val="000000"/>
                <w:sz w:val="20"/>
              </w:rPr>
              <w:t xml:space="preserve"> 63, has been Executive Vice President, Commercial since January 2021. She previously served as Senior Vice President, Commercial from February 2018 to December 2020. From April 2017 until joining the Company, Ms. McCourt served as the Principal Operating Officer and the Chief Operating Officer and President of Axovant Sciences, Inc. Ms. McCourt previously served as chief operating officer of Medivation, Inc. from February 2016 until its acquisition by Pfizer Inc. in September 2016. Previously, Ms. McCourt worked at Amgen Inc., where she most recently served as a Vice President in U.S. Commercial Operations from February 2014 to January 2016. From May 2013 to January 2014, Ms. McCourt served as Vice President and General Manager at Amgen where she was responsible for the bone health and primary care business unit. From 2012 to 2013, she was Chief Operating Officer for AstraZeneca U.S., a division of AstraZeneca plc. Her responsibilities included oversight and leadership of all U.S. commercial functions, including medical affairs, business development, finance, human resources, legal, operations, and corporate affairs. During her 12-year tenure at AstraZeneca, Ms. McCourt was President and Chief Executive Officer of AstraZeneca Canada Inc. from 2011 to 2012 and also held various other roles at AstraZeneca Pharmaceuticals LP, a subsidiary of AstraZeneca plc. Ms. McCourt received her B.S. in Biology from Lafayette College.</w:t>
            </w:r>
          </w:p>
        </w:tc>
      </w:tr>
      <w:tr>
        <w:trPr/>
        <w:tc>
          <w:tcPr>
            <w:tcW w:w="1529" w:type="dxa"/>
            <w:tcBorders>
              <w:bottom w:val="single" w:sz="12" w:space="0" w:color="245BA7"/>
            </w:tcBorders>
            <w:shd w:fill="auto" w:val="clear"/>
            <w:vAlign w:val="center"/>
          </w:tcPr>
          <w:p>
            <w:pPr>
              <w:pStyle w:val="TableContents"/>
              <w:spacing w:before="0" w:after="283"/>
              <w:jc w:val="left"/>
              <w:rPr/>
            </w:pPr>
            <w:r>
              <w:rPr/>
              <w:drawing>
                <wp:inline distT="114300" distB="114300" distL="0" distR="0">
                  <wp:extent cx="904875" cy="904875"/>
                  <wp:effectExtent l="0" t="0" r="0" b="0"/>
                  <wp:docPr id="14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4" descr=""/>
                          <pic:cNvPicPr>
                            <a:picLocks noChangeAspect="1" noChangeArrowheads="1"/>
                          </pic:cNvPicPr>
                        </pic:nvPicPr>
                        <pic:blipFill>
                          <a:blip r:embed="rId105"/>
                          <a:stretch>
                            <a:fillRect/>
                          </a:stretch>
                        </pic:blipFill>
                        <pic:spPr bwMode="auto">
                          <a:xfrm>
                            <a:off x="0" y="0"/>
                            <a:ext cx="904875" cy="904875"/>
                          </a:xfrm>
                          <a:prstGeom prst="rect">
                            <a:avLst/>
                          </a:prstGeom>
                        </pic:spPr>
                      </pic:pic>
                    </a:graphicData>
                  </a:graphic>
                </wp:inline>
              </w:drawing>
            </w:r>
            <w:r>
              <w:rPr/>
              <w:t xml:space="preserve"> </w:t>
            </w:r>
          </w:p>
        </w:tc>
        <w:tc>
          <w:tcPr>
            <w:tcW w:w="8676" w:type="dxa"/>
            <w:tcBorders>
              <w:bottom w:val="single" w:sz="12" w:space="0" w:color="245BA7"/>
            </w:tcBorders>
            <w:shd w:fill="auto" w:val="clear"/>
            <w:tcMar>
              <w:bottom w:w="105" w:type="dxa"/>
            </w:tcMar>
            <w:vAlign w:val="center"/>
          </w:tcPr>
          <w:p>
            <w:pPr>
              <w:pStyle w:val="TableContents"/>
              <w:pBdr/>
              <w:spacing w:before="45" w:after="45"/>
              <w:ind w:left="0" w:right="0" w:hanging="0"/>
              <w:rPr>
                <w:rFonts w:ascii="Arial" w:hAnsi="Arial"/>
                <w:color w:val="000000"/>
                <w:sz w:val="20"/>
              </w:rPr>
            </w:pPr>
            <w:r>
              <w:rPr>
                <w:rFonts w:ascii="Arial" w:hAnsi="Arial"/>
                <w:b/>
                <w:color w:val="D31B5D"/>
                <w:sz w:val="20"/>
              </w:rPr>
              <w:t>Andrew J. Murphy, Ph.D.,</w:t>
            </w:r>
            <w:r>
              <w:rPr>
                <w:rFonts w:ascii="Arial" w:hAnsi="Arial"/>
                <w:color w:val="000000"/>
                <w:sz w:val="20"/>
              </w:rPr>
              <w:t xml:space="preserve"> 65, has been Executive Vice President, Research since January 2019. He previously served as Senior Vice President, Research, Regeneron Laboratories from January 2013 to December 2018, as Vice President, Target Discovery from May 2005 to December 2012, as Vice President, Gene Discovery and Bioinformatics from January 2001 to May 2005, and Director of Genomics and Bioinformatics from May 1999 to December 2000. Dr. Murphy is a co-inventor of several of the Company’s key technologies, including </w:t>
            </w:r>
            <w:r>
              <w:rPr>
                <w:rFonts w:ascii="Arial" w:hAnsi="Arial"/>
                <w:i/>
                <w:color w:val="000000"/>
                <w:sz w:val="20"/>
              </w:rPr>
              <w:t>VelociGene</w:t>
            </w:r>
            <w:r>
              <w:rPr>
                <w:rFonts w:ascii="Arial" w:hAnsi="Arial"/>
                <w:color w:val="000000"/>
                <w:sz w:val="17"/>
              </w:rPr>
              <w:t>®</w:t>
            </w:r>
            <w:r>
              <w:rPr>
                <w:rFonts w:ascii="Arial" w:hAnsi="Arial"/>
                <w:color w:val="000000"/>
                <w:sz w:val="20"/>
              </w:rPr>
              <w:t xml:space="preserve"> and </w:t>
            </w:r>
            <w:r>
              <w:rPr>
                <w:rFonts w:ascii="Arial" w:hAnsi="Arial"/>
                <w:i/>
                <w:color w:val="000000"/>
                <w:sz w:val="20"/>
              </w:rPr>
              <w:t>VelocImmune</w:t>
            </w:r>
            <w:r>
              <w:rPr>
                <w:rFonts w:ascii="Arial" w:hAnsi="Arial"/>
                <w:color w:val="000000"/>
                <w:sz w:val="17"/>
              </w:rPr>
              <w:t>®</w:t>
            </w:r>
            <w:r>
              <w:rPr>
                <w:rFonts w:ascii="Arial" w:hAnsi="Arial"/>
                <w:color w:val="000000"/>
                <w:sz w:val="20"/>
              </w:rPr>
              <w:t>, and continues to lead several technology centers and therapeutic focus areas. He received his B.S. in Molecular Biology at the University of Wisconsin, and his Ph.D. in Human Genetics from Columbia University, College of Physicians and Surgeons.</w:t>
            </w:r>
          </w:p>
        </w:tc>
      </w:tr>
      <w:tr>
        <w:trPr/>
        <w:tc>
          <w:tcPr>
            <w:tcW w:w="1529" w:type="dxa"/>
            <w:tcBorders>
              <w:bottom w:val="single" w:sz="12" w:space="0" w:color="245BA7"/>
            </w:tcBorders>
            <w:shd w:fill="auto" w:val="clear"/>
            <w:vAlign w:val="center"/>
          </w:tcPr>
          <w:p>
            <w:pPr>
              <w:pStyle w:val="TableContents"/>
              <w:spacing w:before="0" w:after="283"/>
              <w:jc w:val="left"/>
              <w:rPr/>
            </w:pPr>
            <w:r>
              <w:rPr/>
              <w:drawing>
                <wp:inline distT="114300" distB="114300" distL="0" distR="0">
                  <wp:extent cx="904875" cy="904875"/>
                  <wp:effectExtent l="0" t="0" r="0" b="0"/>
                  <wp:docPr id="14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05" descr=""/>
                          <pic:cNvPicPr>
                            <a:picLocks noChangeAspect="1" noChangeArrowheads="1"/>
                          </pic:cNvPicPr>
                        </pic:nvPicPr>
                        <pic:blipFill>
                          <a:blip r:embed="rId106"/>
                          <a:stretch>
                            <a:fillRect/>
                          </a:stretch>
                        </pic:blipFill>
                        <pic:spPr bwMode="auto">
                          <a:xfrm>
                            <a:off x="0" y="0"/>
                            <a:ext cx="904875" cy="904875"/>
                          </a:xfrm>
                          <a:prstGeom prst="rect">
                            <a:avLst/>
                          </a:prstGeom>
                        </pic:spPr>
                      </pic:pic>
                    </a:graphicData>
                  </a:graphic>
                </wp:inline>
              </w:drawing>
            </w:r>
            <w:r>
              <w:rPr/>
              <w:t xml:space="preserve"> </w:t>
            </w:r>
          </w:p>
        </w:tc>
        <w:tc>
          <w:tcPr>
            <w:tcW w:w="8676" w:type="dxa"/>
            <w:tcBorders>
              <w:bottom w:val="single" w:sz="12" w:space="0" w:color="245BA7"/>
            </w:tcBorders>
            <w:shd w:fill="auto" w:val="clear"/>
            <w:tcMar>
              <w:bottom w:w="105" w:type="dxa"/>
            </w:tcMar>
            <w:vAlign w:val="center"/>
          </w:tcPr>
          <w:p>
            <w:pPr>
              <w:pStyle w:val="TableContents"/>
              <w:pBdr/>
              <w:spacing w:before="45" w:after="45"/>
              <w:ind w:left="0" w:right="0" w:hanging="0"/>
              <w:rPr>
                <w:rFonts w:ascii="Arial" w:hAnsi="Arial"/>
                <w:color w:val="000000"/>
                <w:sz w:val="20"/>
              </w:rPr>
            </w:pPr>
            <w:r>
              <w:rPr>
                <w:rFonts w:ascii="Arial" w:hAnsi="Arial"/>
                <w:b/>
                <w:color w:val="D31B5D"/>
                <w:sz w:val="20"/>
              </w:rPr>
              <w:t>Neil Stahl, Ph.D.,</w:t>
            </w:r>
            <w:r>
              <w:rPr>
                <w:rFonts w:ascii="Arial" w:hAnsi="Arial"/>
                <w:color w:val="000000"/>
                <w:sz w:val="20"/>
              </w:rPr>
              <w:t xml:space="preserve"> 66, has been Executive Vice President, Research and Development since January 2015. He previously served as Senior Vice President, Research and Development Sciences from January 2007 to December 2014, as Senior Vice President, Preclinical Development and Biomolecular Sciences from December 2000 to December 2007, and as Vice President, Preclinical Development and Biomolecular Sciences from January 2000 to December 2000. He joined the Company in 1991. Before becoming Vice President, Biomolecular Sciences in 1997, Dr. Stahl was Director, Cytokines and Signal Transduction. Dr. Stahl received his Ph.D. in Biochemistry from Brandeis University.</w:t>
            </w:r>
          </w:p>
        </w:tc>
      </w:tr>
      <w:tr>
        <w:trPr/>
        <w:tc>
          <w:tcPr>
            <w:tcW w:w="1529" w:type="dxa"/>
            <w:tcBorders>
              <w:bottom w:val="single" w:sz="12" w:space="0" w:color="245BA7"/>
            </w:tcBorders>
            <w:shd w:fill="auto" w:val="clear"/>
            <w:vAlign w:val="center"/>
          </w:tcPr>
          <w:p>
            <w:pPr>
              <w:pStyle w:val="TableContents"/>
              <w:spacing w:before="0" w:after="283"/>
              <w:jc w:val="left"/>
              <w:rPr/>
            </w:pPr>
            <w:r>
              <w:rPr/>
              <w:drawing>
                <wp:inline distT="114300" distB="114300" distL="0" distR="0">
                  <wp:extent cx="904875" cy="904875"/>
                  <wp:effectExtent l="0" t="0" r="0" b="0"/>
                  <wp:docPr id="14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6" descr=""/>
                          <pic:cNvPicPr>
                            <a:picLocks noChangeAspect="1" noChangeArrowheads="1"/>
                          </pic:cNvPicPr>
                        </pic:nvPicPr>
                        <pic:blipFill>
                          <a:blip r:embed="rId107"/>
                          <a:stretch>
                            <a:fillRect/>
                          </a:stretch>
                        </pic:blipFill>
                        <pic:spPr bwMode="auto">
                          <a:xfrm>
                            <a:off x="0" y="0"/>
                            <a:ext cx="904875" cy="904875"/>
                          </a:xfrm>
                          <a:prstGeom prst="rect">
                            <a:avLst/>
                          </a:prstGeom>
                        </pic:spPr>
                      </pic:pic>
                    </a:graphicData>
                  </a:graphic>
                </wp:inline>
              </w:drawing>
            </w:r>
            <w:r>
              <w:rPr/>
              <w:t xml:space="preserve"> </w:t>
            </w:r>
          </w:p>
        </w:tc>
        <w:tc>
          <w:tcPr>
            <w:tcW w:w="8676" w:type="dxa"/>
            <w:tcBorders>
              <w:bottom w:val="single" w:sz="12" w:space="0" w:color="245BA7"/>
            </w:tcBorders>
            <w:shd w:fill="auto" w:val="clear"/>
            <w:tcMar>
              <w:bottom w:w="105" w:type="dxa"/>
            </w:tcMar>
            <w:vAlign w:val="center"/>
          </w:tcPr>
          <w:p>
            <w:pPr>
              <w:pStyle w:val="TableContents"/>
              <w:pBdr/>
              <w:spacing w:before="45" w:after="45"/>
              <w:ind w:left="0" w:right="0" w:hanging="0"/>
              <w:rPr>
                <w:rFonts w:ascii="Arial" w:hAnsi="Arial"/>
                <w:color w:val="000000"/>
                <w:sz w:val="20"/>
              </w:rPr>
            </w:pPr>
            <w:r>
              <w:rPr>
                <w:rFonts w:ascii="Arial" w:hAnsi="Arial"/>
                <w:b/>
                <w:color w:val="D31B5D"/>
                <w:sz w:val="20"/>
              </w:rPr>
              <w:t>Daniel P. Van Plew,</w:t>
            </w:r>
            <w:r>
              <w:rPr>
                <w:rFonts w:ascii="Arial" w:hAnsi="Arial"/>
                <w:color w:val="000000"/>
                <w:sz w:val="20"/>
              </w:rPr>
              <w:t xml:space="preserve"> 50, has been Executive Vice President and General Manager, Industrial Operations and Product Supply since January 2016. From April 2008 to December 2015, Mr. Van Plew served as Senior Vice President and General Manager, Industrial Operations and Product Supply. Prior to that date, he served as Vice President and General Manager, Industrial Operations and Product Supply since joining the Company in 2007. From 2006 until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4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07" descr=""/>
                          <pic:cNvPicPr>
                            <a:picLocks noChangeAspect="1" noChangeArrowheads="1"/>
                          </pic:cNvPicPr>
                        </pic:nvPicPr>
                        <pic:blipFill>
                          <a:blip r:embed="rId108"/>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35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jc w:val="left"/>
        <w:rPr/>
      </w:pPr>
      <w:r>
        <w:rPr/>
        <w:drawing>
          <wp:inline distT="0" distB="0" distL="0" distR="0">
            <wp:extent cx="7620000" cy="1552575"/>
            <wp:effectExtent l="0" t="0" r="0" b="0"/>
            <wp:docPr id="14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08" descr=""/>
                    <pic:cNvPicPr>
                      <a:picLocks noChangeAspect="1" noChangeArrowheads="1"/>
                    </pic:cNvPicPr>
                  </pic:nvPicPr>
                  <pic:blipFill>
                    <a:blip r:embed="rId109"/>
                    <a:stretch>
                      <a:fillRect/>
                    </a:stretch>
                  </pic:blipFill>
                  <pic:spPr bwMode="auto">
                    <a:xfrm>
                      <a:off x="0" y="0"/>
                      <a:ext cx="7620000" cy="1552575"/>
                    </a:xfrm>
                    <a:prstGeom prst="rect">
                      <a:avLst/>
                    </a:prstGeom>
                  </pic:spPr>
                </pic:pic>
              </a:graphicData>
            </a:graphic>
          </wp:inline>
        </w:drawing>
      </w:r>
    </w:p>
    <w:p>
      <w:pPr>
        <w:pStyle w:val="Heading1"/>
        <w:pBdr/>
        <w:spacing w:before="0" w:after="0"/>
        <w:ind w:left="200" w:right="0" w:hanging="0"/>
        <w:rPr>
          <w:rFonts w:ascii="Arial" w:hAnsi="Arial"/>
          <w:b/>
          <w:i w:val="false"/>
          <w:caps w:val="false"/>
          <w:smallCaps w:val="false"/>
          <w:color w:val="245BA7"/>
          <w:sz w:val="54"/>
        </w:rPr>
      </w:pPr>
      <w:bookmarkStart w:id="72" w:name="new_id-66"/>
      <w:bookmarkEnd w:id="72"/>
      <w:r>
        <w:rPr>
          <w:rFonts w:ascii="Arial" w:hAnsi="Arial"/>
          <w:b/>
          <w:i w:val="false"/>
          <w:caps w:val="false"/>
          <w:smallCaps w:val="false"/>
          <w:color w:val="245BA7"/>
          <w:sz w:val="54"/>
        </w:rPr>
        <w:t xml:space="preserve">CORPORATE GOVERNANCE </w:t>
      </w:r>
    </w:p>
    <w:p>
      <w:pPr>
        <w:pStyle w:val="Heading3"/>
        <w:pBdr/>
        <w:spacing w:before="0" w:after="0"/>
        <w:ind w:left="0" w:right="0" w:hanging="0"/>
        <w:rPr>
          <w:rFonts w:ascii="Arial" w:hAnsi="Arial"/>
          <w:b/>
          <w:i w:val="false"/>
          <w:caps w:val="false"/>
          <w:smallCaps w:val="false"/>
          <w:color w:val="D31B5D"/>
          <w:sz w:val="30"/>
          <w:bdr w:val="single" w:sz="2" w:space="2" w:color="245BA7"/>
        </w:rPr>
      </w:pPr>
      <w:bookmarkStart w:id="73" w:name="new_id-67"/>
      <w:bookmarkEnd w:id="73"/>
      <w:r>
        <w:rPr>
          <w:rFonts w:ascii="Arial" w:hAnsi="Arial"/>
          <w:b/>
          <w:i w:val="false"/>
          <w:caps w:val="false"/>
          <w:smallCaps w:val="false"/>
          <w:color w:val="D31B5D"/>
          <w:sz w:val="30"/>
          <w:bdr w:val="single" w:sz="2" w:space="2" w:color="245BA7"/>
        </w:rPr>
        <w:t xml:space="preserve">OVERVIEW </w:t>
      </w:r>
    </w:p>
    <w:p>
      <w:pPr>
        <w:pStyle w:val="TextBody"/>
        <w:pBdr/>
        <w:spacing w:before="0" w:after="210"/>
        <w:ind w:left="0" w:right="0" w:hanging="0"/>
        <w:rPr>
          <w:rFonts w:ascii="Arial" w:hAnsi="Arial"/>
          <w:color w:val="000000"/>
          <w:sz w:val="21"/>
        </w:rPr>
      </w:pPr>
      <w:r>
        <w:rPr>
          <w:rFonts w:ascii="Arial" w:hAnsi="Arial"/>
          <w:color w:val="000000"/>
          <w:sz w:val="21"/>
        </w:rPr>
        <w:t>Regeneron is committed to good corporate governance, which we believe promotes the long-term interests of shareholders, strengthens the accountability of the board of directors and management, and helps build trust in the Company. The following chart summarizes key information regarding our corporate governance.</w:t>
      </w:r>
    </w:p>
    <w:tbl>
      <w:tblPr>
        <w:tblW w:w="10205" w:type="dxa"/>
        <w:jc w:val="left"/>
        <w:tblInd w:w="0" w:type="dxa"/>
        <w:tblCellMar>
          <w:top w:w="0" w:type="dxa"/>
          <w:left w:w="0" w:type="dxa"/>
          <w:bottom w:w="90" w:type="dxa"/>
          <w:right w:w="0" w:type="dxa"/>
        </w:tblCellMar>
      </w:tblPr>
      <w:tblGrid>
        <w:gridCol w:w="9261"/>
        <w:gridCol w:w="944"/>
      </w:tblGrid>
      <w:tr>
        <w:trPr/>
        <w:tc>
          <w:tcPr>
            <w:tcW w:w="9261" w:type="dxa"/>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Board and Other Governance Information</w:t>
            </w:r>
          </w:p>
        </w:tc>
        <w:tc>
          <w:tcPr>
            <w:tcW w:w="944" w:type="dxa"/>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2023*</w:t>
            </w:r>
          </w:p>
        </w:tc>
      </w:tr>
      <w:tr>
        <w:trPr/>
        <w:tc>
          <w:tcPr>
            <w:tcW w:w="9261"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Size of Board</w:t>
            </w:r>
          </w:p>
        </w:tc>
        <w:tc>
          <w:tcPr>
            <w:tcW w:w="944" w:type="dxa"/>
            <w:tcBorders>
              <w:bottom w:val="single" w:sz="2" w:space="0" w:color="575756"/>
            </w:tcBorders>
            <w:shd w:fill="auto" w:val="clear"/>
            <w:tcMar>
              <w:bottom w:w="45" w:type="dxa"/>
            </w:tcMar>
            <w:vAlign w:val="center"/>
          </w:tcPr>
          <w:p>
            <w:pPr>
              <w:pStyle w:val="TableContents"/>
              <w:pBdr/>
              <w:spacing w:before="0" w:after="45"/>
              <w:ind w:left="75" w:right="75" w:hanging="0"/>
              <w:jc w:val="center"/>
              <w:rPr>
                <w:rFonts w:ascii="Arial" w:hAnsi="Arial"/>
                <w:color w:val="000000"/>
                <w:sz w:val="20"/>
              </w:rPr>
            </w:pPr>
            <w:r>
              <w:rPr>
                <w:rFonts w:ascii="Arial" w:hAnsi="Arial"/>
                <w:color w:val="000000"/>
                <w:sz w:val="20"/>
              </w:rPr>
              <w:t>13</w:t>
            </w:r>
          </w:p>
        </w:tc>
      </w:tr>
      <w:tr>
        <w:trPr/>
        <w:tc>
          <w:tcPr>
            <w:tcW w:w="926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Number of Independent Directors</w:t>
            </w:r>
          </w:p>
        </w:tc>
        <w:tc>
          <w:tcPr>
            <w:tcW w:w="944"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75" w:hanging="0"/>
              <w:jc w:val="center"/>
              <w:rPr>
                <w:rFonts w:ascii="Arial" w:hAnsi="Arial"/>
                <w:color w:val="000000"/>
                <w:sz w:val="20"/>
              </w:rPr>
            </w:pPr>
            <w:r>
              <w:rPr>
                <w:rFonts w:ascii="Arial" w:hAnsi="Arial"/>
                <w:color w:val="000000"/>
                <w:sz w:val="20"/>
              </w:rPr>
              <w:t>10</w:t>
            </w:r>
          </w:p>
        </w:tc>
      </w:tr>
      <w:tr>
        <w:trPr/>
        <w:tc>
          <w:tcPr>
            <w:tcW w:w="9261"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Number of Female Directors</w:t>
            </w:r>
          </w:p>
        </w:tc>
        <w:tc>
          <w:tcPr>
            <w:tcW w:w="944" w:type="dxa"/>
            <w:tcBorders>
              <w:bottom w:val="single" w:sz="2" w:space="0" w:color="575756"/>
            </w:tcBorders>
            <w:shd w:fill="auto" w:val="clear"/>
            <w:tcMar>
              <w:bottom w:w="45" w:type="dxa"/>
            </w:tcMar>
            <w:vAlign w:val="center"/>
          </w:tcPr>
          <w:p>
            <w:pPr>
              <w:pStyle w:val="TableContents"/>
              <w:pBdr/>
              <w:spacing w:before="0" w:after="45"/>
              <w:ind w:left="75" w:right="75" w:hanging="0"/>
              <w:jc w:val="center"/>
              <w:rPr>
                <w:rFonts w:ascii="Arial" w:hAnsi="Arial"/>
                <w:color w:val="000000"/>
                <w:sz w:val="20"/>
              </w:rPr>
            </w:pPr>
            <w:r>
              <w:rPr>
                <w:rFonts w:ascii="Arial" w:hAnsi="Arial"/>
                <w:color w:val="000000"/>
                <w:sz w:val="20"/>
              </w:rPr>
              <w:t>3</w:t>
            </w:r>
          </w:p>
        </w:tc>
      </w:tr>
      <w:tr>
        <w:trPr/>
        <w:tc>
          <w:tcPr>
            <w:tcW w:w="926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Number of Directors Diverse by Race or Ethnicity</w:t>
            </w:r>
          </w:p>
        </w:tc>
        <w:tc>
          <w:tcPr>
            <w:tcW w:w="944"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75" w:hanging="0"/>
              <w:jc w:val="center"/>
              <w:rPr>
                <w:rFonts w:ascii="Arial" w:hAnsi="Arial"/>
                <w:color w:val="000000"/>
                <w:sz w:val="20"/>
              </w:rPr>
            </w:pPr>
            <w:r>
              <w:rPr>
                <w:rFonts w:ascii="Arial" w:hAnsi="Arial"/>
                <w:color w:val="000000"/>
                <w:sz w:val="20"/>
              </w:rPr>
              <w:t>4</w:t>
            </w:r>
          </w:p>
        </w:tc>
      </w:tr>
      <w:tr>
        <w:trPr/>
        <w:tc>
          <w:tcPr>
            <w:tcW w:w="9261"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Separate Chair and Chief Executive Officer</w:t>
            </w:r>
          </w:p>
        </w:tc>
        <w:tc>
          <w:tcPr>
            <w:tcW w:w="944" w:type="dxa"/>
            <w:tcBorders>
              <w:bottom w:val="single" w:sz="2" w:space="0" w:color="575756"/>
            </w:tcBorders>
            <w:shd w:fill="auto" w:val="clear"/>
            <w:tcMar>
              <w:bottom w:w="45" w:type="dxa"/>
            </w:tcMar>
            <w:vAlign w:val="center"/>
          </w:tcPr>
          <w:p>
            <w:pPr>
              <w:pStyle w:val="TableContents"/>
              <w:spacing w:before="0" w:after="283"/>
              <w:jc w:val="center"/>
              <w:rPr/>
            </w:pPr>
            <w:r>
              <w:rPr/>
              <w:drawing>
                <wp:inline distT="0" distB="0" distL="0" distR="0">
                  <wp:extent cx="123825" cy="95250"/>
                  <wp:effectExtent l="0" t="0" r="0" b="0"/>
                  <wp:docPr id="14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9" descr=""/>
                          <pic:cNvPicPr>
                            <a:picLocks noChangeAspect="1" noChangeArrowheads="1"/>
                          </pic:cNvPicPr>
                        </pic:nvPicPr>
                        <pic:blipFill>
                          <a:blip r:embed="rId110"/>
                          <a:stretch>
                            <a:fillRect/>
                          </a:stretch>
                        </pic:blipFill>
                        <pic:spPr bwMode="auto">
                          <a:xfrm>
                            <a:off x="0" y="0"/>
                            <a:ext cx="123825" cy="95250"/>
                          </a:xfrm>
                          <a:prstGeom prst="rect">
                            <a:avLst/>
                          </a:prstGeom>
                        </pic:spPr>
                      </pic:pic>
                    </a:graphicData>
                  </a:graphic>
                </wp:inline>
              </w:drawing>
            </w:r>
            <w:r>
              <w:rPr/>
              <w:t xml:space="preserve"> </w:t>
            </w:r>
          </w:p>
        </w:tc>
      </w:tr>
      <w:tr>
        <w:trPr/>
        <w:tc>
          <w:tcPr>
            <w:tcW w:w="926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Majority Voting in the Election of Directors</w:t>
            </w:r>
          </w:p>
        </w:tc>
        <w:tc>
          <w:tcPr>
            <w:tcW w:w="944"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spacing w:before="0" w:after="283"/>
              <w:jc w:val="center"/>
              <w:rPr/>
            </w:pPr>
            <w:r>
              <w:rPr/>
              <w:drawing>
                <wp:inline distT="0" distB="0" distL="0" distR="0">
                  <wp:extent cx="123825" cy="95250"/>
                  <wp:effectExtent l="0" t="0" r="0" b="0"/>
                  <wp:docPr id="15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0" descr=""/>
                          <pic:cNvPicPr>
                            <a:picLocks noChangeAspect="1" noChangeArrowheads="1"/>
                          </pic:cNvPicPr>
                        </pic:nvPicPr>
                        <pic:blipFill>
                          <a:blip r:embed="rId111"/>
                          <a:stretch>
                            <a:fillRect/>
                          </a:stretch>
                        </pic:blipFill>
                        <pic:spPr bwMode="auto">
                          <a:xfrm>
                            <a:off x="0" y="0"/>
                            <a:ext cx="123825" cy="95250"/>
                          </a:xfrm>
                          <a:prstGeom prst="rect">
                            <a:avLst/>
                          </a:prstGeom>
                        </pic:spPr>
                      </pic:pic>
                    </a:graphicData>
                  </a:graphic>
                </wp:inline>
              </w:drawing>
            </w:r>
            <w:r>
              <w:rPr/>
              <w:t xml:space="preserve"> </w:t>
            </w:r>
          </w:p>
        </w:tc>
      </w:tr>
      <w:tr>
        <w:trPr/>
        <w:tc>
          <w:tcPr>
            <w:tcW w:w="9261"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Director Resignation Policy</w:t>
            </w:r>
          </w:p>
        </w:tc>
        <w:tc>
          <w:tcPr>
            <w:tcW w:w="944" w:type="dxa"/>
            <w:tcBorders>
              <w:bottom w:val="single" w:sz="2" w:space="0" w:color="575756"/>
            </w:tcBorders>
            <w:shd w:fill="auto" w:val="clear"/>
            <w:tcMar>
              <w:bottom w:w="45" w:type="dxa"/>
            </w:tcMar>
            <w:vAlign w:val="center"/>
          </w:tcPr>
          <w:p>
            <w:pPr>
              <w:pStyle w:val="TableContents"/>
              <w:spacing w:before="0" w:after="283"/>
              <w:jc w:val="center"/>
              <w:rPr/>
            </w:pPr>
            <w:r>
              <w:rPr/>
              <w:drawing>
                <wp:inline distT="0" distB="0" distL="0" distR="0">
                  <wp:extent cx="123825" cy="95250"/>
                  <wp:effectExtent l="0" t="0" r="0" b="0"/>
                  <wp:docPr id="15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1" descr=""/>
                          <pic:cNvPicPr>
                            <a:picLocks noChangeAspect="1" noChangeArrowheads="1"/>
                          </pic:cNvPicPr>
                        </pic:nvPicPr>
                        <pic:blipFill>
                          <a:blip r:embed="rId112"/>
                          <a:stretch>
                            <a:fillRect/>
                          </a:stretch>
                        </pic:blipFill>
                        <pic:spPr bwMode="auto">
                          <a:xfrm>
                            <a:off x="0" y="0"/>
                            <a:ext cx="123825" cy="95250"/>
                          </a:xfrm>
                          <a:prstGeom prst="rect">
                            <a:avLst/>
                          </a:prstGeom>
                        </pic:spPr>
                      </pic:pic>
                    </a:graphicData>
                  </a:graphic>
                </wp:inline>
              </w:drawing>
            </w:r>
            <w:r>
              <w:rPr/>
              <w:t xml:space="preserve"> </w:t>
            </w:r>
          </w:p>
        </w:tc>
      </w:tr>
      <w:tr>
        <w:trPr/>
        <w:tc>
          <w:tcPr>
            <w:tcW w:w="926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Number of Meetings of the Board of Directors Held in 2022</w:t>
            </w:r>
          </w:p>
        </w:tc>
        <w:tc>
          <w:tcPr>
            <w:tcW w:w="944"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75" w:hanging="0"/>
              <w:jc w:val="center"/>
              <w:rPr>
                <w:rFonts w:ascii="Arial" w:hAnsi="Arial"/>
                <w:color w:val="000000"/>
                <w:sz w:val="20"/>
              </w:rPr>
            </w:pPr>
            <w:r>
              <w:rPr>
                <w:rFonts w:ascii="Arial" w:hAnsi="Arial"/>
                <w:color w:val="000000"/>
                <w:sz w:val="20"/>
              </w:rPr>
              <w:t>7</w:t>
            </w:r>
          </w:p>
        </w:tc>
      </w:tr>
      <w:tr>
        <w:trPr/>
        <w:tc>
          <w:tcPr>
            <w:tcW w:w="9261"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Executive Sessions of Independent Directors without Management Present</w:t>
            </w:r>
          </w:p>
        </w:tc>
        <w:tc>
          <w:tcPr>
            <w:tcW w:w="944" w:type="dxa"/>
            <w:tcBorders>
              <w:bottom w:val="single" w:sz="2" w:space="0" w:color="575756"/>
            </w:tcBorders>
            <w:shd w:fill="auto" w:val="clear"/>
            <w:tcMar>
              <w:bottom w:w="45" w:type="dxa"/>
            </w:tcMar>
            <w:vAlign w:val="center"/>
          </w:tcPr>
          <w:p>
            <w:pPr>
              <w:pStyle w:val="TableContents"/>
              <w:spacing w:before="0" w:after="283"/>
              <w:jc w:val="center"/>
              <w:rPr/>
            </w:pPr>
            <w:r>
              <w:rPr/>
              <w:drawing>
                <wp:inline distT="0" distB="0" distL="0" distR="0">
                  <wp:extent cx="123825" cy="95250"/>
                  <wp:effectExtent l="0" t="0" r="0" b="0"/>
                  <wp:docPr id="15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2" descr=""/>
                          <pic:cNvPicPr>
                            <a:picLocks noChangeAspect="1" noChangeArrowheads="1"/>
                          </pic:cNvPicPr>
                        </pic:nvPicPr>
                        <pic:blipFill>
                          <a:blip r:embed="rId113"/>
                          <a:stretch>
                            <a:fillRect/>
                          </a:stretch>
                        </pic:blipFill>
                        <pic:spPr bwMode="auto">
                          <a:xfrm>
                            <a:off x="0" y="0"/>
                            <a:ext cx="123825" cy="95250"/>
                          </a:xfrm>
                          <a:prstGeom prst="rect">
                            <a:avLst/>
                          </a:prstGeom>
                        </pic:spPr>
                      </pic:pic>
                    </a:graphicData>
                  </a:graphic>
                </wp:inline>
              </w:drawing>
            </w:r>
            <w:r>
              <w:rPr/>
              <w:t xml:space="preserve"> </w:t>
            </w:r>
          </w:p>
        </w:tc>
      </w:tr>
      <w:tr>
        <w:trPr/>
        <w:tc>
          <w:tcPr>
            <w:tcW w:w="926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Independent Presiding Director</w:t>
            </w:r>
          </w:p>
        </w:tc>
        <w:tc>
          <w:tcPr>
            <w:tcW w:w="944"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spacing w:before="0" w:after="283"/>
              <w:jc w:val="center"/>
              <w:rPr/>
            </w:pPr>
            <w:r>
              <w:rPr/>
              <w:drawing>
                <wp:inline distT="0" distB="0" distL="0" distR="0">
                  <wp:extent cx="123825" cy="95250"/>
                  <wp:effectExtent l="0" t="0" r="0" b="0"/>
                  <wp:docPr id="15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13" descr=""/>
                          <pic:cNvPicPr>
                            <a:picLocks noChangeAspect="1" noChangeArrowheads="1"/>
                          </pic:cNvPicPr>
                        </pic:nvPicPr>
                        <pic:blipFill>
                          <a:blip r:embed="rId114"/>
                          <a:stretch>
                            <a:fillRect/>
                          </a:stretch>
                        </pic:blipFill>
                        <pic:spPr bwMode="auto">
                          <a:xfrm>
                            <a:off x="0" y="0"/>
                            <a:ext cx="123825" cy="95250"/>
                          </a:xfrm>
                          <a:prstGeom prst="rect">
                            <a:avLst/>
                          </a:prstGeom>
                        </pic:spPr>
                      </pic:pic>
                    </a:graphicData>
                  </a:graphic>
                </wp:inline>
              </w:drawing>
            </w:r>
            <w:r>
              <w:rPr/>
              <w:t xml:space="preserve"> </w:t>
            </w:r>
          </w:p>
        </w:tc>
      </w:tr>
      <w:tr>
        <w:trPr/>
        <w:tc>
          <w:tcPr>
            <w:tcW w:w="9261"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Code of Business Conduct and Ethics Applicable to All Employees, Officers, and Directors</w:t>
            </w:r>
          </w:p>
        </w:tc>
        <w:tc>
          <w:tcPr>
            <w:tcW w:w="944" w:type="dxa"/>
            <w:tcBorders>
              <w:bottom w:val="single" w:sz="2" w:space="0" w:color="575756"/>
            </w:tcBorders>
            <w:shd w:fill="auto" w:val="clear"/>
            <w:tcMar>
              <w:bottom w:w="45" w:type="dxa"/>
            </w:tcMar>
            <w:vAlign w:val="center"/>
          </w:tcPr>
          <w:p>
            <w:pPr>
              <w:pStyle w:val="TableContents"/>
              <w:spacing w:before="0" w:after="283"/>
              <w:jc w:val="center"/>
              <w:rPr/>
            </w:pPr>
            <w:r>
              <w:rPr/>
              <w:drawing>
                <wp:inline distT="0" distB="0" distL="0" distR="0">
                  <wp:extent cx="123825" cy="95250"/>
                  <wp:effectExtent l="0" t="0" r="0" b="0"/>
                  <wp:docPr id="15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14" descr=""/>
                          <pic:cNvPicPr>
                            <a:picLocks noChangeAspect="1" noChangeArrowheads="1"/>
                          </pic:cNvPicPr>
                        </pic:nvPicPr>
                        <pic:blipFill>
                          <a:blip r:embed="rId115"/>
                          <a:stretch>
                            <a:fillRect/>
                          </a:stretch>
                        </pic:blipFill>
                        <pic:spPr bwMode="auto">
                          <a:xfrm>
                            <a:off x="0" y="0"/>
                            <a:ext cx="123825" cy="95250"/>
                          </a:xfrm>
                          <a:prstGeom prst="rect">
                            <a:avLst/>
                          </a:prstGeom>
                        </pic:spPr>
                      </pic:pic>
                    </a:graphicData>
                  </a:graphic>
                </wp:inline>
              </w:drawing>
            </w:r>
            <w:r>
              <w:rPr/>
              <w:t xml:space="preserve"> </w:t>
            </w:r>
          </w:p>
        </w:tc>
      </w:tr>
      <w:tr>
        <w:trPr/>
        <w:tc>
          <w:tcPr>
            <w:tcW w:w="926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Annual Board and Committee Self-Evaluations</w:t>
            </w:r>
          </w:p>
        </w:tc>
        <w:tc>
          <w:tcPr>
            <w:tcW w:w="944"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spacing w:before="0" w:after="283"/>
              <w:jc w:val="center"/>
              <w:rPr/>
            </w:pPr>
            <w:r>
              <w:rPr/>
              <w:drawing>
                <wp:inline distT="0" distB="0" distL="0" distR="0">
                  <wp:extent cx="123825" cy="95250"/>
                  <wp:effectExtent l="0" t="0" r="0" b="0"/>
                  <wp:docPr id="15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15" descr=""/>
                          <pic:cNvPicPr>
                            <a:picLocks noChangeAspect="1" noChangeArrowheads="1"/>
                          </pic:cNvPicPr>
                        </pic:nvPicPr>
                        <pic:blipFill>
                          <a:blip r:embed="rId116"/>
                          <a:stretch>
                            <a:fillRect/>
                          </a:stretch>
                        </pic:blipFill>
                        <pic:spPr bwMode="auto">
                          <a:xfrm>
                            <a:off x="0" y="0"/>
                            <a:ext cx="123825" cy="95250"/>
                          </a:xfrm>
                          <a:prstGeom prst="rect">
                            <a:avLst/>
                          </a:prstGeom>
                        </pic:spPr>
                      </pic:pic>
                    </a:graphicData>
                  </a:graphic>
                </wp:inline>
              </w:drawing>
            </w:r>
            <w:r>
              <w:rPr/>
              <w:t xml:space="preserve"> </w:t>
            </w:r>
          </w:p>
        </w:tc>
      </w:tr>
      <w:tr>
        <w:trPr/>
        <w:tc>
          <w:tcPr>
            <w:tcW w:w="9261"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Stock Ownership Guidelines for Directors and Senior Executives</w:t>
            </w:r>
          </w:p>
        </w:tc>
        <w:tc>
          <w:tcPr>
            <w:tcW w:w="944" w:type="dxa"/>
            <w:tcBorders>
              <w:bottom w:val="single" w:sz="2" w:space="0" w:color="575756"/>
            </w:tcBorders>
            <w:shd w:fill="auto" w:val="clear"/>
            <w:tcMar>
              <w:bottom w:w="45" w:type="dxa"/>
            </w:tcMar>
            <w:vAlign w:val="center"/>
          </w:tcPr>
          <w:p>
            <w:pPr>
              <w:pStyle w:val="TableContents"/>
              <w:spacing w:before="0" w:after="283"/>
              <w:jc w:val="center"/>
              <w:rPr/>
            </w:pPr>
            <w:r>
              <w:rPr/>
              <w:drawing>
                <wp:inline distT="0" distB="0" distL="0" distR="0">
                  <wp:extent cx="123825" cy="95250"/>
                  <wp:effectExtent l="0" t="0" r="0" b="0"/>
                  <wp:docPr id="15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6" descr=""/>
                          <pic:cNvPicPr>
                            <a:picLocks noChangeAspect="1" noChangeArrowheads="1"/>
                          </pic:cNvPicPr>
                        </pic:nvPicPr>
                        <pic:blipFill>
                          <a:blip r:embed="rId117"/>
                          <a:stretch>
                            <a:fillRect/>
                          </a:stretch>
                        </pic:blipFill>
                        <pic:spPr bwMode="auto">
                          <a:xfrm>
                            <a:off x="0" y="0"/>
                            <a:ext cx="123825" cy="95250"/>
                          </a:xfrm>
                          <a:prstGeom prst="rect">
                            <a:avLst/>
                          </a:prstGeom>
                        </pic:spPr>
                      </pic:pic>
                    </a:graphicData>
                  </a:graphic>
                </wp:inline>
              </w:drawing>
            </w:r>
            <w:r>
              <w:rPr/>
              <w:t xml:space="preserve"> </w:t>
            </w:r>
          </w:p>
        </w:tc>
      </w:tr>
      <w:tr>
        <w:trPr/>
        <w:tc>
          <w:tcPr>
            <w:tcW w:w="926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Annual Say-On-Pay Vote</w:t>
            </w:r>
          </w:p>
        </w:tc>
        <w:tc>
          <w:tcPr>
            <w:tcW w:w="944"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spacing w:before="0" w:after="283"/>
              <w:jc w:val="center"/>
              <w:rPr/>
            </w:pPr>
            <w:r>
              <w:rPr/>
              <w:drawing>
                <wp:inline distT="0" distB="0" distL="0" distR="0">
                  <wp:extent cx="123825" cy="104775"/>
                  <wp:effectExtent l="0" t="0" r="0" b="0"/>
                  <wp:docPr id="15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7" descr=""/>
                          <pic:cNvPicPr>
                            <a:picLocks noChangeAspect="1" noChangeArrowheads="1"/>
                          </pic:cNvPicPr>
                        </pic:nvPicPr>
                        <pic:blipFill>
                          <a:blip r:embed="rId118"/>
                          <a:stretch>
                            <a:fillRect/>
                          </a:stretch>
                        </pic:blipFill>
                        <pic:spPr bwMode="auto">
                          <a:xfrm>
                            <a:off x="0" y="0"/>
                            <a:ext cx="123825" cy="104775"/>
                          </a:xfrm>
                          <a:prstGeom prst="rect">
                            <a:avLst/>
                          </a:prstGeom>
                        </pic:spPr>
                      </pic:pic>
                    </a:graphicData>
                  </a:graphic>
                </wp:inline>
              </w:drawing>
            </w:r>
            <w:r>
              <w:rPr/>
              <w:t xml:space="preserve"> </w:t>
            </w:r>
          </w:p>
        </w:tc>
      </w:tr>
      <w:tr>
        <w:trPr/>
        <w:tc>
          <w:tcPr>
            <w:tcW w:w="9261"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Active Shareholder Engagement</w:t>
            </w:r>
          </w:p>
        </w:tc>
        <w:tc>
          <w:tcPr>
            <w:tcW w:w="944" w:type="dxa"/>
            <w:tcBorders>
              <w:bottom w:val="single" w:sz="2" w:space="0" w:color="575756"/>
            </w:tcBorders>
            <w:shd w:fill="auto" w:val="clear"/>
            <w:tcMar>
              <w:bottom w:w="45" w:type="dxa"/>
            </w:tcMar>
            <w:vAlign w:val="center"/>
          </w:tcPr>
          <w:p>
            <w:pPr>
              <w:pStyle w:val="TableContents"/>
              <w:spacing w:before="0" w:after="283"/>
              <w:jc w:val="center"/>
              <w:rPr/>
            </w:pPr>
            <w:r>
              <w:rPr/>
              <w:drawing>
                <wp:inline distT="0" distB="0" distL="0" distR="0">
                  <wp:extent cx="123825" cy="95250"/>
                  <wp:effectExtent l="0" t="0" r="0" b="0"/>
                  <wp:docPr id="15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8" descr=""/>
                          <pic:cNvPicPr>
                            <a:picLocks noChangeAspect="1" noChangeArrowheads="1"/>
                          </pic:cNvPicPr>
                        </pic:nvPicPr>
                        <pic:blipFill>
                          <a:blip r:embed="rId119"/>
                          <a:stretch>
                            <a:fillRect/>
                          </a:stretch>
                        </pic:blipFill>
                        <pic:spPr bwMode="auto">
                          <a:xfrm>
                            <a:off x="0" y="0"/>
                            <a:ext cx="123825" cy="95250"/>
                          </a:xfrm>
                          <a:prstGeom prst="rect">
                            <a:avLst/>
                          </a:prstGeom>
                        </pic:spPr>
                      </pic:pic>
                    </a:graphicData>
                  </a:graphic>
                </wp:inline>
              </w:drawing>
            </w:r>
            <w:r>
              <w:rPr/>
              <w:t xml:space="preserve"> </w:t>
            </w:r>
          </w:p>
        </w:tc>
      </w:tr>
      <w:tr>
        <w:trPr/>
        <w:tc>
          <w:tcPr>
            <w:tcW w:w="9261" w:type="dxa"/>
            <w:tcBorders>
              <w:top w:val="single" w:sz="2" w:space="0" w:color="F2F2F2"/>
              <w:left w:val="single" w:sz="2" w:space="0" w:color="F2F2F2"/>
              <w:bottom w:val="single" w:sz="1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Shareholder Right to Call Special Shareholder Meeting</w:t>
            </w:r>
          </w:p>
        </w:tc>
        <w:tc>
          <w:tcPr>
            <w:tcW w:w="944" w:type="dxa"/>
            <w:tcBorders>
              <w:top w:val="single" w:sz="2" w:space="0" w:color="F2F2F2"/>
              <w:left w:val="single" w:sz="2" w:space="0" w:color="F2F2F2"/>
              <w:bottom w:val="single" w:sz="12" w:space="0" w:color="245BA7"/>
              <w:right w:val="single" w:sz="2" w:space="0" w:color="F2F2F2"/>
            </w:tcBorders>
            <w:shd w:fill="F2F2F2" w:val="clear"/>
            <w:tcMar>
              <w:top w:w="28" w:type="dxa"/>
              <w:left w:w="28" w:type="dxa"/>
              <w:bottom w:w="28" w:type="dxa"/>
              <w:right w:w="28" w:type="dxa"/>
            </w:tcMar>
            <w:vAlign w:val="center"/>
          </w:tcPr>
          <w:p>
            <w:pPr>
              <w:pStyle w:val="TableContents"/>
              <w:spacing w:before="0" w:after="283"/>
              <w:jc w:val="center"/>
              <w:rPr/>
            </w:pPr>
            <w:r>
              <w:rPr/>
              <w:drawing>
                <wp:inline distT="0" distB="0" distL="0" distR="0">
                  <wp:extent cx="123825" cy="95250"/>
                  <wp:effectExtent l="0" t="0" r="0" b="0"/>
                  <wp:docPr id="15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19" descr=""/>
                          <pic:cNvPicPr>
                            <a:picLocks noChangeAspect="1" noChangeArrowheads="1"/>
                          </pic:cNvPicPr>
                        </pic:nvPicPr>
                        <pic:blipFill>
                          <a:blip r:embed="rId120"/>
                          <a:stretch>
                            <a:fillRect/>
                          </a:stretch>
                        </pic:blipFill>
                        <pic:spPr bwMode="auto">
                          <a:xfrm>
                            <a:off x="0" y="0"/>
                            <a:ext cx="123825" cy="95250"/>
                          </a:xfrm>
                          <a:prstGeom prst="rect">
                            <a:avLst/>
                          </a:prstGeom>
                        </pic:spPr>
                      </pic:pic>
                    </a:graphicData>
                  </a:graphic>
                </wp:inline>
              </w:drawing>
            </w:r>
            <w:r>
              <w:rPr/>
              <w:t xml:space="preserve"> </w:t>
            </w:r>
          </w:p>
        </w:tc>
      </w:tr>
      <w:tr>
        <w:trPr/>
        <w:tc>
          <w:tcPr>
            <w:tcW w:w="10205" w:type="dxa"/>
            <w:gridSpan w:val="2"/>
            <w:tcBorders/>
            <w:shd w:fill="auto" w:val="clear"/>
            <w:tcMar>
              <w:bottom w:w="0" w:type="dxa"/>
            </w:tcMar>
            <w:vAlign w:val="center"/>
          </w:tcPr>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0"/>
              <w:ind w:left="0" w:right="30" w:hanging="0"/>
              <w:rPr>
                <w:rFonts w:ascii="Arial" w:hAnsi="Arial"/>
                <w:color w:val="000000"/>
                <w:sz w:val="20"/>
              </w:rPr>
            </w:pPr>
            <w:r>
              <w:rPr>
                <w:rFonts w:ascii="Arial" w:hAnsi="Arial"/>
                <w:color w:val="000000"/>
                <w:sz w:val="20"/>
              </w:rPr>
              <w:t>As of April 11, 2023. On April 14, 2023, Dr. Vagelos notified the Company of his decision not to stand for re-election at the 2023 Annual Meeting. At the conclusion of the 2023 Annual Meeting, Dr. Vagelos’s term will expire and the size of the board is expected to be reduced to 12 members, 10 of which are independent. As described under “Board of Directors—Board Governance—Board Leadership Structure” above, on April 14, 2023, the board of directors adopted a board leadership succession plan based on which the board plans to elect Drs. Schleifer and Yancopoulos as Co-Chairs of the Board to succeed Dr. Vagelos as Chair and to establish the role of Lead Independent Director (with Ms. Poon expected to be designated by the independent directors as the Lead Independent Director), each effective following the conclusion of the 2023 Annual Meeting. Pursuant to this board leadership succession plan, Drs. Schleifer and Yancopoulos will retain their roles as President and Chief Executive Officer and President and Chief Scientific Officer, respectively.</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6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0" descr=""/>
                          <pic:cNvPicPr>
                            <a:picLocks noChangeAspect="1" noChangeArrowheads="1"/>
                          </pic:cNvPicPr>
                        </pic:nvPicPr>
                        <pic:blipFill>
                          <a:blip r:embed="rId121"/>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36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Our corporate governance has been enhanced based on shareholder feedback over the last ten years, including by adopting the corporate governance practices shown below. See “Compensation Discussion and Analysis—Compensation Processes—Shareholder Input and Outreach and the 2022 Say-on-Pay Vote Result” for more information.</w:t>
      </w:r>
    </w:p>
    <w:p>
      <w:pPr>
        <w:pStyle w:val="TextBody"/>
        <w:pBdr/>
        <w:spacing w:before="0" w:after="210"/>
        <w:ind w:left="0" w:right="0" w:hanging="0"/>
        <w:jc w:val="center"/>
        <w:rPr>
          <w:caps w:val="false"/>
          <w:smallCaps w:val="false"/>
          <w:color w:val="000000"/>
        </w:rPr>
      </w:pPr>
      <w:r>
        <w:rPr>
          <w:caps w:val="false"/>
          <w:smallCaps w:val="false"/>
          <w:color w:val="000000"/>
        </w:rPr>
        <w:drawing>
          <wp:inline distT="0" distB="0" distL="0" distR="0">
            <wp:extent cx="6324600" cy="1571625"/>
            <wp:effectExtent l="0" t="0" r="0" b="0"/>
            <wp:docPr id="16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1" descr=""/>
                    <pic:cNvPicPr>
                      <a:picLocks noChangeAspect="1" noChangeArrowheads="1"/>
                    </pic:cNvPicPr>
                  </pic:nvPicPr>
                  <pic:blipFill>
                    <a:blip r:embed="rId122"/>
                    <a:stretch>
                      <a:fillRect/>
                    </a:stretch>
                  </pic:blipFill>
                  <pic:spPr bwMode="auto">
                    <a:xfrm>
                      <a:off x="0" y="0"/>
                      <a:ext cx="6324600" cy="1571625"/>
                    </a:xfrm>
                    <a:prstGeom prst="rect">
                      <a:avLst/>
                    </a:prstGeom>
                  </pic:spPr>
                </pic:pic>
              </a:graphicData>
            </a:graphic>
          </wp:inline>
        </w:drawing>
      </w:r>
    </w:p>
    <w:p>
      <w:pPr>
        <w:pStyle w:val="TextBody"/>
        <w:pBdr/>
        <w:spacing w:before="0" w:after="210"/>
        <w:ind w:left="0" w:right="0" w:hanging="0"/>
        <w:rPr>
          <w:caps w:val="false"/>
          <w:smallCaps w:val="false"/>
          <w:color w:val="000000"/>
        </w:rPr>
      </w:pPr>
      <w:r>
        <w:rPr>
          <w:caps w:val="false"/>
          <w:smallCaps w:val="false"/>
          <w:color w:val="000000"/>
        </w:rPr>
        <w:t> </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74" w:name="new_id-68"/>
      <w:bookmarkEnd w:id="74"/>
      <w:r>
        <w:rPr>
          <w:rFonts w:ascii="Arial" w:hAnsi="Arial"/>
          <w:b/>
          <w:i w:val="false"/>
          <w:caps w:val="false"/>
          <w:smallCaps w:val="false"/>
          <w:color w:val="D31B5D"/>
          <w:sz w:val="30"/>
          <w:bdr w:val="single" w:sz="12" w:space="2" w:color="245BA7"/>
        </w:rPr>
        <w:t xml:space="preserve">CAPITAL STRUCTURE </w:t>
      </w:r>
    </w:p>
    <w:p>
      <w:pPr>
        <w:pStyle w:val="TextBody"/>
        <w:pBdr/>
        <w:spacing w:before="0" w:after="210"/>
        <w:ind w:left="0" w:right="0" w:hanging="0"/>
        <w:rPr>
          <w:rFonts w:ascii="Arial" w:hAnsi="Arial"/>
          <w:color w:val="000000"/>
          <w:sz w:val="21"/>
        </w:rPr>
      </w:pPr>
      <w:r>
        <w:rPr>
          <w:rFonts w:ascii="Arial" w:hAnsi="Arial"/>
          <w:color w:val="000000"/>
          <w:sz w:val="21"/>
        </w:rPr>
        <w:t>While the Company has dual-class stock, no new shares of Class A stock, par value $0.001 per share (“Class A stock”), have been issued since our IPO in 1991, and the number of shares of Class A stock outstanding has been steadily decreasing since that time, from 10.9 million to 1.8 million as of the record date for the 2023 Annual Meeting. At the time of our IPO, outstanding shares of Class A stock represented approximately 95% of total shareholder votes. As of April 11, 2023, outstanding shares of Class A stock represented only approximately 14% of total shareholder votes. The voting rights granted holders of Class A stock cannot be unilaterally changed by the board of directors or a vote of the holders of common stock; such rights may be amended only with the affirmative vote of holders of the majority of the shares of Class A stock. We believe that the high percentage (over 85%) of total shareholder votes held by the holders of common stock, coupled with other rights afforded to Regeneron shareholders (such as majority voting in the election of directors and the shareholders’ right to call a special shareholder meeting upon the written request of at least 25% of the total number of votes entitled to be cast), ensures that holders of common stock are heard and their rights as shareholders are protected.</w:t>
      </w:r>
    </w:p>
    <w:p>
      <w:pPr>
        <w:pStyle w:val="TextBody"/>
        <w:jc w:val="center"/>
        <w:rPr/>
      </w:pPr>
      <w:r>
        <w:rPr/>
        <w:drawing>
          <wp:inline distT="0" distB="0" distL="0" distR="0">
            <wp:extent cx="6124575" cy="1428750"/>
            <wp:effectExtent l="0" t="0" r="0" b="0"/>
            <wp:docPr id="16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2" descr=""/>
                    <pic:cNvPicPr>
                      <a:picLocks noChangeAspect="1" noChangeArrowheads="1"/>
                    </pic:cNvPicPr>
                  </pic:nvPicPr>
                  <pic:blipFill>
                    <a:blip r:embed="rId123"/>
                    <a:stretch>
                      <a:fillRect/>
                    </a:stretch>
                  </pic:blipFill>
                  <pic:spPr bwMode="auto">
                    <a:xfrm>
                      <a:off x="0" y="0"/>
                      <a:ext cx="6124575" cy="1428750"/>
                    </a:xfrm>
                    <a:prstGeom prst="rect">
                      <a:avLst/>
                    </a:prstGeom>
                  </pic:spPr>
                </pic:pic>
              </a:graphicData>
            </a:graphic>
          </wp:inline>
        </w:drawing>
      </w:r>
      <w:r>
        <w:rPr/>
        <w:t xml:space="preserve"> </w:t>
      </w:r>
    </w:p>
    <w:p>
      <w:pPr>
        <w:pStyle w:val="TextBody"/>
        <w:pBdr/>
        <w:spacing w:before="0" w:after="210"/>
        <w:ind w:left="0" w:right="0" w:hanging="0"/>
        <w:rPr>
          <w:color w:val="000000"/>
        </w:rPr>
      </w:pPr>
      <w:r>
        <w:rPr>
          <w:color w:val="000000"/>
        </w:rPr>
        <w:t> </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75" w:name="new_id-69"/>
      <w:bookmarkEnd w:id="75"/>
      <w:r>
        <w:rPr>
          <w:rFonts w:ascii="Arial" w:hAnsi="Arial"/>
          <w:b/>
          <w:i w:val="false"/>
          <w:caps w:val="false"/>
          <w:smallCaps w:val="false"/>
          <w:color w:val="D31B5D"/>
          <w:sz w:val="30"/>
          <w:bdr w:val="single" w:sz="12" w:space="2" w:color="245BA7"/>
        </w:rPr>
        <w:t xml:space="preserve">CODE OF ETHICS </w:t>
      </w:r>
    </w:p>
    <w:p>
      <w:pPr>
        <w:pStyle w:val="TextBody"/>
        <w:pBdr/>
        <w:spacing w:before="0" w:after="210"/>
        <w:ind w:left="0" w:right="0" w:hanging="0"/>
        <w:rPr>
          <w:rFonts w:ascii="Arial" w:hAnsi="Arial"/>
          <w:color w:val="000000"/>
          <w:sz w:val="21"/>
        </w:rPr>
      </w:pPr>
      <w:r>
        <w:rPr>
          <w:rFonts w:ascii="Arial" w:hAnsi="Arial"/>
          <w:color w:val="000000"/>
          <w:sz w:val="21"/>
        </w:rPr>
        <w:t xml:space="preserve">The board of directors has adopted a code of business conduct and ethics that applies to all of our employees, officers, and directors. You can find links to this code on our website at </w:t>
      </w:r>
      <w:r>
        <w:rPr>
          <w:rFonts w:ascii="Arial" w:hAnsi="Arial"/>
          <w:b/>
          <w:color w:val="000000"/>
          <w:sz w:val="21"/>
        </w:rPr>
        <w:t>www.regeneron.com</w:t>
      </w:r>
      <w:r>
        <w:rPr>
          <w:rFonts w:ascii="Arial" w:hAnsi="Arial"/>
          <w:color w:val="000000"/>
          <w:sz w:val="21"/>
        </w:rPr>
        <w:t xml:space="preserve"> under the “Corporate Governance” heading on the “Investors &amp; Media” page. We may satisfy the disclosure requirement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6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23" descr=""/>
                          <pic:cNvPicPr>
                            <a:picLocks noChangeAspect="1" noChangeArrowheads="1"/>
                          </pic:cNvPicPr>
                        </pic:nvPicPr>
                        <pic:blipFill>
                          <a:blip r:embed="rId124"/>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37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76" w:name="new_id-70"/>
      <w:bookmarkEnd w:id="76"/>
      <w:r>
        <w:rPr>
          <w:rFonts w:ascii="Arial" w:hAnsi="Arial"/>
          <w:b/>
          <w:i w:val="false"/>
          <w:caps w:val="false"/>
          <w:smallCaps w:val="false"/>
          <w:color w:val="D31B5D"/>
          <w:sz w:val="30"/>
          <w:bdr w:val="single" w:sz="12" w:space="2" w:color="245BA7"/>
        </w:rPr>
        <w:t xml:space="preserve">SUCCESSION PLANNING AND TALENT DEVELOPMENT PROCESS </w:t>
      </w:r>
    </w:p>
    <w:p>
      <w:pPr>
        <w:pStyle w:val="TextBody"/>
        <w:pBdr/>
        <w:spacing w:before="0" w:after="210"/>
        <w:ind w:left="0" w:right="0" w:hanging="0"/>
        <w:rPr>
          <w:rFonts w:ascii="Arial" w:hAnsi="Arial"/>
          <w:color w:val="000000"/>
          <w:sz w:val="21"/>
        </w:rPr>
      </w:pPr>
      <w:r>
        <w:rPr>
          <w:rFonts w:ascii="Arial" w:hAnsi="Arial"/>
          <w:color w:val="000000"/>
          <w:sz w:val="21"/>
        </w:rPr>
        <w:t>Under our Corporate Governance Guidelines, the board of directors is required to periodically review with our CEO Regeneron’s plan for succession to the offices of the CEO and other senior executive positions. In recent years, the board and its committees conducted a multi-year formal succession planning and talent review, which included succession planning for the CEO and other senior management positions and incorporated diversity, equity, and inclusion (“DEI”) considerations as a strategic priority. The applicable committees of the board of directors advanced this formal review by focusing on certain assigned functions and roles within the Company. As part of this process, the Audit Committee reviewed functions and roles within the Company’s finance, information technology, and real estate &amp; facilities management organizations, while the Compensation Committee and the Technology Committee reviewed functions and roles within the Company’s commercial and certain other general and administrative organizations and the Company’s research &amp; development and global development organizations, respectively. Implementation of the succession planning and talent review plan continued in 2022 and 2023 to date.</w:t>
      </w:r>
    </w:p>
    <w:p>
      <w:pPr>
        <w:pStyle w:val="TextBody"/>
        <w:pBdr/>
        <w:spacing w:before="0" w:after="210"/>
        <w:ind w:left="0" w:right="0" w:hanging="0"/>
        <w:rPr>
          <w:rFonts w:ascii="Arial" w:hAnsi="Arial"/>
          <w:color w:val="000000"/>
          <w:sz w:val="21"/>
        </w:rPr>
      </w:pPr>
      <w:r>
        <w:rPr>
          <w:rFonts w:ascii="Arial" w:hAnsi="Arial"/>
          <w:color w:val="000000"/>
          <w:sz w:val="21"/>
        </w:rPr>
        <w:t>In addition to formal succession planning, directors also have exposure to Regeneron leaders through board and committee presentations and discussions and informal events and interactions with key talent throughout the year, both in small-group and one-on-one settings.</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77" w:name="new_id-71"/>
      <w:bookmarkEnd w:id="77"/>
      <w:r>
        <w:rPr>
          <w:rFonts w:ascii="Arial" w:hAnsi="Arial"/>
          <w:b/>
          <w:i w:val="false"/>
          <w:caps w:val="false"/>
          <w:smallCaps w:val="false"/>
          <w:color w:val="D31B5D"/>
          <w:sz w:val="30"/>
          <w:bdr w:val="single" w:sz="12" w:space="2" w:color="245BA7"/>
        </w:rPr>
        <w:t xml:space="preserve">CORPORATE RESPONSIBILITY </w:t>
      </w:r>
    </w:p>
    <w:p>
      <w:pPr>
        <w:pStyle w:val="TextBody"/>
        <w:pBdr/>
        <w:spacing w:before="0" w:after="210"/>
        <w:ind w:left="0" w:right="0" w:hanging="0"/>
        <w:rPr>
          <w:rFonts w:ascii="Arial" w:hAnsi="Arial"/>
          <w:color w:val="000000"/>
          <w:sz w:val="21"/>
        </w:rPr>
      </w:pPr>
      <w:r>
        <w:rPr>
          <w:rFonts w:ascii="Arial" w:hAnsi="Arial"/>
          <w:color w:val="000000"/>
          <w:sz w:val="21"/>
        </w:rPr>
        <w:t>Regeneron’s mission is to use the power of science to repeatedly bring new medicines to patients. We are committed to operating responsibly, communicating transparently about our impacts, and engaging key stakeholders in our mission. We strive to “Do Well by Doing Good,” which guides our approach to corporate responsibility. We disclose detailed information about significant corporate responsibility matters in our annual responsibility reports.</w:t>
      </w:r>
    </w:p>
    <w:p>
      <w:pPr>
        <w:pStyle w:val="TextBody"/>
        <w:pBdr/>
        <w:spacing w:before="0" w:after="210"/>
        <w:ind w:left="0" w:right="0" w:hanging="0"/>
        <w:rPr>
          <w:rFonts w:ascii="Arial" w:hAnsi="Arial"/>
          <w:color w:val="000000"/>
          <w:sz w:val="21"/>
        </w:rPr>
      </w:pPr>
      <w:r>
        <w:rPr>
          <w:rFonts w:ascii="Arial" w:hAnsi="Arial"/>
          <w:color w:val="000000"/>
          <w:sz w:val="21"/>
        </w:rPr>
        <w:t>Our board of directors and management team recognize the importance of corporate responsibility matters. The Company’s policy is to take into consideration the long-term interests of the Company, its shareholders, and other stakeholders, including patients, employees, the healthcare community, regulators, partners, suppliers, and local communities. While the full board has retained oversight of the Company’s strategies and policies related to diversity, equity, and inclusion, the board’s Corporate Governance and Compliance Committee has been tasked with oversight of corporate responsibility as set forth in its charter. Under our Corporate Governance Guidelines, the Corporate Governance and Compliance Committee is responsible for conducting a periodic review of ESG matters and overseeing the Company’s key corporate responsibility initiatives, including those expected to have a significant impact on the Company’s ability to deliver sustained growth. Management, who has the responsibility for formulating and implementing such initiatives and matters, has established for these purposes a Responsibility Committee comprised of cross-functional business leaders.</w:t>
      </w:r>
    </w:p>
    <w:p>
      <w:pPr>
        <w:pStyle w:val="TextBody"/>
        <w:pBdr/>
        <w:spacing w:before="0" w:after="210"/>
        <w:ind w:left="0" w:right="0" w:hanging="0"/>
        <w:rPr>
          <w:rFonts w:ascii="Arial" w:hAnsi="Arial"/>
          <w:color w:val="000000"/>
          <w:sz w:val="21"/>
        </w:rPr>
      </w:pPr>
      <w:r>
        <w:rPr>
          <w:rFonts w:ascii="Arial" w:hAnsi="Arial"/>
          <w:color w:val="000000"/>
          <w:sz w:val="21"/>
        </w:rPr>
        <w:t>Our responsibility strategy centers on three focus areas:</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Improve the lives of people with serious diseases</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Foster a culture of integrity and excellence</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Build sustainable communities</w:t>
      </w:r>
    </w:p>
    <w:p>
      <w:pPr>
        <w:pStyle w:val="TextBody"/>
        <w:pBdr/>
        <w:spacing w:before="0" w:after="210"/>
        <w:ind w:left="0" w:right="0" w:hanging="0"/>
        <w:rPr>
          <w:rFonts w:ascii="Arial" w:hAnsi="Arial"/>
          <w:color w:val="000000"/>
          <w:sz w:val="21"/>
        </w:rPr>
      </w:pPr>
      <w:r>
        <w:rPr>
          <w:rFonts w:ascii="Arial" w:hAnsi="Arial"/>
          <w:color w:val="000000"/>
          <w:sz w:val="21"/>
        </w:rPr>
        <w:t>As shown below, our 2025 responsibility goals span across these three areas, focusing on the environmental and social issues that we believe are most significant to our business and stakeholders.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6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24" descr=""/>
                          <pic:cNvPicPr>
                            <a:picLocks noChangeAspect="1" noChangeArrowheads="1"/>
                          </pic:cNvPicPr>
                        </pic:nvPicPr>
                        <pic:blipFill>
                          <a:blip r:embed="rId125"/>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38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78" w:name="new_id-72"/>
      <w:bookmarkEnd w:id="78"/>
      <w:r>
        <w:rPr>
          <w:rFonts w:ascii="Arial" w:hAnsi="Arial"/>
          <w:b/>
          <w:i w:val="false"/>
          <w:caps w:val="false"/>
          <w:smallCaps w:val="false"/>
          <w:color w:val="D31B5D"/>
          <w:sz w:val="30"/>
          <w:bdr w:val="single" w:sz="12" w:space="2" w:color="245BA7"/>
        </w:rPr>
        <w:t xml:space="preserve">2025 GLOBAL RESPONSIBILITY GOALS </w:t>
      </w:r>
    </w:p>
    <w:p>
      <w:pPr>
        <w:pStyle w:val="TextBody"/>
        <w:pBdr/>
        <w:spacing w:before="0" w:after="210"/>
        <w:ind w:left="0" w:right="0" w:hanging="0"/>
        <w:rPr>
          <w:color w:val="000000"/>
        </w:rPr>
      </w:pPr>
      <w:r>
        <w:rPr>
          <w:color w:val="000000"/>
        </w:rPr>
        <w:t> </w:t>
      </w:r>
    </w:p>
    <w:p>
      <w:pPr>
        <w:pStyle w:val="TextBody"/>
        <w:pBdr/>
        <w:spacing w:before="0" w:after="210"/>
        <w:jc w:val="center"/>
        <w:rPr>
          <w:caps w:val="false"/>
          <w:smallCaps w:val="false"/>
          <w:color w:val="000000"/>
        </w:rPr>
      </w:pPr>
      <w:r>
        <w:rPr>
          <w:caps w:val="false"/>
          <w:smallCaps w:val="false"/>
          <w:color w:val="000000"/>
        </w:rPr>
        <w:drawing>
          <wp:inline distT="0" distB="0" distL="0" distR="0">
            <wp:extent cx="6667500" cy="4543425"/>
            <wp:effectExtent l="0" t="0" r="0" b="0"/>
            <wp:docPr id="16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25" descr=""/>
                    <pic:cNvPicPr>
                      <a:picLocks noChangeAspect="1" noChangeArrowheads="1"/>
                    </pic:cNvPicPr>
                  </pic:nvPicPr>
                  <pic:blipFill>
                    <a:blip r:embed="rId126"/>
                    <a:stretch>
                      <a:fillRect/>
                    </a:stretch>
                  </pic:blipFill>
                  <pic:spPr bwMode="auto">
                    <a:xfrm>
                      <a:off x="0" y="0"/>
                      <a:ext cx="6667500" cy="4543425"/>
                    </a:xfrm>
                    <a:prstGeom prst="rect">
                      <a:avLst/>
                    </a:prstGeom>
                  </pic:spPr>
                </pic:pic>
              </a:graphicData>
            </a:graphic>
          </wp:inline>
        </w:drawing>
      </w:r>
    </w:p>
    <w:tbl>
      <w:tblPr>
        <w:tblW w:w="8990" w:type="dxa"/>
        <w:jc w:val="left"/>
        <w:tblInd w:w="0" w:type="dxa"/>
        <w:tblCellMar>
          <w:top w:w="0" w:type="dxa"/>
          <w:left w:w="0" w:type="dxa"/>
          <w:bottom w:w="0" w:type="dxa"/>
          <w:right w:w="0" w:type="dxa"/>
        </w:tblCellMar>
      </w:tblPr>
      <w:tblGrid>
        <w:gridCol w:w="8990"/>
      </w:tblGrid>
      <w:tr>
        <w:trPr/>
        <w:tc>
          <w:tcPr>
            <w:tcW w:w="8990"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0"/>
              <w:ind w:left="0" w:right="30" w:hanging="0"/>
              <w:rPr>
                <w:rFonts w:ascii="Arial" w:hAnsi="Arial"/>
                <w:color w:val="000000"/>
                <w:sz w:val="20"/>
              </w:rPr>
            </w:pPr>
            <w:r>
              <w:rPr>
                <w:rFonts w:ascii="Arial" w:hAnsi="Arial"/>
                <w:color w:val="000000"/>
                <w:sz w:val="20"/>
              </w:rPr>
              <w:t>Our accompanying set of environmental targets are outlined in detail in our 2022 Responsibility Report.</w:t>
            </w:r>
          </w:p>
        </w:tc>
      </w:tr>
    </w:tbl>
    <w:p>
      <w:pPr>
        <w:pStyle w:val="TextBody"/>
        <w:pBdr/>
        <w:spacing w:before="0" w:after="0"/>
        <w:ind w:left="0" w:right="0" w:hanging="0"/>
        <w:rPr>
          <w:color w:val="000000"/>
        </w:rPr>
      </w:pPr>
      <w:r>
        <w:rPr>
          <w:color w:val="000000"/>
        </w:rPr>
        <w:t> </w:t>
      </w:r>
    </w:p>
    <w:p>
      <w:pPr>
        <w:pStyle w:val="TextBody"/>
        <w:pBdr/>
        <w:spacing w:before="0" w:after="210"/>
        <w:ind w:left="0" w:right="0" w:hanging="0"/>
        <w:rPr>
          <w:rFonts w:ascii="Arial" w:hAnsi="Arial"/>
          <w:color w:val="000000"/>
          <w:sz w:val="21"/>
        </w:rPr>
      </w:pPr>
      <w:r>
        <w:rPr>
          <w:rFonts w:ascii="Arial" w:hAnsi="Arial"/>
          <w:color w:val="000000"/>
          <w:sz w:val="21"/>
        </w:rPr>
        <w:t>In 2022, we made significant progress toward achieving many of these responsibility goals. Select highlights within each focus area are summarized below, and a detailed discussion of our progress is included in our 2022 Responsibility Report.</w:t>
      </w:r>
    </w:p>
    <w:p>
      <w:pPr>
        <w:pStyle w:val="TextBody"/>
        <w:pBdr/>
        <w:spacing w:before="0" w:after="210"/>
        <w:ind w:left="0" w:right="0" w:hanging="0"/>
        <w:rPr>
          <w:rFonts w:ascii="Arial" w:hAnsi="Arial"/>
          <w:color w:val="000000"/>
          <w:sz w:val="21"/>
        </w:rPr>
      </w:pPr>
      <w:r>
        <w:rPr>
          <w:rFonts w:ascii="Arial" w:hAnsi="Arial"/>
          <w:color w:val="000000"/>
          <w:sz w:val="21"/>
        </w:rPr>
        <w:t>Our responsibility efforts and progress across these focus areas have garnered recognitions. For example, in 2022, we were included in the Dow Jones Sustainability World Index for the fourth year in a row and the Dow Jones Sustainability North America Index for the third year in a row. These global and regional indices are comprised of corporate leaders in ESG practices.</w:t>
      </w:r>
    </w:p>
    <w:p>
      <w:pPr>
        <w:pStyle w:val="TextBody"/>
        <w:pBdr/>
        <w:spacing w:before="0" w:after="210"/>
        <w:ind w:left="0" w:right="0" w:hanging="0"/>
        <w:rPr>
          <w:rFonts w:ascii="Arial" w:hAnsi="Arial"/>
          <w:color w:val="000000"/>
          <w:sz w:val="21"/>
        </w:rPr>
      </w:pPr>
      <w:r>
        <w:rPr>
          <w:rFonts w:ascii="Arial" w:hAnsi="Arial"/>
          <w:color w:val="000000"/>
          <w:sz w:val="21"/>
        </w:rPr>
        <w:t>We have also continued to enhance our responsibility reporting. Our 2022 Responsibility Report continues to align with the Sustainability Accounting Standards Board (“SASB”) framework and with the Global Reporting Initiative (“GRI”) Universal Standards. In 2023, we also published on our website our third annual Task Force for Climate-related Financial Disclosures (“TCFD”) report on Regeneron’s climate-related risks and opportunities and, as discussed below, our inaugural DEI Annual Impact Report.</w:t>
      </w:r>
    </w:p>
    <w:p>
      <w:pPr>
        <w:pStyle w:val="TextBody"/>
        <w:pBdr/>
        <w:spacing w:before="0" w:after="210"/>
        <w:ind w:left="0" w:right="0" w:hanging="0"/>
        <w:rPr>
          <w:rFonts w:ascii="Arial" w:hAnsi="Arial"/>
          <w:color w:val="000000"/>
          <w:sz w:val="21"/>
        </w:rPr>
      </w:pPr>
      <w:r>
        <w:rPr>
          <w:rFonts w:ascii="Arial" w:hAnsi="Arial"/>
          <w:b/>
          <w:color w:val="000000"/>
          <w:sz w:val="21"/>
        </w:rPr>
        <w:t>Improve the lives of people with serious diseases.</w:t>
      </w:r>
      <w:r>
        <w:rPr>
          <w:rFonts w:ascii="Arial" w:hAnsi="Arial"/>
          <w:color w:val="000000"/>
          <w:sz w:val="21"/>
        </w:rPr>
        <w:t xml:space="preserve"> As a science-focused company, we operate Regeneron with the long-term outlook required to turn rigorous scientific research into important new medicines. All nine of our approved medicines and almost all of the product candidates in our clinical pipeline are homegrown—discovered in Regeneron’s labs using our industry-leading, proprietary technologies. Our support for patients extends beyond the labs to disease education and awareness efforts, patient assistance programs, and our commitment to access to medicine and responsible pricing. We strive to make thoughtful and well-informed pricing decisions with fairness and affordability in mind and are guided in this endeavor by our board of directors, which is closely involved in and provides oversight of all key pricing determinations. We believe we have the appropriate governance mechanisms and internal processes in place to ensure that pricing decisions are thoroughly and appropriately vetted prior to implementation and are made in line with our values and commitments. This includes routine presentations to our board of directors on drug pricing strategies, practices, and trends.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6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26" descr=""/>
                          <pic:cNvPicPr>
                            <a:picLocks noChangeAspect="1" noChangeArrowheads="1"/>
                          </pic:cNvPicPr>
                        </pic:nvPicPr>
                        <pic:blipFill>
                          <a:blip r:embed="rId127"/>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39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In 2022, our commitment to improving lives was highlighted by securing regulatory approvals for several new indications for existing products and making significant progress in our product pipeline of approximately 35 product candidates as of the date of our 2022 Annual Report, including potential new treatments for ultra-rare and rare diseases. We are proud of these scientific accomplishments and the potentially life-changing benefits they can deliver to patients.</w:t>
      </w:r>
    </w:p>
    <w:p>
      <w:pPr>
        <w:pStyle w:val="TextBody"/>
        <w:pBdr/>
        <w:spacing w:before="0" w:after="210"/>
        <w:ind w:left="0" w:right="0" w:hanging="0"/>
        <w:rPr>
          <w:rFonts w:ascii="Arial" w:hAnsi="Arial"/>
          <w:color w:val="000000"/>
          <w:sz w:val="21"/>
        </w:rPr>
      </w:pPr>
      <w:r>
        <w:rPr>
          <w:rFonts w:ascii="Arial" w:hAnsi="Arial"/>
          <w:color w:val="000000"/>
          <w:sz w:val="21"/>
        </w:rPr>
        <w:t xml:space="preserve">We are dedicated to making sure our medicines are available to everyone who needs them, including those in low- and middle-income countries (“LMICs”). For example, since 2018, we have worked with the World Health Organization, U.S. Food and Drug Administration (“FDA”), and other global organizations to offer Inmazeb, our treatment for the infection caused by </w:t>
      </w:r>
      <w:r>
        <w:rPr>
          <w:rFonts w:ascii="Arial" w:hAnsi="Arial"/>
          <w:i/>
          <w:color w:val="000000"/>
          <w:sz w:val="21"/>
        </w:rPr>
        <w:t>Zaire ebolavirus,</w:t>
      </w:r>
      <w:r>
        <w:rPr>
          <w:rFonts w:ascii="Arial" w:hAnsi="Arial"/>
          <w:color w:val="000000"/>
          <w:sz w:val="21"/>
        </w:rPr>
        <w:t xml:space="preserve"> under a compassionate use protocol in response to Ebola outbreaks in affected African countries. We have an executive-sponsored Inmazeb access working group and we proactively engage public health agencies, non-governmental agencies, and others in our industry to ensure continued access to Inmazeb in LMICs. Similarly, to ensure rapid and broad access to REGEN-COV, our COVID-19 therapy that was previously authorized under an emergency use authorization from the FDA, our partner Roche utilized global national income tiered pricing to address affordability challenges in LMICs. We remain committed to addressing the ongoing threat of COVID-19, and, in early 2023, announced the discovery of a next-generation COVID-19 antibody that has demonstrated high neutralization potency against all known SARS-CoV-2 variants and lineages to date.</w:t>
      </w:r>
    </w:p>
    <w:p>
      <w:pPr>
        <w:pStyle w:val="TextBody"/>
        <w:pBdr/>
        <w:spacing w:before="0" w:after="210"/>
        <w:ind w:left="0" w:right="0" w:hanging="0"/>
        <w:rPr>
          <w:rFonts w:ascii="Arial" w:hAnsi="Arial"/>
          <w:color w:val="000000"/>
          <w:sz w:val="21"/>
        </w:rPr>
      </w:pPr>
      <w:r>
        <w:rPr>
          <w:rFonts w:ascii="Arial" w:hAnsi="Arial"/>
          <w:b/>
          <w:color w:val="000000"/>
          <w:sz w:val="21"/>
        </w:rPr>
        <w:t>Foster a culture of integrity and excellence.</w:t>
      </w:r>
      <w:r>
        <w:rPr>
          <w:rFonts w:ascii="Arial" w:hAnsi="Arial"/>
          <w:color w:val="000000"/>
          <w:sz w:val="21"/>
        </w:rPr>
        <w:t> Regeneron’s unique culture makes us who we are. Our culture includes our science-led mindset, our high ethical standards, and our unwavering focus on solving big, complex problems. We are equally committed to conducting our business responsibly and ethically. This is demonstrated through the range of policies, practices, and initiatives we have implemented, encompassing areas such as compliance, responsible sales and marketing, ethical clinical trials, responsible supply chain, and product quality and safety.</w:t>
      </w:r>
    </w:p>
    <w:p>
      <w:pPr>
        <w:pStyle w:val="TextBody"/>
        <w:pBdr/>
        <w:spacing w:before="0" w:after="210"/>
        <w:ind w:left="0" w:right="0" w:hanging="0"/>
        <w:rPr>
          <w:rFonts w:ascii="Arial" w:hAnsi="Arial"/>
          <w:color w:val="000000"/>
          <w:sz w:val="21"/>
        </w:rPr>
      </w:pPr>
      <w:r>
        <w:rPr>
          <w:rFonts w:ascii="Arial" w:hAnsi="Arial"/>
          <w:color w:val="000000"/>
          <w:sz w:val="21"/>
        </w:rPr>
        <w:t>As we grow, we remain committed to making significant investments to attract and retain top talent and promote DEI within our workforce and our communities. These efforts are crucial to achieving our 2025 responsibility goal to increase representation of diverse individuals in leadership and foster inclusion. We believe our commitment to DEI allows us to better drive innovation and achieve our mission to repeatedly bring important new medicines to patients with serious diseases. In 2022, we advanced our DEI strategy focused on creating a better workplace, better science, and better world by, among other things, introducing inclusive leadership education for some of our most senior leaders, launching a pilot mentorship program focused on our diverse talent base, and continuing our efforts to ensure that our clinical trials represent the people who are most likely to benefit from the medicine under investigation if approved. In addition, to increase access to clinical trials, we utilize DEI principles in making clinical trial decisions, such as the design and selection of sites. Our board of directors receives periodic updates on our DEI efforts and continues to monitor our progress.</w:t>
      </w:r>
    </w:p>
    <w:p>
      <w:pPr>
        <w:pStyle w:val="TextBody"/>
        <w:pBdr/>
        <w:spacing w:before="0" w:after="210"/>
        <w:ind w:left="0" w:right="0" w:hanging="0"/>
        <w:rPr>
          <w:rFonts w:ascii="Arial" w:hAnsi="Arial"/>
          <w:color w:val="000000"/>
          <w:sz w:val="21"/>
        </w:rPr>
      </w:pPr>
      <w:r>
        <w:rPr>
          <w:rFonts w:ascii="Arial" w:hAnsi="Arial"/>
          <w:color w:val="000000"/>
          <w:sz w:val="21"/>
        </w:rPr>
        <w:t>In 2023, we published on our website our inaugural DEI Annual Impact Report, which includes a detailed discussion of our DEI strategic framework, governance model, goals, and initiatives. We have also continued to share our DEI progress and metrics in our 2022 Responsibility Report and publish consolidated EEO-1 data (data from annual reports submitted to the U.S. Equal Employment Opportunity Commission) on our website.</w:t>
      </w:r>
    </w:p>
    <w:p>
      <w:pPr>
        <w:pStyle w:val="TextBody"/>
        <w:pBdr/>
        <w:spacing w:before="0" w:after="210"/>
        <w:ind w:left="0" w:right="0" w:hanging="0"/>
        <w:rPr>
          <w:rFonts w:ascii="Arial" w:hAnsi="Arial"/>
          <w:color w:val="000000"/>
          <w:sz w:val="21"/>
        </w:rPr>
      </w:pPr>
      <w:r>
        <w:rPr>
          <w:rFonts w:ascii="Arial" w:hAnsi="Arial"/>
          <w:b/>
          <w:color w:val="000000"/>
          <w:sz w:val="21"/>
        </w:rPr>
        <w:t>Build sustainable communities.</w:t>
      </w:r>
      <w:r>
        <w:rPr>
          <w:rFonts w:ascii="Arial" w:hAnsi="Arial"/>
          <w:color w:val="000000"/>
          <w:sz w:val="21"/>
        </w:rPr>
        <w:t> Our commitment to protect the health of the planet is closely tied to our mission to improve the health of patients. As part of our 2025 responsibility goals, we set ambitious medium- and longer-term environmental sustainability targets. We report on our continued progress toward these goals and targets in our Responsibility Reports.</w:t>
      </w:r>
    </w:p>
    <w:p>
      <w:pPr>
        <w:pStyle w:val="TextBody"/>
        <w:pBdr/>
        <w:spacing w:before="0" w:after="210"/>
        <w:ind w:left="0" w:right="0" w:hanging="0"/>
        <w:rPr>
          <w:rFonts w:ascii="Arial" w:hAnsi="Arial"/>
          <w:color w:val="000000"/>
          <w:sz w:val="21"/>
        </w:rPr>
      </w:pPr>
      <w:r>
        <w:rPr>
          <w:rFonts w:ascii="Arial" w:hAnsi="Arial"/>
          <w:color w:val="000000"/>
          <w:sz w:val="21"/>
        </w:rPr>
        <w:t>We also strengthen our communities through strategic philanthropic investments, product donations, and the power of our employees’ talents and time. We are a long-standing supporter of science, technology, engineering and math (“STEM”) education, and make major philanthropic investments to inspire and celebrate future scientific innovators, including our ten-year, $100-million commitment to the Regeneron Science Talent Search, the nation’s most prestigious pre-college science and mathematics competition; and our five-year, $24-million commitment to the Regeneron International Science and Engineering Fair, the world’s largest pre-college science and engineering competition, which commenced in 2020. Over the past three years, we have provided STEM experiences to nearly 1.7 million students, putting us on track to achieve our goal of reaching 2.5 million STEM students by 2025.</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6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7" descr=""/>
                          <pic:cNvPicPr>
                            <a:picLocks noChangeAspect="1" noChangeArrowheads="1"/>
                          </pic:cNvPicPr>
                        </pic:nvPicPr>
                        <pic:blipFill>
                          <a:blip r:embed="rId128"/>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40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 xml:space="preserve">We also continue to foster employee volunteerism to reach our 2025 global responsibility goal of driving employee volunteer levels above national standards. In 2022, nearly 7,000 employees volunteered approximately 31,200 hours, including approximately 55% of our employees who volunteered nearly 20,000 hours to approximately 190 nonprofits during our sixth annual company-wide service event, </w:t>
      </w:r>
      <w:r>
        <w:rPr>
          <w:rFonts w:ascii="Arial" w:hAnsi="Arial"/>
          <w:i/>
          <w:color w:val="000000"/>
          <w:sz w:val="21"/>
        </w:rPr>
        <w:t>Day for Doing Good</w:t>
      </w:r>
      <w:r>
        <w:rPr>
          <w:rFonts w:ascii="Arial" w:hAnsi="Arial"/>
          <w:color w:val="000000"/>
          <w:sz w:val="21"/>
        </w:rPr>
        <w:t>.</w:t>
      </w:r>
    </w:p>
    <w:p>
      <w:pPr>
        <w:pStyle w:val="TextBody"/>
        <w:pBdr/>
        <w:spacing w:before="0" w:after="210"/>
        <w:ind w:left="0" w:right="0" w:hanging="0"/>
        <w:rPr>
          <w:rFonts w:ascii="Arial" w:hAnsi="Arial"/>
          <w:color w:val="000000"/>
          <w:sz w:val="21"/>
        </w:rPr>
      </w:pPr>
      <w:r>
        <w:rPr>
          <w:rFonts w:ascii="Arial" w:hAnsi="Arial"/>
          <w:color w:val="000000"/>
          <w:sz w:val="21"/>
        </w:rPr>
        <w:t>We are proud to have been named to the Civic 50 for the sixth consecutive year. The Civic 50 recognizes the most community-minded companies in the United States.</w:t>
      </w:r>
    </w:p>
    <w:p>
      <w:pPr>
        <w:pStyle w:val="TextBody"/>
        <w:pBdr/>
        <w:spacing w:before="0" w:after="210"/>
        <w:ind w:left="0" w:right="0" w:hanging="0"/>
        <w:rPr>
          <w:rFonts w:ascii="Arial" w:hAnsi="Arial"/>
          <w:color w:val="000000"/>
          <w:sz w:val="21"/>
        </w:rPr>
      </w:pPr>
      <w:r>
        <w:rPr>
          <w:rFonts w:ascii="Arial" w:hAnsi="Arial"/>
          <w:color w:val="000000"/>
          <w:sz w:val="21"/>
        </w:rPr>
        <w:t>For more information about our responsibility efforts and results, please refer to the 2022 Responsibility Report available on our website.</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79" w:name="new_id-73"/>
      <w:bookmarkEnd w:id="79"/>
      <w:r>
        <w:rPr>
          <w:rFonts w:ascii="Arial" w:hAnsi="Arial"/>
          <w:b/>
          <w:i w:val="false"/>
          <w:caps w:val="false"/>
          <w:smallCaps w:val="false"/>
          <w:color w:val="D31B5D"/>
          <w:sz w:val="30"/>
          <w:bdr w:val="single" w:sz="12" w:space="2" w:color="245BA7"/>
        </w:rPr>
        <w:t xml:space="preserve">PUBLIC POLICY ENGAGEMENT </w:t>
      </w:r>
    </w:p>
    <w:p>
      <w:pPr>
        <w:pStyle w:val="TextBody"/>
        <w:pBdr/>
        <w:spacing w:before="0" w:after="210"/>
        <w:ind w:left="0" w:right="0" w:hanging="0"/>
        <w:rPr>
          <w:rFonts w:ascii="Arial" w:hAnsi="Arial"/>
          <w:color w:val="000000"/>
          <w:sz w:val="21"/>
        </w:rPr>
      </w:pPr>
      <w:r>
        <w:rPr>
          <w:rFonts w:ascii="Arial" w:hAnsi="Arial"/>
          <w:color w:val="000000"/>
          <w:sz w:val="21"/>
        </w:rPr>
        <w:t xml:space="preserve">We are committed to adhering to the highest ethical standards when engaging in any political activities. Reflecting this commitment, the board of directors (upon the recommendation of the Corporate Governance and Compliance Committee) has adopted the Company’s Corporate Political Contributions Policy, a formal written policy that, together with our code of business conduct and ethics, sets forth our policies and procedures on political contributions and political activity. The policy is available on our website at </w:t>
      </w:r>
      <w:r>
        <w:rPr>
          <w:rFonts w:ascii="Arial" w:hAnsi="Arial"/>
          <w:b/>
          <w:color w:val="000000"/>
          <w:sz w:val="21"/>
        </w:rPr>
        <w:t>www.regeneron.com</w:t>
      </w:r>
      <w:r>
        <w:rPr>
          <w:rFonts w:ascii="Arial" w:hAnsi="Arial"/>
          <w:color w:val="000000"/>
          <w:sz w:val="21"/>
        </w:rPr>
        <w:t xml:space="preserve"> under the “Transparency &amp; Policies” heading on the “Responsibility” page.</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80" w:name="new_id-74"/>
      <w:bookmarkEnd w:id="80"/>
      <w:r>
        <w:rPr>
          <w:rFonts w:ascii="Arial" w:hAnsi="Arial"/>
          <w:b/>
          <w:i w:val="false"/>
          <w:caps w:val="false"/>
          <w:smallCaps w:val="false"/>
          <w:color w:val="D31B5D"/>
          <w:sz w:val="30"/>
          <w:bdr w:val="single" w:sz="12" w:space="2" w:color="245BA7"/>
        </w:rPr>
        <w:t xml:space="preserve">STOCK OWNERSHIP GUIDELINES </w:t>
      </w:r>
    </w:p>
    <w:p>
      <w:pPr>
        <w:pStyle w:val="TextBody"/>
        <w:pBdr/>
        <w:spacing w:before="0" w:after="210"/>
        <w:ind w:left="0" w:right="0" w:hanging="0"/>
        <w:rPr>
          <w:rFonts w:ascii="Arial" w:hAnsi="Arial"/>
          <w:color w:val="000000"/>
          <w:sz w:val="21"/>
        </w:rPr>
      </w:pPr>
      <w:r>
        <w:rPr>
          <w:rFonts w:ascii="Arial" w:hAnsi="Arial"/>
          <w:color w:val="000000"/>
          <w:sz w:val="21"/>
        </w:rPr>
        <w:t>We maintain robust stock ownership guidelines for our directors, executive officers, and other senior executives, as shown below.</w:t>
      </w:r>
    </w:p>
    <w:tbl>
      <w:tblPr>
        <w:tblW w:w="10205" w:type="dxa"/>
        <w:jc w:val="left"/>
        <w:tblInd w:w="0" w:type="dxa"/>
        <w:tblCellMar>
          <w:top w:w="210" w:type="dxa"/>
          <w:left w:w="0" w:type="dxa"/>
          <w:bottom w:w="0" w:type="dxa"/>
          <w:right w:w="0" w:type="dxa"/>
        </w:tblCellMar>
      </w:tblPr>
      <w:tblGrid>
        <w:gridCol w:w="3406"/>
        <w:gridCol w:w="60"/>
        <w:gridCol w:w="3244"/>
        <w:gridCol w:w="60"/>
        <w:gridCol w:w="3435"/>
      </w:tblGrid>
      <w:tr>
        <w:trPr/>
        <w:tc>
          <w:tcPr>
            <w:tcW w:w="3406" w:type="dxa"/>
            <w:tcBorders>
              <w:top w:val="single" w:sz="2" w:space="0" w:color="000000"/>
            </w:tcBorders>
            <w:shd w:fill="auto" w:val="clear"/>
            <w:vAlign w:val="center"/>
          </w:tcPr>
          <w:p>
            <w:pPr>
              <w:pStyle w:val="TableContents"/>
              <w:pBdr/>
              <w:spacing w:before="0" w:after="60"/>
              <w:ind w:left="0" w:right="0" w:hanging="0"/>
              <w:rPr>
                <w:rFonts w:ascii="Arial" w:hAnsi="Arial"/>
                <w:b/>
                <w:color w:val="245BA7"/>
                <w:sz w:val="24"/>
              </w:rPr>
            </w:pPr>
            <w:r>
              <w:rPr>
                <w:rFonts w:ascii="Arial" w:hAnsi="Arial"/>
                <w:b/>
                <w:color w:val="245BA7"/>
                <w:sz w:val="24"/>
              </w:rPr>
              <w:t>Non-Employee Directors</w:t>
            </w:r>
          </w:p>
        </w:tc>
        <w:tc>
          <w:tcPr>
            <w:tcW w:w="60" w:type="dxa"/>
            <w:tcBorders/>
            <w:shd w:fill="auto" w:val="clear"/>
            <w:tcMar>
              <w:top w:w="0" w:type="dxa"/>
            </w:tcMar>
            <w:vAlign w:val="center"/>
          </w:tcPr>
          <w:p>
            <w:pPr>
              <w:pStyle w:val="TableContents"/>
              <w:pBdr/>
              <w:spacing w:before="0" w:after="0"/>
              <w:ind w:left="0" w:right="0" w:hanging="0"/>
              <w:rPr>
                <w:color w:val="000000"/>
              </w:rPr>
            </w:pPr>
            <w:r>
              <w:rPr>
                <w:color w:val="000000"/>
              </w:rPr>
              <w:t> </w:t>
            </w:r>
          </w:p>
        </w:tc>
        <w:tc>
          <w:tcPr>
            <w:tcW w:w="3244" w:type="dxa"/>
            <w:tcBorders>
              <w:top w:val="single" w:sz="2" w:space="0" w:color="000000"/>
            </w:tcBorders>
            <w:shd w:fill="auto" w:val="clear"/>
            <w:vAlign w:val="center"/>
          </w:tcPr>
          <w:p>
            <w:pPr>
              <w:pStyle w:val="TableContents"/>
              <w:pBdr/>
              <w:spacing w:before="0" w:after="60"/>
              <w:ind w:left="0" w:right="0" w:hanging="0"/>
              <w:rPr>
                <w:rFonts w:ascii="Arial" w:hAnsi="Arial"/>
                <w:b/>
                <w:color w:val="245BA7"/>
                <w:sz w:val="24"/>
              </w:rPr>
            </w:pPr>
            <w:r>
              <w:rPr>
                <w:rFonts w:ascii="Arial" w:hAnsi="Arial"/>
                <w:b/>
                <w:color w:val="245BA7"/>
                <w:sz w:val="24"/>
              </w:rPr>
              <w:t>CEO, CSO, and Chair of the Board</w:t>
            </w:r>
          </w:p>
        </w:tc>
        <w:tc>
          <w:tcPr>
            <w:tcW w:w="60" w:type="dxa"/>
            <w:tcBorders/>
            <w:shd w:fill="auto" w:val="clear"/>
            <w:tcMar>
              <w:top w:w="0" w:type="dxa"/>
            </w:tcMar>
            <w:vAlign w:val="center"/>
          </w:tcPr>
          <w:p>
            <w:pPr>
              <w:pStyle w:val="TableContents"/>
              <w:pBdr/>
              <w:spacing w:before="0" w:after="0"/>
              <w:ind w:left="0" w:right="0" w:hanging="0"/>
              <w:rPr>
                <w:color w:val="000000"/>
              </w:rPr>
            </w:pPr>
            <w:r>
              <w:rPr>
                <w:color w:val="000000"/>
              </w:rPr>
              <w:t> </w:t>
            </w:r>
          </w:p>
        </w:tc>
        <w:tc>
          <w:tcPr>
            <w:tcW w:w="3435" w:type="dxa"/>
            <w:tcBorders>
              <w:top w:val="single" w:sz="2" w:space="0" w:color="000000"/>
            </w:tcBorders>
            <w:shd w:fill="auto" w:val="clear"/>
            <w:vAlign w:val="center"/>
          </w:tcPr>
          <w:p>
            <w:pPr>
              <w:pStyle w:val="TableContents"/>
              <w:pBdr/>
              <w:spacing w:before="0" w:after="60"/>
              <w:ind w:left="0" w:right="0" w:hanging="0"/>
              <w:rPr>
                <w:rFonts w:ascii="Arial" w:hAnsi="Arial"/>
                <w:b/>
                <w:color w:val="245BA7"/>
                <w:sz w:val="24"/>
              </w:rPr>
            </w:pPr>
            <w:r>
              <w:rPr>
                <w:rFonts w:ascii="Arial" w:hAnsi="Arial"/>
                <w:b/>
                <w:color w:val="245BA7"/>
                <w:sz w:val="24"/>
              </w:rPr>
              <w:t xml:space="preserve">Other Executive Officers and Senior Executives </w:t>
            </w:r>
          </w:p>
        </w:tc>
      </w:tr>
      <w:tr>
        <w:trPr/>
        <w:tc>
          <w:tcPr>
            <w:tcW w:w="3406" w:type="dxa"/>
            <w:tcBorders>
              <w:bottom w:val="single" w:sz="2" w:space="0" w:color="000000"/>
            </w:tcBorders>
            <w:shd w:fill="auto" w:val="clear"/>
            <w:tcMar>
              <w:top w:w="0" w:type="dxa"/>
              <w:bottom w:w="135" w:type="dxa"/>
            </w:tcMar>
            <w:vAlign w:val="center"/>
          </w:tcPr>
          <w:p>
            <w:pPr>
              <w:pStyle w:val="TableContents"/>
              <w:pBdr/>
              <w:spacing w:before="0" w:after="60"/>
              <w:ind w:left="0" w:right="0" w:hanging="0"/>
              <w:rPr>
                <w:rFonts w:ascii="Arial" w:hAnsi="Arial"/>
                <w:color w:val="000000"/>
                <w:sz w:val="21"/>
              </w:rPr>
            </w:pPr>
            <w:r>
              <w:rPr>
                <w:rFonts w:ascii="Arial" w:hAnsi="Arial"/>
                <w:color w:val="000000"/>
                <w:sz w:val="21"/>
              </w:rPr>
              <w:t xml:space="preserve">Must own shares with a value at least </w:t>
            </w:r>
            <w:r>
              <w:rPr>
                <w:rFonts w:ascii="Arial" w:hAnsi="Arial"/>
                <w:b/>
                <w:color w:val="D31B5D"/>
                <w:sz w:val="21"/>
              </w:rPr>
              <w:t>3x</w:t>
            </w:r>
            <w:r>
              <w:rPr>
                <w:rFonts w:ascii="Arial" w:hAnsi="Arial"/>
                <w:color w:val="000000"/>
                <w:sz w:val="21"/>
              </w:rPr>
              <w:t xml:space="preserve"> their annual retainers.</w:t>
            </w:r>
          </w:p>
        </w:tc>
        <w:tc>
          <w:tcPr>
            <w:tcW w:w="60" w:type="dxa"/>
            <w:tcBorders/>
            <w:shd w:fill="auto" w:val="clear"/>
            <w:tcMar>
              <w:top w:w="0" w:type="dxa"/>
            </w:tcMar>
            <w:vAlign w:val="center"/>
          </w:tcPr>
          <w:p>
            <w:pPr>
              <w:pStyle w:val="TableContents"/>
              <w:pBdr/>
              <w:spacing w:before="0" w:after="0"/>
              <w:ind w:left="0" w:right="0" w:hanging="0"/>
              <w:rPr>
                <w:color w:val="000000"/>
              </w:rPr>
            </w:pPr>
            <w:r>
              <w:rPr>
                <w:color w:val="000000"/>
              </w:rPr>
              <w:t> </w:t>
            </w:r>
          </w:p>
        </w:tc>
        <w:tc>
          <w:tcPr>
            <w:tcW w:w="3244" w:type="dxa"/>
            <w:tcBorders>
              <w:bottom w:val="single" w:sz="2" w:space="0" w:color="000000"/>
            </w:tcBorders>
            <w:shd w:fill="auto" w:val="clear"/>
            <w:tcMar>
              <w:top w:w="0" w:type="dxa"/>
              <w:bottom w:w="135" w:type="dxa"/>
            </w:tcMar>
            <w:vAlign w:val="center"/>
          </w:tcPr>
          <w:p>
            <w:pPr>
              <w:pStyle w:val="TableContents"/>
              <w:pBdr/>
              <w:spacing w:before="0" w:after="60"/>
              <w:ind w:left="0" w:right="0" w:hanging="0"/>
              <w:rPr>
                <w:rFonts w:ascii="Arial" w:hAnsi="Arial"/>
                <w:color w:val="000000"/>
                <w:sz w:val="21"/>
              </w:rPr>
            </w:pPr>
            <w:r>
              <w:rPr>
                <w:rFonts w:ascii="Arial" w:hAnsi="Arial"/>
                <w:color w:val="000000"/>
                <w:sz w:val="21"/>
              </w:rPr>
              <w:t xml:space="preserve">Must own shares with a value at least </w:t>
            </w:r>
            <w:r>
              <w:rPr>
                <w:rFonts w:ascii="Arial" w:hAnsi="Arial"/>
                <w:b/>
                <w:color w:val="D31B5D"/>
                <w:sz w:val="21"/>
              </w:rPr>
              <w:t>6x</w:t>
            </w:r>
            <w:r>
              <w:rPr>
                <w:rFonts w:ascii="Arial" w:hAnsi="Arial"/>
                <w:color w:val="000000"/>
                <w:sz w:val="21"/>
              </w:rPr>
              <w:t xml:space="preserve"> their respective base salaries.</w:t>
            </w:r>
          </w:p>
        </w:tc>
        <w:tc>
          <w:tcPr>
            <w:tcW w:w="60" w:type="dxa"/>
            <w:tcBorders/>
            <w:shd w:fill="auto" w:val="clear"/>
            <w:tcMar>
              <w:top w:w="0" w:type="dxa"/>
            </w:tcMar>
            <w:vAlign w:val="center"/>
          </w:tcPr>
          <w:p>
            <w:pPr>
              <w:pStyle w:val="TableContents"/>
              <w:pBdr/>
              <w:spacing w:before="0" w:after="0"/>
              <w:ind w:left="0" w:right="0" w:hanging="0"/>
              <w:rPr>
                <w:color w:val="000000"/>
              </w:rPr>
            </w:pPr>
            <w:r>
              <w:rPr>
                <w:color w:val="000000"/>
              </w:rPr>
              <w:t> </w:t>
            </w:r>
          </w:p>
        </w:tc>
        <w:tc>
          <w:tcPr>
            <w:tcW w:w="3435" w:type="dxa"/>
            <w:tcBorders>
              <w:bottom w:val="single" w:sz="2" w:space="0" w:color="000000"/>
            </w:tcBorders>
            <w:shd w:fill="auto" w:val="clear"/>
            <w:tcMar>
              <w:top w:w="0" w:type="dxa"/>
              <w:bottom w:w="135" w:type="dxa"/>
            </w:tcMar>
            <w:vAlign w:val="center"/>
          </w:tcPr>
          <w:p>
            <w:pPr>
              <w:pStyle w:val="TableContents"/>
              <w:pBdr/>
              <w:spacing w:before="0" w:after="60"/>
              <w:ind w:left="0" w:right="0" w:hanging="0"/>
              <w:rPr>
                <w:rFonts w:ascii="Arial" w:hAnsi="Arial"/>
                <w:color w:val="000000"/>
                <w:sz w:val="21"/>
              </w:rPr>
            </w:pPr>
            <w:r>
              <w:rPr>
                <w:rFonts w:ascii="Arial" w:hAnsi="Arial"/>
                <w:color w:val="000000"/>
                <w:sz w:val="21"/>
              </w:rPr>
              <w:t xml:space="preserve">Must own shares with a value at least </w:t>
            </w:r>
            <w:r>
              <w:rPr>
                <w:rFonts w:ascii="Arial" w:hAnsi="Arial"/>
                <w:b/>
                <w:color w:val="D31B5D"/>
                <w:sz w:val="21"/>
              </w:rPr>
              <w:t>2x</w:t>
            </w:r>
            <w:r>
              <w:rPr>
                <w:rFonts w:ascii="Arial" w:hAnsi="Arial"/>
                <w:color w:val="000000"/>
                <w:sz w:val="21"/>
              </w:rPr>
              <w:t xml:space="preserve"> their respective base salaries.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6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8" descr=""/>
                          <pic:cNvPicPr>
                            <a:picLocks noChangeAspect="1" noChangeArrowheads="1"/>
                          </pic:cNvPicPr>
                        </pic:nvPicPr>
                        <pic:blipFill>
                          <a:blip r:embed="rId129"/>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41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jc w:val="left"/>
        <w:rPr/>
      </w:pPr>
      <w:r>
        <w:rPr/>
        <w:drawing>
          <wp:inline distT="0" distB="0" distL="0" distR="0">
            <wp:extent cx="7620000" cy="1552575"/>
            <wp:effectExtent l="0" t="0" r="0" b="0"/>
            <wp:docPr id="16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9" descr=""/>
                    <pic:cNvPicPr>
                      <a:picLocks noChangeAspect="1" noChangeArrowheads="1"/>
                    </pic:cNvPicPr>
                  </pic:nvPicPr>
                  <pic:blipFill>
                    <a:blip r:embed="rId130"/>
                    <a:stretch>
                      <a:fillRect/>
                    </a:stretch>
                  </pic:blipFill>
                  <pic:spPr bwMode="auto">
                    <a:xfrm>
                      <a:off x="0" y="0"/>
                      <a:ext cx="7620000" cy="1552575"/>
                    </a:xfrm>
                    <a:prstGeom prst="rect">
                      <a:avLst/>
                    </a:prstGeom>
                  </pic:spPr>
                </pic:pic>
              </a:graphicData>
            </a:graphic>
          </wp:inline>
        </w:drawing>
      </w:r>
    </w:p>
    <w:p>
      <w:pPr>
        <w:pStyle w:val="Heading1"/>
        <w:pBdr/>
        <w:spacing w:before="0" w:after="0"/>
        <w:ind w:left="200" w:right="0" w:hanging="0"/>
        <w:rPr>
          <w:rFonts w:ascii="Arial" w:hAnsi="Arial"/>
          <w:b/>
          <w:i w:val="false"/>
          <w:caps w:val="false"/>
          <w:smallCaps w:val="false"/>
          <w:color w:val="245BA7"/>
          <w:sz w:val="54"/>
        </w:rPr>
      </w:pPr>
      <w:bookmarkStart w:id="81" w:name="new_id-76"/>
      <w:bookmarkStart w:id="82" w:name="new_id-75"/>
      <w:bookmarkEnd w:id="81"/>
      <w:bookmarkEnd w:id="82"/>
      <w:r>
        <w:rPr>
          <w:rFonts w:ascii="Arial" w:hAnsi="Arial"/>
          <w:b/>
          <w:i w:val="false"/>
          <w:caps w:val="false"/>
          <w:smallCaps w:val="false"/>
          <w:color w:val="245BA7"/>
          <w:sz w:val="54"/>
        </w:rPr>
        <w:t>CERTAIN RELATIONSHIPS AND RELATED</w:t>
        <w:br/>
        <w:t xml:space="preserve">TRANSACTIONS </w:t>
      </w:r>
    </w:p>
    <w:p>
      <w:pPr>
        <w:pStyle w:val="TextBody"/>
        <w:pBdr/>
        <w:spacing w:before="0" w:after="0"/>
        <w:ind w:left="0" w:right="0" w:hanging="0"/>
        <w:jc w:val="left"/>
        <w:rPr>
          <w:caps w:val="false"/>
          <w:smallCaps w:val="false"/>
        </w:rPr>
      </w:pPr>
      <w:r>
        <w:rPr>
          <w:caps w:val="false"/>
          <w:smallCaps w:val="false"/>
        </w:rPr>
        <w:t> </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83" w:name="new_id-77"/>
      <w:bookmarkEnd w:id="83"/>
      <w:r>
        <w:rPr>
          <w:rFonts w:ascii="Arial" w:hAnsi="Arial"/>
          <w:b/>
          <w:i w:val="false"/>
          <w:caps w:val="false"/>
          <w:smallCaps w:val="false"/>
          <w:color w:val="D31B5D"/>
          <w:sz w:val="30"/>
          <w:bdr w:val="single" w:sz="12" w:space="2" w:color="245BA7"/>
        </w:rPr>
        <w:t xml:space="preserve">REVIEW, APPROVAL, OR RATIFICATION OF TRANSACTIONS WITH RELATED PERSONS </w:t>
      </w:r>
    </w:p>
    <w:p>
      <w:pPr>
        <w:pStyle w:val="TextBody"/>
        <w:pBdr/>
        <w:spacing w:before="0" w:after="210"/>
        <w:ind w:left="0" w:right="0" w:hanging="0"/>
        <w:rPr>
          <w:rFonts w:ascii="Arial" w:hAnsi="Arial"/>
          <w:color w:val="000000"/>
          <w:sz w:val="21"/>
        </w:rPr>
      </w:pPr>
      <w:r>
        <w:rPr>
          <w:rFonts w:ascii="Arial" w:hAnsi="Arial"/>
          <w:color w:val="000000"/>
          <w:sz w:val="21"/>
        </w:rPr>
        <w:t>The board of directors has adopted a written policy for the review, approval, or ratification of related person transactions. The Company considers transactions (or a series of related transactions) in which the Company is a participant, the amount involved exceeds $10,000 in any calendar year, and a director, officer, more than 5% holder of our voting securities, any immediate family member of any of the foregoing, or any related entity of any of the foregoing has a direct or indirect material interest to constitute related person transactions. The policy provides for a standing pre-approval of transactions with any passive institutional shareholder who holds more than 5% of our voting securities and transactions where all shareholders receive proportional benefits. With respect to any new transaction that is deemed pre-approved, the Audit Committee receives a summary of each such transaction and retains the ability to require that one or more of such transactions be subject to the standard approval procedures. The policy also requires that the arrangements relating to a permanent, full-time employment of an immediate family member of a director or executive officer hired by the Company be approved in accordance with the policy. In addition, in the event a person is or becomes a director or executive officer of the Company and an immediate family member of such person is a permanent, full-time employee of the Company, no material, outside-of-the-ordinary-course-of-business change in the terms of employment, including compensation, is permitted to be made without the prior approval of the Audit Committee (except, if the immediate family member is himself or herself an executive officer of the Company, any proposed change in the terms of employment is reviewed and approved in the same manner as compensatory arrangements of other executive officers).</w:t>
      </w:r>
    </w:p>
    <w:p>
      <w:pPr>
        <w:pStyle w:val="TextBody"/>
        <w:pBdr/>
        <w:spacing w:before="0" w:after="210"/>
        <w:ind w:left="0" w:right="0" w:hanging="0"/>
        <w:rPr>
          <w:rFonts w:ascii="Arial" w:hAnsi="Arial"/>
          <w:color w:val="000000"/>
          <w:sz w:val="21"/>
        </w:rPr>
      </w:pPr>
      <w:r>
        <w:rPr>
          <w:rFonts w:ascii="Arial" w:hAnsi="Arial"/>
          <w:color w:val="000000"/>
          <w:sz w:val="21"/>
        </w:rPr>
        <w:t>The board of directors has determined that the members of the Audit Committee are best suited to review and approve related person transactions. Accordingly, each related person transaction (other than a transaction that is deemed pre-approved as described above) must be reviewed and approved or ratified by the members of the Audit Committee, other than any member of the Audit Committee that has an interest in the transaction. Under the policy, the Chair of the Audit Committee is delegated the authority to approve certain related person transactions that require urgent review and approval.</w:t>
      </w:r>
    </w:p>
    <w:p>
      <w:pPr>
        <w:pStyle w:val="TextBody"/>
        <w:pBdr/>
        <w:spacing w:before="0" w:after="210"/>
        <w:ind w:left="0" w:right="0" w:hanging="0"/>
        <w:rPr>
          <w:rFonts w:ascii="Arial" w:hAnsi="Arial"/>
          <w:color w:val="000000"/>
          <w:sz w:val="21"/>
        </w:rPr>
      </w:pPr>
      <w:r>
        <w:rPr>
          <w:rFonts w:ascii="Arial" w:hAnsi="Arial"/>
          <w:color w:val="000000"/>
          <w:sz w:val="21"/>
        </w:rPr>
        <w:t>When reviewing, approving, or ratifying a related person transaction, the Audit Committee will consider several factors, including the benefits to the Company, the impact on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 of the Audit Committee pursuant to delegated authority in the circumstances noted above) determines that they are in, or are not inconsistent with, the best interests of the Company and our shareholders.</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84" w:name="new_id-78"/>
      <w:bookmarkEnd w:id="84"/>
      <w:r>
        <w:rPr>
          <w:rFonts w:ascii="Arial" w:hAnsi="Arial"/>
          <w:b/>
          <w:i w:val="false"/>
          <w:caps w:val="false"/>
          <w:smallCaps w:val="false"/>
          <w:color w:val="D31B5D"/>
          <w:sz w:val="30"/>
          <w:bdr w:val="single" w:sz="12" w:space="2" w:color="245BA7"/>
        </w:rPr>
        <w:t xml:space="preserve">TRANSACTIONS WITH RELATED PERSONS </w:t>
      </w:r>
    </w:p>
    <w:p>
      <w:pPr>
        <w:pStyle w:val="Heading4"/>
        <w:pBdr/>
        <w:spacing w:before="0" w:after="150"/>
        <w:ind w:left="0" w:right="0" w:hanging="0"/>
        <w:rPr>
          <w:rFonts w:ascii="Arial" w:hAnsi="Arial"/>
          <w:b/>
          <w:i w:val="false"/>
          <w:caps w:val="false"/>
          <w:smallCaps w:val="false"/>
          <w:color w:val="245BA7"/>
          <w:sz w:val="24"/>
        </w:rPr>
      </w:pPr>
      <w:bookmarkStart w:id="85" w:name="new_id-79"/>
      <w:bookmarkEnd w:id="85"/>
      <w:r>
        <w:rPr>
          <w:rFonts w:ascii="Arial" w:hAnsi="Arial"/>
          <w:b/>
          <w:i w:val="false"/>
          <w:caps w:val="false"/>
          <w:smallCaps w:val="false"/>
          <w:color w:val="245BA7"/>
          <w:sz w:val="24"/>
        </w:rPr>
        <w:t xml:space="preserve">Stanford University </w:t>
      </w:r>
    </w:p>
    <w:p>
      <w:pPr>
        <w:pStyle w:val="TextBody"/>
        <w:pBdr/>
        <w:spacing w:before="0" w:after="210"/>
        <w:ind w:left="0" w:right="0" w:hanging="0"/>
        <w:rPr>
          <w:rFonts w:ascii="Arial" w:hAnsi="Arial"/>
          <w:color w:val="000000"/>
          <w:sz w:val="21"/>
        </w:rPr>
      </w:pPr>
      <w:r>
        <w:rPr>
          <w:rFonts w:ascii="Arial" w:hAnsi="Arial"/>
          <w:color w:val="000000"/>
          <w:sz w:val="21"/>
        </w:rPr>
        <w:t>Dr. Tessier-Lavigne has served as the President of Stanford University in 2022 and 2023 to date. In 2022, we made payments to Stanford University of approximately $145,500 in the aggregate consisting of a medical education fellowship grant and contractual royalty and software technology license payments. In 2023 through the end of the first quarter, we made payments to Stanford of approximately $118,500 in the aggregate consisting of a payment for services provided in connection with a clinical trial entered into in the ordinary course of business and a contractual royalty payment.</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7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0" descr=""/>
                          <pic:cNvPicPr>
                            <a:picLocks noChangeAspect="1" noChangeArrowheads="1"/>
                          </pic:cNvPicPr>
                        </pic:nvPicPr>
                        <pic:blipFill>
                          <a:blip r:embed="rId131"/>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42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86" w:name="new_id-80"/>
      <w:bookmarkEnd w:id="86"/>
      <w:r>
        <w:rPr>
          <w:rFonts w:ascii="Arial" w:hAnsi="Arial"/>
          <w:b/>
          <w:i w:val="false"/>
          <w:caps w:val="false"/>
          <w:smallCaps w:val="false"/>
          <w:color w:val="D31B5D"/>
          <w:sz w:val="30"/>
          <w:bdr w:val="single" w:sz="12" w:space="2" w:color="245BA7"/>
        </w:rPr>
        <w:t xml:space="preserve">OTHER </w:t>
      </w:r>
    </w:p>
    <w:p>
      <w:pPr>
        <w:pStyle w:val="Heading4"/>
        <w:pBdr/>
        <w:spacing w:before="0" w:after="150"/>
        <w:ind w:left="0" w:right="0" w:hanging="0"/>
        <w:rPr>
          <w:rFonts w:ascii="Arial" w:hAnsi="Arial"/>
          <w:b/>
          <w:i w:val="false"/>
          <w:caps w:val="false"/>
          <w:smallCaps w:val="false"/>
          <w:color w:val="245BA7"/>
          <w:sz w:val="24"/>
        </w:rPr>
      </w:pPr>
      <w:bookmarkStart w:id="87" w:name="new_id-81"/>
      <w:bookmarkEnd w:id="87"/>
      <w:r>
        <w:rPr>
          <w:rFonts w:ascii="Arial" w:hAnsi="Arial"/>
          <w:b/>
          <w:i w:val="false"/>
          <w:caps w:val="false"/>
          <w:smallCaps w:val="false"/>
          <w:color w:val="245BA7"/>
          <w:sz w:val="24"/>
        </w:rPr>
        <w:t xml:space="preserve">Indemnification of Directors and Officers </w:t>
      </w:r>
    </w:p>
    <w:p>
      <w:pPr>
        <w:pStyle w:val="TextBody"/>
        <w:pBdr/>
        <w:spacing w:before="0" w:after="210"/>
        <w:ind w:left="0" w:right="0" w:hanging="0"/>
        <w:rPr>
          <w:rFonts w:ascii="Arial" w:hAnsi="Arial"/>
          <w:color w:val="000000"/>
          <w:sz w:val="21"/>
        </w:rPr>
      </w:pPr>
      <w:r>
        <w:rPr>
          <w:rFonts w:ascii="Arial" w:hAnsi="Arial"/>
          <w:color w:val="000000"/>
          <w:sz w:val="21"/>
        </w:rPr>
        <w:t>Our Certificate of Incorporation provides that, to the fullest extent permitted under the New York Business Corporation Law, no director or officer of our Company shall be personally liable to the Company or its shareholders for monetary damages for any breach of fiduciary duty in such capacity. In addition, our Amended and Restated By-Laws provide that we shall indemnify our directors and certain of our other personnel against expenses (including attorneys’ fees) and certain other liabilities, including judgments, fines, and amounts paid in settlement, arising out of or incurred as a result of legal actions brought or threatened against them by reason of their position in our Company, subject to certain qualifications and provided that each such person acted in good faith, in a manner that they reasonably believed was in the Company’s best interest, and, where applicable, not unlawful. Subject to the provisions of our Certificate of Incorporation, our Amended and Restated By-Laws, and the New York Business Corporation Law, we may also advance expenses of the individuals entitled to indemnification.</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7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31" descr=""/>
                          <pic:cNvPicPr>
                            <a:picLocks noChangeAspect="1" noChangeArrowheads="1"/>
                          </pic:cNvPicPr>
                        </pic:nvPicPr>
                        <pic:blipFill>
                          <a:blip r:embed="rId132"/>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43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jc w:val="left"/>
        <w:rPr/>
      </w:pPr>
      <w:r>
        <w:rPr/>
        <w:drawing>
          <wp:inline distT="0" distB="0" distL="0" distR="0">
            <wp:extent cx="7620000" cy="1552575"/>
            <wp:effectExtent l="0" t="0" r="0" b="0"/>
            <wp:docPr id="17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32" descr=""/>
                    <pic:cNvPicPr>
                      <a:picLocks noChangeAspect="1" noChangeArrowheads="1"/>
                    </pic:cNvPicPr>
                  </pic:nvPicPr>
                  <pic:blipFill>
                    <a:blip r:embed="rId133"/>
                    <a:stretch>
                      <a:fillRect/>
                    </a:stretch>
                  </pic:blipFill>
                  <pic:spPr bwMode="auto">
                    <a:xfrm>
                      <a:off x="0" y="0"/>
                      <a:ext cx="7620000" cy="1552575"/>
                    </a:xfrm>
                    <a:prstGeom prst="rect">
                      <a:avLst/>
                    </a:prstGeom>
                  </pic:spPr>
                </pic:pic>
              </a:graphicData>
            </a:graphic>
          </wp:inline>
        </w:drawing>
      </w:r>
      <w:r>
        <w:rPr/>
        <w:t xml:space="preserve"> </w:t>
      </w:r>
    </w:p>
    <w:p>
      <w:pPr>
        <w:pStyle w:val="Heading1"/>
        <w:pBdr/>
        <w:spacing w:before="0" w:after="0"/>
        <w:ind w:left="200" w:right="0" w:hanging="0"/>
        <w:rPr>
          <w:rFonts w:ascii="Arial" w:hAnsi="Arial"/>
          <w:b/>
          <w:i w:val="false"/>
          <w:caps w:val="false"/>
          <w:smallCaps w:val="false"/>
          <w:color w:val="245BA7"/>
          <w:sz w:val="54"/>
        </w:rPr>
      </w:pPr>
      <w:bookmarkStart w:id="88" w:name="new_id-82"/>
      <w:bookmarkEnd w:id="88"/>
      <w:r>
        <w:rPr>
          <w:rFonts w:ascii="Arial" w:hAnsi="Arial"/>
          <w:b/>
          <w:i w:val="false"/>
          <w:caps w:val="false"/>
          <w:smallCaps w:val="false"/>
          <w:color w:val="245BA7"/>
          <w:sz w:val="54"/>
        </w:rPr>
        <w:t xml:space="preserve">AUDIT MATTERS </w:t>
      </w:r>
    </w:p>
    <w:p>
      <w:pPr>
        <w:pStyle w:val="TextBody"/>
        <w:pBdr/>
        <w:spacing w:before="0" w:after="0"/>
        <w:ind w:left="0" w:right="0" w:hanging="0"/>
        <w:jc w:val="left"/>
        <w:rPr>
          <w:caps w:val="false"/>
          <w:smallCaps w:val="false"/>
        </w:rPr>
      </w:pPr>
      <w:r>
        <w:rPr>
          <w:caps w:val="false"/>
          <w:smallCaps w:val="false"/>
        </w:rPr>
        <w:t> </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89" w:name="new_id-83"/>
      <w:bookmarkEnd w:id="89"/>
      <w:r>
        <w:rPr>
          <w:rFonts w:ascii="Arial" w:hAnsi="Arial"/>
          <w:b/>
          <w:i w:val="false"/>
          <w:caps w:val="false"/>
          <w:smallCaps w:val="false"/>
          <w:color w:val="D31B5D"/>
          <w:sz w:val="30"/>
          <w:bdr w:val="single" w:sz="12" w:space="2" w:color="245BA7"/>
        </w:rPr>
        <w:t xml:space="preserve">INTRODUCTION </w:t>
      </w:r>
    </w:p>
    <w:p>
      <w:pPr>
        <w:pStyle w:val="TextBody"/>
        <w:pBdr/>
        <w:spacing w:before="0" w:after="210"/>
        <w:ind w:left="0" w:right="0" w:hanging="0"/>
        <w:rPr>
          <w:rFonts w:ascii="Arial" w:hAnsi="Arial"/>
          <w:color w:val="000000"/>
          <w:sz w:val="21"/>
        </w:rPr>
      </w:pPr>
      <w:r>
        <w:rPr>
          <w:rFonts w:ascii="Arial" w:hAnsi="Arial"/>
          <w:color w:val="000000"/>
          <w:sz w:val="21"/>
        </w:rPr>
        <w:t>The Audit Committee has appointed PricewaterhouseCoopers LLP as the Company’s independent registered public accounting firm for the fiscal year ending December 31, 2023. PricewaterhouseCoopers LLP (or its predecessor) has audited the Company’s financial statements for the past 34 years. The Audit Committee believes that the continued engagement of one independent registered public accounting firm contributes to higher quality audit work and greater operational efficiencies by leveraging PricewaterhouseCoopers LLP’s deep institutional knowledge of our operations and business, accounting policies and practices, and internal controls. SEC rules and PricewaterhouseCoopers LLP policies require the lead audit partner to be rotated at least every five years. The Audit Committee and its Chair are involved in the selection of PricewaterhouseCoopers LLP’s lead audit partner pursuant to this rotation. A new lead audit partner was selected beginning with the fiscal year 2022 audit. Additionally, in order to ensure continuing auditor independence, the Audit Committee periodically considers whether there should be a regular rotation of the Company’s independent registered public accounting firm.</w:t>
      </w:r>
    </w:p>
    <w:p>
      <w:pPr>
        <w:pStyle w:val="TextBody"/>
        <w:pBdr/>
        <w:spacing w:before="0" w:after="210"/>
        <w:ind w:left="0" w:right="0" w:hanging="0"/>
        <w:rPr>
          <w:rFonts w:ascii="Arial" w:hAnsi="Arial"/>
          <w:color w:val="000000"/>
          <w:sz w:val="21"/>
        </w:rPr>
      </w:pPr>
      <w:r>
        <w:rPr>
          <w:rFonts w:ascii="Arial" w:hAnsi="Arial"/>
          <w:color w:val="000000"/>
          <w:sz w:val="21"/>
        </w:rPr>
        <w:t>The Audit Committee and the board of directors believe that the continued retention of PricewaterhouseCoopers LLP to serve as the Company’s independent registered public accounting firm is in the best interests of the Company and its shareholders.</w:t>
      </w:r>
    </w:p>
    <w:p>
      <w:pPr>
        <w:pStyle w:val="TextBody"/>
        <w:pBdr/>
        <w:spacing w:before="0" w:after="210"/>
        <w:ind w:left="0" w:right="0" w:hanging="0"/>
        <w:rPr>
          <w:rFonts w:ascii="Arial" w:hAnsi="Arial"/>
          <w:color w:val="000000"/>
          <w:sz w:val="21"/>
        </w:rPr>
      </w:pPr>
      <w:r>
        <w:rPr>
          <w:rFonts w:ascii="Arial" w:hAnsi="Arial"/>
          <w:color w:val="000000"/>
          <w:sz w:val="21"/>
        </w:rPr>
        <w:t>The board of directors has directed that the appointment of PricewaterhouseCoopers LLP as the Company’s independent registered public accounting firm for fiscal year 2023 be submitted for ratification by the shareholders at the 2023 Annual Meeting. Shareholder ratification of the appointment of PricewaterhouseCoopers LLP as the Company’s independent registered public accounting firm for fiscal year 2023 is not required by the Company’s charter documents or otherwise, but is being pursued as a matter of good corporate practice. If shareholders do not ratify the appointment of PricewaterhouseCoopers LLP as the Company’s independent registered public accounting firm for fiscal year 2023, the board of directors will consider the matter at its next meeting. Even if the selection is ratified, the Audit Committee may in its discretion select a different independent registered public accounting firm at any time during the year if it determines that such a change would be in the best interests of the Company and its shareholders.</w:t>
      </w:r>
    </w:p>
    <w:p>
      <w:pPr>
        <w:pStyle w:val="TextBody"/>
        <w:pBdr/>
        <w:spacing w:before="0" w:after="210"/>
        <w:ind w:left="0" w:right="0" w:hanging="0"/>
        <w:rPr>
          <w:rFonts w:ascii="Arial" w:hAnsi="Arial"/>
          <w:color w:val="000000"/>
          <w:sz w:val="21"/>
        </w:rPr>
      </w:pPr>
      <w:r>
        <w:rPr>
          <w:rFonts w:ascii="Arial" w:hAnsi="Arial"/>
          <w:color w:val="000000"/>
          <w:sz w:val="21"/>
        </w:rPr>
        <w:t>PricewaterhouseCoopers LLP has advised the Company that it will have in attendance at the 2023 Annual Meeting a representative who will be afforded an opportunity to make a statement, if such representative desires to do so, and will respond to appropriate questions presented at the 2023 Annual Meeting.</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90" w:name="new_id-84"/>
      <w:bookmarkEnd w:id="90"/>
      <w:r>
        <w:rPr>
          <w:rFonts w:ascii="Arial" w:hAnsi="Arial"/>
          <w:b/>
          <w:i w:val="false"/>
          <w:caps w:val="false"/>
          <w:smallCaps w:val="false"/>
          <w:color w:val="D31B5D"/>
          <w:sz w:val="30"/>
          <w:bdr w:val="single" w:sz="12" w:space="2" w:color="245BA7"/>
        </w:rPr>
        <w:t xml:space="preserve">INFORMATION ABOUT FEES PAID TO INDEPENDENT REGISTERED PUBLIC ACCOUNTING FIRM </w:t>
      </w:r>
    </w:p>
    <w:p>
      <w:pPr>
        <w:pStyle w:val="TextBody"/>
        <w:pBdr/>
        <w:spacing w:before="0" w:after="210"/>
        <w:ind w:left="0" w:right="0" w:hanging="0"/>
        <w:rPr>
          <w:rFonts w:ascii="Arial" w:hAnsi="Arial"/>
          <w:color w:val="000000"/>
          <w:sz w:val="21"/>
        </w:rPr>
      </w:pPr>
      <w:r>
        <w:rPr>
          <w:rFonts w:ascii="Arial" w:hAnsi="Arial"/>
          <w:color w:val="000000"/>
          <w:sz w:val="21"/>
        </w:rPr>
        <w:t>Aggregate fees incurred related to services provided to the Company by PricewaterhouseCoopers LLP for the years ended December 31, 2022 and 2021 were:</w:t>
      </w:r>
    </w:p>
    <w:tbl>
      <w:tblPr>
        <w:tblW w:w="3903" w:type="dxa"/>
        <w:jc w:val="left"/>
        <w:tblInd w:w="0" w:type="dxa"/>
        <w:tblCellMar>
          <w:top w:w="0" w:type="dxa"/>
          <w:left w:w="0" w:type="dxa"/>
          <w:bottom w:w="90" w:type="dxa"/>
          <w:right w:w="0" w:type="dxa"/>
        </w:tblCellMar>
      </w:tblPr>
      <w:tblGrid>
        <w:gridCol w:w="1786"/>
        <w:gridCol w:w="1036"/>
        <w:gridCol w:w="1081"/>
      </w:tblGrid>
      <w:tr>
        <w:trPr/>
        <w:tc>
          <w:tcPr>
            <w:tcW w:w="1786" w:type="dxa"/>
            <w:tcBorders>
              <w:bottom w:val="single" w:sz="12" w:space="0" w:color="245BA7"/>
            </w:tcBorders>
            <w:shd w:fill="auto" w:val="clear"/>
            <w:vAlign w:val="center"/>
          </w:tcPr>
          <w:p>
            <w:pPr>
              <w:pStyle w:val="TableContents"/>
              <w:pBdr/>
              <w:spacing w:before="15" w:after="0"/>
              <w:ind w:left="75" w:right="75" w:hanging="0"/>
              <w:rPr>
                <w:color w:val="245BA7"/>
              </w:rPr>
            </w:pPr>
            <w:r>
              <w:rPr>
                <w:color w:val="245BA7"/>
              </w:rPr>
              <w:t> </w:t>
            </w:r>
          </w:p>
        </w:tc>
        <w:tc>
          <w:tcPr>
            <w:tcW w:w="1036" w:type="dxa"/>
            <w:tcBorders>
              <w:bottom w:val="single" w:sz="12" w:space="0" w:color="245BA7"/>
            </w:tcBorders>
            <w:shd w:fill="auto" w:val="clear"/>
            <w:vAlign w:val="center"/>
          </w:tcPr>
          <w:p>
            <w:pPr>
              <w:pStyle w:val="TableContents"/>
              <w:pBdr/>
              <w:spacing w:before="15" w:after="0"/>
              <w:ind w:left="75" w:right="75" w:hanging="0"/>
              <w:jc w:val="right"/>
              <w:rPr>
                <w:rFonts w:ascii="Arial" w:hAnsi="Arial"/>
                <w:b/>
                <w:color w:val="245BA7"/>
                <w:sz w:val="18"/>
              </w:rPr>
            </w:pPr>
            <w:r>
              <w:rPr>
                <w:rFonts w:ascii="Arial" w:hAnsi="Arial"/>
                <w:b/>
                <w:color w:val="245BA7"/>
                <w:sz w:val="18"/>
              </w:rPr>
              <w:t>2022 ($)</w:t>
            </w:r>
          </w:p>
        </w:tc>
        <w:tc>
          <w:tcPr>
            <w:tcW w:w="1081" w:type="dxa"/>
            <w:tcBorders>
              <w:bottom w:val="single" w:sz="12" w:space="0" w:color="245BA7"/>
            </w:tcBorders>
            <w:shd w:fill="auto" w:val="clear"/>
            <w:vAlign w:val="center"/>
          </w:tcPr>
          <w:p>
            <w:pPr>
              <w:pStyle w:val="TableContents"/>
              <w:pBdr/>
              <w:spacing w:before="15" w:after="0"/>
              <w:ind w:left="75" w:right="75" w:hanging="0"/>
              <w:jc w:val="right"/>
              <w:rPr>
                <w:rFonts w:ascii="Arial" w:hAnsi="Arial"/>
                <w:b/>
                <w:color w:val="245BA7"/>
                <w:sz w:val="18"/>
              </w:rPr>
            </w:pPr>
            <w:r>
              <w:rPr>
                <w:rFonts w:ascii="Arial" w:hAnsi="Arial"/>
                <w:b/>
                <w:color w:val="245BA7"/>
                <w:sz w:val="18"/>
              </w:rPr>
              <w:t>2021 ($)</w:t>
            </w:r>
          </w:p>
        </w:tc>
      </w:tr>
      <w:tr>
        <w:trPr/>
        <w:tc>
          <w:tcPr>
            <w:tcW w:w="1786"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Audit Fees</w:t>
            </w:r>
          </w:p>
        </w:tc>
        <w:tc>
          <w:tcPr>
            <w:tcW w:w="1036" w:type="dxa"/>
            <w:tcBorders>
              <w:bottom w:val="single" w:sz="2" w:space="0" w:color="575756"/>
            </w:tcBorders>
            <w:shd w:fill="auto" w:val="clear"/>
            <w:tcMar>
              <w:bottom w:w="45" w:type="dxa"/>
            </w:tcMar>
            <w:vAlign w:val="center"/>
          </w:tcPr>
          <w:p>
            <w:pPr>
              <w:pStyle w:val="TableContents"/>
              <w:pBdr/>
              <w:spacing w:before="0" w:after="45"/>
              <w:ind w:left="75" w:right="75" w:hanging="0"/>
              <w:jc w:val="right"/>
              <w:rPr>
                <w:rFonts w:ascii="Arial" w:hAnsi="Arial"/>
                <w:color w:val="000000"/>
                <w:sz w:val="20"/>
              </w:rPr>
            </w:pPr>
            <w:r>
              <w:rPr>
                <w:rFonts w:ascii="Arial" w:hAnsi="Arial"/>
                <w:color w:val="000000"/>
                <w:sz w:val="20"/>
              </w:rPr>
              <w:t>3,125,087</w:t>
            </w:r>
          </w:p>
        </w:tc>
        <w:tc>
          <w:tcPr>
            <w:tcW w:w="1081" w:type="dxa"/>
            <w:tcBorders>
              <w:bottom w:val="single" w:sz="2" w:space="0" w:color="575756"/>
            </w:tcBorders>
            <w:shd w:fill="auto" w:val="clear"/>
            <w:tcMar>
              <w:bottom w:w="45" w:type="dxa"/>
            </w:tcMar>
            <w:vAlign w:val="center"/>
          </w:tcPr>
          <w:p>
            <w:pPr>
              <w:pStyle w:val="TableContents"/>
              <w:pBdr/>
              <w:spacing w:before="0" w:after="45"/>
              <w:ind w:left="75" w:right="75" w:hanging="0"/>
              <w:jc w:val="right"/>
              <w:rPr>
                <w:rFonts w:ascii="Arial" w:hAnsi="Arial"/>
                <w:color w:val="000000"/>
                <w:sz w:val="20"/>
              </w:rPr>
            </w:pPr>
            <w:r>
              <w:rPr>
                <w:rFonts w:ascii="Arial" w:hAnsi="Arial"/>
                <w:color w:val="000000"/>
                <w:sz w:val="20"/>
              </w:rPr>
              <w:t>2,594,572</w:t>
            </w:r>
          </w:p>
        </w:tc>
      </w:tr>
      <w:tr>
        <w:trPr/>
        <w:tc>
          <w:tcPr>
            <w:tcW w:w="1786"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Audit-Related Fees</w:t>
            </w:r>
          </w:p>
        </w:tc>
        <w:tc>
          <w:tcPr>
            <w:tcW w:w="1036"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75" w:hanging="0"/>
              <w:jc w:val="right"/>
              <w:rPr>
                <w:color w:val="000000"/>
              </w:rPr>
            </w:pPr>
            <w:r>
              <w:rPr>
                <w:color w:val="000000"/>
              </w:rPr>
              <w:t>—</w:t>
            </w:r>
          </w:p>
        </w:tc>
        <w:tc>
          <w:tcPr>
            <w:tcW w:w="108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75" w:hanging="0"/>
              <w:jc w:val="right"/>
              <w:rPr>
                <w:rFonts w:ascii="Arial" w:hAnsi="Arial"/>
                <w:color w:val="000000"/>
                <w:sz w:val="20"/>
              </w:rPr>
            </w:pPr>
            <w:r>
              <w:rPr>
                <w:rFonts w:ascii="Arial" w:hAnsi="Arial"/>
                <w:color w:val="000000"/>
                <w:sz w:val="20"/>
              </w:rPr>
              <w:t>64,500</w:t>
            </w:r>
          </w:p>
        </w:tc>
      </w:tr>
      <w:tr>
        <w:trPr/>
        <w:tc>
          <w:tcPr>
            <w:tcW w:w="1786"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Tax Fees</w:t>
            </w:r>
          </w:p>
        </w:tc>
        <w:tc>
          <w:tcPr>
            <w:tcW w:w="1036" w:type="dxa"/>
            <w:tcBorders>
              <w:bottom w:val="single" w:sz="2" w:space="0" w:color="575756"/>
            </w:tcBorders>
            <w:shd w:fill="auto" w:val="clear"/>
            <w:tcMar>
              <w:bottom w:w="45" w:type="dxa"/>
            </w:tcMar>
            <w:vAlign w:val="center"/>
          </w:tcPr>
          <w:p>
            <w:pPr>
              <w:pStyle w:val="TableContents"/>
              <w:pBdr/>
              <w:spacing w:before="0" w:after="45"/>
              <w:ind w:left="75" w:right="75" w:hanging="0"/>
              <w:jc w:val="right"/>
              <w:rPr>
                <w:rFonts w:ascii="Arial" w:hAnsi="Arial"/>
                <w:color w:val="000000"/>
                <w:sz w:val="20"/>
              </w:rPr>
            </w:pPr>
            <w:r>
              <w:rPr>
                <w:rFonts w:ascii="Arial" w:hAnsi="Arial"/>
                <w:color w:val="000000"/>
                <w:sz w:val="20"/>
              </w:rPr>
              <w:t>81,709</w:t>
            </w:r>
          </w:p>
        </w:tc>
        <w:tc>
          <w:tcPr>
            <w:tcW w:w="1081" w:type="dxa"/>
            <w:tcBorders>
              <w:bottom w:val="single" w:sz="2" w:space="0" w:color="575756"/>
            </w:tcBorders>
            <w:shd w:fill="auto" w:val="clear"/>
            <w:tcMar>
              <w:bottom w:w="45" w:type="dxa"/>
            </w:tcMar>
            <w:vAlign w:val="center"/>
          </w:tcPr>
          <w:p>
            <w:pPr>
              <w:pStyle w:val="TableContents"/>
              <w:pBdr/>
              <w:spacing w:before="0" w:after="45"/>
              <w:ind w:left="75" w:right="75" w:hanging="0"/>
              <w:jc w:val="right"/>
              <w:rPr>
                <w:rFonts w:ascii="Arial" w:hAnsi="Arial"/>
                <w:color w:val="000000"/>
                <w:sz w:val="20"/>
              </w:rPr>
            </w:pPr>
            <w:r>
              <w:rPr>
                <w:rFonts w:ascii="Arial" w:hAnsi="Arial"/>
                <w:color w:val="000000"/>
                <w:sz w:val="20"/>
              </w:rPr>
              <w:t>303,101</w:t>
            </w:r>
          </w:p>
        </w:tc>
      </w:tr>
      <w:tr>
        <w:trPr/>
        <w:tc>
          <w:tcPr>
            <w:tcW w:w="1786" w:type="dxa"/>
            <w:tcBorders>
              <w:top w:val="single" w:sz="2" w:space="0" w:color="F2F2F2"/>
              <w:left w:val="single" w:sz="2" w:space="0" w:color="F2F2F2"/>
              <w:bottom w:val="single" w:sz="12" w:space="0" w:color="000000"/>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All Other Fees</w:t>
            </w:r>
          </w:p>
        </w:tc>
        <w:tc>
          <w:tcPr>
            <w:tcW w:w="1036" w:type="dxa"/>
            <w:tcBorders>
              <w:top w:val="single" w:sz="2" w:space="0" w:color="F2F2F2"/>
              <w:left w:val="single" w:sz="2" w:space="0" w:color="F2F2F2"/>
              <w:bottom w:val="single" w:sz="12" w:space="0" w:color="000000"/>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75" w:hanging="0"/>
              <w:jc w:val="right"/>
              <w:rPr>
                <w:rFonts w:ascii="Arial" w:hAnsi="Arial"/>
                <w:color w:val="000000"/>
                <w:sz w:val="20"/>
              </w:rPr>
            </w:pPr>
            <w:r>
              <w:rPr>
                <w:rFonts w:ascii="Arial" w:hAnsi="Arial"/>
                <w:color w:val="000000"/>
                <w:sz w:val="20"/>
              </w:rPr>
              <w:t>6,335</w:t>
            </w:r>
          </w:p>
        </w:tc>
        <w:tc>
          <w:tcPr>
            <w:tcW w:w="1081" w:type="dxa"/>
            <w:tcBorders>
              <w:top w:val="single" w:sz="2" w:space="0" w:color="F2F2F2"/>
              <w:left w:val="single" w:sz="2" w:space="0" w:color="F2F2F2"/>
              <w:bottom w:val="single" w:sz="12" w:space="0" w:color="000000"/>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75" w:hanging="0"/>
              <w:jc w:val="right"/>
              <w:rPr>
                <w:rFonts w:ascii="Arial" w:hAnsi="Arial"/>
                <w:color w:val="000000"/>
                <w:sz w:val="20"/>
              </w:rPr>
            </w:pPr>
            <w:r>
              <w:rPr>
                <w:rFonts w:ascii="Arial" w:hAnsi="Arial"/>
                <w:color w:val="000000"/>
                <w:sz w:val="20"/>
              </w:rPr>
              <w:t>4,194</w:t>
            </w:r>
          </w:p>
        </w:tc>
      </w:tr>
      <w:tr>
        <w:trPr/>
        <w:tc>
          <w:tcPr>
            <w:tcW w:w="1786" w:type="dxa"/>
            <w:tcBorders>
              <w:bottom w:val="single" w:sz="2" w:space="0" w:color="245BA7"/>
            </w:tcBorders>
            <w:shd w:fill="auto" w:val="clear"/>
            <w:tcMar>
              <w:bottom w:w="45" w:type="dxa"/>
            </w:tcMar>
            <w:vAlign w:val="center"/>
          </w:tcPr>
          <w:p>
            <w:pPr>
              <w:pStyle w:val="TableContents"/>
              <w:pBdr/>
              <w:spacing w:before="0" w:after="45"/>
              <w:ind w:left="75" w:right="0" w:hanging="0"/>
              <w:rPr>
                <w:rFonts w:ascii="Arial" w:hAnsi="Arial"/>
                <w:b/>
                <w:color w:val="000000"/>
                <w:sz w:val="20"/>
              </w:rPr>
            </w:pPr>
            <w:r>
              <w:rPr>
                <w:rFonts w:ascii="Arial" w:hAnsi="Arial"/>
                <w:b/>
                <w:color w:val="000000"/>
                <w:sz w:val="20"/>
              </w:rPr>
              <w:t>Total Fees</w:t>
            </w:r>
          </w:p>
        </w:tc>
        <w:tc>
          <w:tcPr>
            <w:tcW w:w="1036" w:type="dxa"/>
            <w:tcBorders>
              <w:bottom w:val="single" w:sz="2" w:space="0" w:color="245BA7"/>
            </w:tcBorders>
            <w:shd w:fill="auto" w:val="clear"/>
            <w:tcMar>
              <w:bottom w:w="45" w:type="dxa"/>
            </w:tcMar>
            <w:vAlign w:val="center"/>
          </w:tcPr>
          <w:p>
            <w:pPr>
              <w:pStyle w:val="TableContents"/>
              <w:pBdr/>
              <w:spacing w:before="0" w:after="45"/>
              <w:ind w:left="75" w:right="75" w:hanging="0"/>
              <w:jc w:val="right"/>
              <w:rPr>
                <w:rFonts w:ascii="Arial" w:hAnsi="Arial"/>
                <w:color w:val="000000"/>
                <w:sz w:val="20"/>
              </w:rPr>
            </w:pPr>
            <w:r>
              <w:rPr>
                <w:rFonts w:ascii="Arial" w:hAnsi="Arial"/>
                <w:color w:val="000000"/>
                <w:sz w:val="20"/>
              </w:rPr>
              <w:t>3,213,131</w:t>
            </w:r>
          </w:p>
        </w:tc>
        <w:tc>
          <w:tcPr>
            <w:tcW w:w="1081" w:type="dxa"/>
            <w:tcBorders>
              <w:bottom w:val="single" w:sz="2" w:space="0" w:color="245BA7"/>
            </w:tcBorders>
            <w:shd w:fill="auto" w:val="clear"/>
            <w:tcMar>
              <w:bottom w:w="45" w:type="dxa"/>
            </w:tcMar>
            <w:vAlign w:val="center"/>
          </w:tcPr>
          <w:p>
            <w:pPr>
              <w:pStyle w:val="TableContents"/>
              <w:pBdr/>
              <w:spacing w:before="0" w:after="45"/>
              <w:ind w:left="75" w:right="75" w:hanging="0"/>
              <w:jc w:val="right"/>
              <w:rPr>
                <w:rFonts w:ascii="Arial" w:hAnsi="Arial"/>
                <w:color w:val="000000"/>
                <w:sz w:val="20"/>
              </w:rPr>
            </w:pPr>
            <w:r>
              <w:rPr>
                <w:rFonts w:ascii="Arial" w:hAnsi="Arial"/>
                <w:color w:val="000000"/>
                <w:sz w:val="20"/>
              </w:rPr>
              <w:t>2,966,367</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7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33" descr=""/>
                          <pic:cNvPicPr>
                            <a:picLocks noChangeAspect="1" noChangeArrowheads="1"/>
                          </pic:cNvPicPr>
                        </pic:nvPicPr>
                        <pic:blipFill>
                          <a:blip r:embed="rId134"/>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44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b/>
          <w:color w:val="000000"/>
          <w:sz w:val="21"/>
        </w:rPr>
        <w:t>Audit Fees.</w:t>
      </w:r>
      <w:r>
        <w:rPr>
          <w:rFonts w:ascii="Arial" w:hAnsi="Arial"/>
          <w:color w:val="000000"/>
          <w:sz w:val="21"/>
        </w:rPr>
        <w:t xml:space="preserve"> Audit fees in 2022 and 2021 were primarily for professional services rendered for the audit of the Company’s financial statements for the fiscal year, including attestation services required under Section 404 of the Sarbanes-Oxley Act of 2002, technical accounting consultations related to the annual audit, and reviews of the Company’s quarterly financial statements included in its Form 10-Q filings.</w:t>
      </w:r>
    </w:p>
    <w:p>
      <w:pPr>
        <w:pStyle w:val="TextBody"/>
        <w:pBdr/>
        <w:spacing w:before="0" w:after="210"/>
        <w:ind w:left="0" w:right="0" w:hanging="0"/>
        <w:rPr>
          <w:rFonts w:ascii="Arial" w:hAnsi="Arial"/>
          <w:color w:val="000000"/>
          <w:sz w:val="21"/>
        </w:rPr>
      </w:pPr>
      <w:r>
        <w:rPr>
          <w:rFonts w:ascii="Arial" w:hAnsi="Arial"/>
          <w:b/>
          <w:color w:val="000000"/>
          <w:sz w:val="21"/>
        </w:rPr>
        <w:t>Audit-Related Fees.</w:t>
      </w:r>
      <w:r>
        <w:rPr>
          <w:rFonts w:ascii="Arial" w:hAnsi="Arial"/>
          <w:color w:val="000000"/>
          <w:sz w:val="21"/>
        </w:rPr>
        <w:t xml:space="preserve"> Audit-related fees in 2021 were for professional services in connection with the planned liquidation of certain of the Company’s subsidiaries and the filing of a registration statement on Form S-3.</w:t>
      </w:r>
    </w:p>
    <w:p>
      <w:pPr>
        <w:pStyle w:val="TextBody"/>
        <w:pBdr/>
        <w:spacing w:before="0" w:after="210"/>
        <w:ind w:left="0" w:right="0" w:hanging="0"/>
        <w:rPr>
          <w:rFonts w:ascii="Arial" w:hAnsi="Arial"/>
          <w:color w:val="000000"/>
          <w:sz w:val="21"/>
        </w:rPr>
      </w:pPr>
      <w:r>
        <w:rPr>
          <w:rFonts w:ascii="Arial" w:hAnsi="Arial"/>
          <w:b/>
          <w:color w:val="000000"/>
          <w:sz w:val="21"/>
        </w:rPr>
        <w:t>Tax Fees.</w:t>
      </w:r>
      <w:r>
        <w:rPr>
          <w:rFonts w:ascii="Arial" w:hAnsi="Arial"/>
          <w:color w:val="000000"/>
          <w:sz w:val="21"/>
        </w:rPr>
        <w:t xml:space="preserve"> Tax fees in 2022 and 2021 were for tax planning and advisory services.</w:t>
      </w:r>
    </w:p>
    <w:p>
      <w:pPr>
        <w:pStyle w:val="TextBody"/>
        <w:pBdr/>
        <w:spacing w:before="0" w:after="210"/>
        <w:ind w:left="0" w:right="0" w:hanging="0"/>
        <w:rPr>
          <w:rFonts w:ascii="Arial" w:hAnsi="Arial"/>
          <w:color w:val="000000"/>
          <w:sz w:val="21"/>
        </w:rPr>
      </w:pPr>
      <w:r>
        <w:rPr>
          <w:rFonts w:ascii="Arial" w:hAnsi="Arial"/>
          <w:b/>
          <w:color w:val="000000"/>
          <w:sz w:val="21"/>
        </w:rPr>
        <w:t>All Other Fees.</w:t>
      </w:r>
      <w:r>
        <w:rPr>
          <w:rFonts w:ascii="Arial" w:hAnsi="Arial"/>
          <w:color w:val="000000"/>
          <w:sz w:val="21"/>
        </w:rPr>
        <w:t xml:space="preserve"> All other fees in 2022 and 2021 were for annual subscriptions to accounting resources.  </w:t>
      </w:r>
    </w:p>
    <w:p>
      <w:pPr>
        <w:pStyle w:val="TextBody"/>
        <w:pBdr/>
        <w:spacing w:before="0" w:after="210"/>
        <w:ind w:left="0" w:right="0" w:hanging="0"/>
        <w:rPr>
          <w:rFonts w:ascii="Arial" w:hAnsi="Arial"/>
          <w:color w:val="000000"/>
          <w:sz w:val="21"/>
        </w:rPr>
      </w:pPr>
      <w:r>
        <w:rPr>
          <w:rFonts w:ascii="Arial" w:hAnsi="Arial"/>
          <w:color w:val="000000"/>
          <w:sz w:val="21"/>
        </w:rPr>
        <w:t xml:space="preserve">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LLP. The Audit Committee has approved a general provision of $75,000 for accounting advisory and other permissible consulting engagements. Management is responsible for notifying the Audit Committee of the status of accounting advisory and other permissible consulting engagements at regularly scheduled Audit Committee meetings and, if the Audit Committee so determines, the general provision is replenished to $75,000. The Audit Committee did not utilize the </w:t>
      </w:r>
      <w:r>
        <w:rPr>
          <w:rFonts w:ascii="Arial" w:hAnsi="Arial"/>
          <w:i/>
          <w:color w:val="000000"/>
          <w:sz w:val="21"/>
        </w:rPr>
        <w:t>de minimis</w:t>
      </w:r>
      <w:r>
        <w:rPr>
          <w:rFonts w:ascii="Arial" w:hAnsi="Arial"/>
          <w:color w:val="000000"/>
          <w:sz w:val="21"/>
        </w:rPr>
        <w:t xml:space="preserve"> exception to the pre-approval requirements to approve any services provided by PricewaterhouseCoopers LLP during fiscal 2022 or 2021.</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91" w:name="new_id-85"/>
      <w:bookmarkEnd w:id="91"/>
      <w:r>
        <w:rPr>
          <w:rFonts w:ascii="Arial" w:hAnsi="Arial"/>
          <w:b/>
          <w:i w:val="false"/>
          <w:caps w:val="false"/>
          <w:smallCaps w:val="false"/>
          <w:color w:val="D31B5D"/>
          <w:sz w:val="30"/>
          <w:bdr w:val="single" w:sz="12" w:space="2" w:color="245BA7"/>
        </w:rPr>
        <w:t xml:space="preserve">AUDIT COMMITTEE REPORT </w:t>
      </w:r>
    </w:p>
    <w:p>
      <w:pPr>
        <w:pStyle w:val="TextBody"/>
        <w:pBdr/>
        <w:spacing w:before="0" w:after="210"/>
        <w:ind w:left="0" w:right="0" w:hanging="0"/>
        <w:rPr>
          <w:rFonts w:ascii="Arial" w:hAnsi="Arial"/>
          <w:color w:val="000000"/>
          <w:sz w:val="21"/>
        </w:rPr>
      </w:pPr>
      <w:r>
        <w:rPr>
          <w:rFonts w:ascii="Arial" w:hAnsi="Arial"/>
          <w:color w:val="000000"/>
          <w:sz w:val="21"/>
        </w:rPr>
        <w:t>We have reviewed the audited financial statements of the Company for the year ended December 31, 2022, which are included in the Company’s Annual Report on Form 10-K for the fiscal year ended December 31, 2022,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the applicable requirements of the Public Company Accounting Oversight Board (the “PCAOB”) and the Securities and Exchange Commission. The Audit Committee also discussed with the independent registered public accounting firm their independence relative to the Company and received and reviewed the written disclosures and the letter from the independent registered public accounting firm required by the PCAOB.</w:t>
      </w:r>
    </w:p>
    <w:p>
      <w:pPr>
        <w:pStyle w:val="TextBody"/>
        <w:pBdr/>
        <w:spacing w:before="0" w:after="210"/>
        <w:ind w:left="0" w:right="0" w:hanging="0"/>
        <w:rPr>
          <w:rFonts w:ascii="Arial" w:hAnsi="Arial"/>
          <w:color w:val="000000"/>
          <w:sz w:val="21"/>
        </w:rPr>
      </w:pPr>
      <w:r>
        <w:rPr>
          <w:rFonts w:ascii="Arial" w:hAnsi="Arial"/>
          <w:color w:val="000000"/>
          <w:sz w:val="21"/>
        </w:rPr>
        <w:t>Based on the foregoing discussions and review, the Audit Committee recommended to the board of directors that the audited financial statements of the Company for the year ended December 31, 2022 be included in the Company’s Annual Report on Form 10-K for the fiscal year ended December 31, 2022 for filing with the Securities and Exchange Commission.</w:t>
      </w:r>
    </w:p>
    <w:p>
      <w:pPr>
        <w:pStyle w:val="TextBody"/>
        <w:pBdr/>
        <w:spacing w:before="0" w:after="210"/>
        <w:ind w:left="0" w:right="0" w:hanging="0"/>
        <w:rPr>
          <w:rFonts w:ascii="Arial" w:hAnsi="Arial"/>
          <w:color w:val="000000"/>
          <w:sz w:val="21"/>
        </w:rPr>
      </w:pPr>
      <w:r>
        <w:rPr>
          <w:rFonts w:ascii="Arial" w:hAnsi="Arial"/>
          <w:color w:val="000000"/>
          <w:sz w:val="21"/>
        </w:rPr>
        <w:t>We have appointed PricewaterhouseCoopers LLP as the Company’s independent registered public accounting firm for the fiscal year ending December 31, 2023. This appointment was based on a variety of factors, including PricewaterhouseCoopers LLP’s competence in the fields of accounting and auditing.</w:t>
      </w:r>
    </w:p>
    <w:p>
      <w:pPr>
        <w:pStyle w:val="TextBody"/>
        <w:pBdr/>
        <w:spacing w:before="0" w:after="150"/>
        <w:ind w:left="0" w:right="0" w:hanging="0"/>
        <w:rPr>
          <w:rFonts w:ascii="Arial" w:hAnsi="Arial"/>
          <w:b/>
          <w:color w:val="245BA7"/>
          <w:sz w:val="24"/>
        </w:rPr>
      </w:pPr>
      <w:bookmarkStart w:id="92" w:name="new_id-86"/>
      <w:bookmarkEnd w:id="92"/>
      <w:r>
        <w:rPr>
          <w:rFonts w:ascii="Arial" w:hAnsi="Arial"/>
          <w:b/>
          <w:color w:val="245BA7"/>
          <w:sz w:val="24"/>
        </w:rPr>
        <w:t xml:space="preserve">The Audit Committee </w:t>
      </w:r>
    </w:p>
    <w:p>
      <w:pPr>
        <w:pStyle w:val="TextBody"/>
        <w:pBdr/>
        <w:spacing w:before="0" w:after="210"/>
        <w:ind w:left="0" w:right="0" w:hanging="0"/>
        <w:rPr>
          <w:rFonts w:ascii="Arial" w:hAnsi="Arial"/>
          <w:b/>
          <w:color w:val="000000"/>
          <w:sz w:val="21"/>
        </w:rPr>
      </w:pPr>
      <w:r>
        <w:rPr>
          <w:rFonts w:ascii="Arial" w:hAnsi="Arial"/>
          <w:b/>
          <w:color w:val="000000"/>
          <w:sz w:val="21"/>
        </w:rPr>
        <w:t>George L. Sing, Chair</w:t>
        <w:br/>
        <w:t xml:space="preserve">N. Anthony Coles, M.D. </w:t>
        <w:br/>
        <w:t>Arthur F. Ryan</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7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34" descr=""/>
                          <pic:cNvPicPr>
                            <a:picLocks noChangeAspect="1" noChangeArrowheads="1"/>
                          </pic:cNvPicPr>
                        </pic:nvPicPr>
                        <pic:blipFill>
                          <a:blip r:embed="rId135"/>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45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caps w:val="false"/>
          <w:smallCaps w:val="false"/>
          <w:color w:val="000000"/>
        </w:rPr>
      </w:pPr>
      <w:r>
        <w:rPr>
          <w:caps w:val="false"/>
          <w:smallCaps w:val="false"/>
          <w:color w:val="000000"/>
        </w:rPr>
        <w:drawing>
          <wp:inline distT="0" distB="0" distL="0" distR="0">
            <wp:extent cx="7620000" cy="10001250"/>
            <wp:effectExtent l="0" t="0" r="0" b="0"/>
            <wp:docPr id="17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35" descr=""/>
                    <pic:cNvPicPr>
                      <a:picLocks noChangeAspect="1" noChangeArrowheads="1"/>
                    </pic:cNvPicPr>
                  </pic:nvPicPr>
                  <pic:blipFill>
                    <a:blip r:embed="rId136"/>
                    <a:stretch>
                      <a:fillRect/>
                    </a:stretch>
                  </pic:blipFill>
                  <pic:spPr bwMode="auto">
                    <a:xfrm>
                      <a:off x="0" y="0"/>
                      <a:ext cx="7620000" cy="10001250"/>
                    </a:xfrm>
                    <a:prstGeom prst="rect">
                      <a:avLst/>
                    </a:prstGeom>
                  </pic:spPr>
                </pic:pic>
              </a:graphicData>
            </a:graphic>
          </wp:inline>
        </w:drawing>
      </w:r>
      <w:r>
        <w:rPr>
          <w:caps w:val="false"/>
          <w:smallCaps w:val="false"/>
          <w:color w:val="000000"/>
        </w:rPr>
        <w:t> </w:t>
      </w:r>
    </w:p>
    <w:p>
      <w:pPr>
        <w:pStyle w:val="Normal"/>
        <w:spacing w:before="0" w:after="0"/>
        <w:ind w:left="0" w:right="0" w:hanging="0"/>
        <w:rPr>
          <w:sz w:val="4"/>
          <w:szCs w:val="4"/>
        </w:rPr>
      </w:pPr>
      <w:r>
        <w:rPr>
          <w:sz w:val="4"/>
          <w:szCs w:val="4"/>
        </w:rPr>
      </w:r>
      <w:bookmarkStart w:id="93" w:name="new_id-87"/>
      <w:bookmarkStart w:id="94" w:name="new_id-87"/>
      <w:bookmarkEnd w:id="94"/>
    </w:p>
    <w:tbl>
      <w:tblPr>
        <w:tblW w:w="7726" w:type="dxa"/>
        <w:jc w:val="left"/>
        <w:tblInd w:w="0" w:type="dxa"/>
        <w:tblCellMar>
          <w:top w:w="28" w:type="dxa"/>
          <w:left w:w="28" w:type="dxa"/>
          <w:bottom w:w="28" w:type="dxa"/>
          <w:right w:w="28" w:type="dxa"/>
        </w:tblCellMar>
      </w:tblPr>
      <w:tblGrid>
        <w:gridCol w:w="7726"/>
      </w:tblGrid>
      <w:tr>
        <w:trPr/>
        <w:tc>
          <w:tcPr>
            <w:tcW w:w="7726" w:type="dxa"/>
            <w:tcBorders/>
            <w:shd w:fill="auto" w:val="clear"/>
            <w:vAlign w:val="center"/>
          </w:tcPr>
          <w:p>
            <w:pPr>
              <w:pStyle w:val="Heading1"/>
              <w:pBdr/>
              <w:spacing w:before="0" w:after="705"/>
              <w:ind w:left="600" w:right="0" w:hanging="0"/>
              <w:rPr>
                <w:rFonts w:ascii="Arial" w:hAnsi="Arial"/>
                <w:b/>
                <w:i w:val="false"/>
                <w:caps w:val="false"/>
                <w:smallCaps w:val="false"/>
                <w:color w:val="245BA7"/>
                <w:sz w:val="72"/>
              </w:rPr>
            </w:pPr>
            <w:r>
              <w:rPr>
                <w:rFonts w:ascii="Arial" w:hAnsi="Arial"/>
                <w:b/>
                <w:i w:val="false"/>
                <w:caps w:val="false"/>
                <w:smallCaps w:val="false"/>
                <w:color w:val="000000"/>
                <w:sz w:val="50"/>
              </w:rPr>
              <w:t>PROPOSAL 2</w:t>
              <w:br/>
            </w:r>
            <w:r>
              <w:rPr>
                <w:rFonts w:ascii="Arial" w:hAnsi="Arial"/>
                <w:b/>
                <w:i w:val="false"/>
                <w:caps w:val="false"/>
                <w:smallCaps w:val="false"/>
                <w:color w:val="245BA7"/>
                <w:sz w:val="72"/>
              </w:rPr>
              <w:t>RATIFICATION OF</w:t>
              <w:br/>
              <w:t>APPOINTMENT OF</w:t>
              <w:br/>
              <w:t xml:space="preserve">INDEPENDENT </w:t>
              <w:br/>
              <w:t>REGISTERED PUBLIC</w:t>
              <w:br/>
              <w:t xml:space="preserve">ACCOUNTING FIRM </w:t>
            </w:r>
          </w:p>
        </w:tc>
      </w:tr>
    </w:tbl>
    <w:tbl>
      <w:tblPr>
        <w:tblW w:w="10205" w:type="dxa"/>
        <w:jc w:val="left"/>
        <w:tblInd w:w="0" w:type="dxa"/>
        <w:tblCellMar>
          <w:top w:w="0" w:type="dxa"/>
          <w:left w:w="0" w:type="dxa"/>
          <w:bottom w:w="0" w:type="dxa"/>
          <w:right w:w="0" w:type="dxa"/>
        </w:tblCellMar>
      </w:tblPr>
      <w:tblGrid>
        <w:gridCol w:w="9988"/>
        <w:gridCol w:w="217"/>
      </w:tblGrid>
      <w:tr>
        <w:trPr/>
        <w:tc>
          <w:tcPr>
            <w:tcW w:w="9988" w:type="dxa"/>
            <w:tcBorders/>
            <w:shd w:fill="auto" w:val="clear"/>
            <w:vAlign w:val="center"/>
          </w:tcPr>
          <w:p>
            <w:pPr>
              <w:pStyle w:val="TableContents"/>
              <w:pBdr/>
              <w:spacing w:before="60" w:after="60"/>
              <w:ind w:left="0" w:right="0" w:hanging="0"/>
              <w:rPr>
                <w:rFonts w:ascii="Arial" w:hAnsi="Arial"/>
                <w:color w:val="245BA7"/>
                <w:sz w:val="26"/>
              </w:rPr>
            </w:pPr>
            <w:r>
              <w:rPr>
                <w:rFonts w:ascii="Arial" w:hAnsi="Arial"/>
                <w:color w:val="245BA7"/>
                <w:sz w:val="26"/>
              </w:rPr>
              <w:t xml:space="preserve">The board of directors unanimously recommends a vote </w:t>
            </w:r>
            <w:r>
              <w:rPr>
                <w:rFonts w:ascii="Arial" w:hAnsi="Arial"/>
                <w:b/>
                <w:color w:val="245BA7"/>
                <w:sz w:val="26"/>
              </w:rPr>
              <w:t>FOR</w:t>
            </w:r>
            <w:r>
              <w:rPr>
                <w:rFonts w:ascii="Arial" w:hAnsi="Arial"/>
                <w:color w:val="245BA7"/>
                <w:sz w:val="26"/>
              </w:rPr>
              <w:t xml:space="preserve"> </w:t>
              <w:br/>
              <w:t>ratification of the appointment of PricewaterhouseCoopers LLP as the Company’s independent registered public accounting firm for the fiscal year ending December 31, 2023.</w:t>
            </w:r>
          </w:p>
        </w:tc>
        <w:tc>
          <w:tcPr>
            <w:tcW w:w="217" w:type="dxa"/>
            <w:tcBorders/>
            <w:shd w:fill="auto" w:val="clear"/>
            <w:vAlign w:val="center"/>
          </w:tcPr>
          <w:p>
            <w:pPr>
              <w:pStyle w:val="TableContents"/>
              <w:spacing w:before="0" w:after="283"/>
              <w:jc w:val="right"/>
              <w:rPr/>
            </w:pPr>
            <w:r>
              <w:rPr/>
              <w:t xml:space="preserve">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7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36" descr=""/>
                          <pic:cNvPicPr>
                            <a:picLocks noChangeAspect="1" noChangeArrowheads="1"/>
                          </pic:cNvPicPr>
                        </pic:nvPicPr>
                        <pic:blipFill>
                          <a:blip r:embed="rId137"/>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46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color w:val="000000"/>
        </w:rPr>
      </w:pPr>
      <w:r>
        <w:rPr>
          <w:color w:val="000000"/>
        </w:rPr>
        <w:drawing>
          <wp:inline distT="0" distB="0" distL="0" distR="0">
            <wp:extent cx="7620000" cy="1552575"/>
            <wp:effectExtent l="0" t="0" r="0" b="0"/>
            <wp:docPr id="17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37" descr=""/>
                    <pic:cNvPicPr>
                      <a:picLocks noChangeAspect="1" noChangeArrowheads="1"/>
                    </pic:cNvPicPr>
                  </pic:nvPicPr>
                  <pic:blipFill>
                    <a:blip r:embed="rId138"/>
                    <a:stretch>
                      <a:fillRect/>
                    </a:stretch>
                  </pic:blipFill>
                  <pic:spPr bwMode="auto">
                    <a:xfrm>
                      <a:off x="0" y="0"/>
                      <a:ext cx="7620000" cy="1552575"/>
                    </a:xfrm>
                    <a:prstGeom prst="rect">
                      <a:avLst/>
                    </a:prstGeom>
                  </pic:spPr>
                </pic:pic>
              </a:graphicData>
            </a:graphic>
          </wp:inline>
        </w:drawing>
      </w:r>
    </w:p>
    <w:p>
      <w:pPr>
        <w:pStyle w:val="TextBody"/>
        <w:pBdr/>
        <w:spacing w:before="0" w:after="705"/>
        <w:ind w:left="200" w:right="0" w:hanging="0"/>
        <w:rPr>
          <w:rFonts w:ascii="Arial" w:hAnsi="Arial"/>
          <w:b/>
          <w:i w:val="false"/>
          <w:caps w:val="false"/>
          <w:smallCaps w:val="false"/>
          <w:color w:val="FFFFFF"/>
          <w:sz w:val="59"/>
        </w:rPr>
      </w:pPr>
      <w:bookmarkStart w:id="95" w:name="new_id-88"/>
      <w:bookmarkEnd w:id="95"/>
      <w:r>
        <w:rPr>
          <w:rFonts w:ascii="Arial" w:hAnsi="Arial"/>
          <w:b/>
          <w:i w:val="false"/>
          <w:caps w:val="false"/>
          <w:smallCaps w:val="false"/>
          <w:color w:val="FFFFFF"/>
          <w:sz w:val="59"/>
        </w:rPr>
        <w:t xml:space="preserve">SHAREHOLDERS </w:t>
      </w:r>
    </w:p>
    <w:p>
      <w:pPr>
        <w:pStyle w:val="TextBody"/>
        <w:pBdr/>
        <w:spacing w:before="0" w:after="0"/>
        <w:ind w:left="0" w:right="0" w:hanging="0"/>
        <w:jc w:val="left"/>
        <w:rPr>
          <w:caps w:val="false"/>
          <w:smallCaps w:val="false"/>
        </w:rPr>
      </w:pPr>
      <w:r>
        <w:rPr>
          <w:caps w:val="false"/>
          <w:smallCaps w:val="false"/>
        </w:rPr>
        <w:t> </w:t>
      </w:r>
    </w:p>
    <w:p>
      <w:pPr>
        <w:pStyle w:val="TextBody"/>
        <w:pBdr/>
        <w:spacing w:before="0" w:after="0"/>
        <w:ind w:left="0" w:right="0" w:hanging="0"/>
        <w:rPr>
          <w:rFonts w:ascii="Arial" w:hAnsi="Arial"/>
          <w:b/>
          <w:color w:val="D31B5D"/>
          <w:sz w:val="30"/>
          <w:bdr w:val="single" w:sz="12" w:space="2" w:color="245BA7"/>
        </w:rPr>
      </w:pPr>
      <w:bookmarkStart w:id="96" w:name="new_id-89"/>
      <w:bookmarkEnd w:id="96"/>
      <w:r>
        <w:rPr>
          <w:rFonts w:ascii="Arial" w:hAnsi="Arial"/>
          <w:b/>
          <w:color w:val="D31B5D"/>
          <w:sz w:val="30"/>
          <w:bdr w:val="single" w:sz="12" w:space="2" w:color="245BA7"/>
        </w:rPr>
        <w:t xml:space="preserve">SECURITY OWNERSHIP OF CERTAIN BENEFICIAL OWNERS AND MANAGEMENT </w:t>
      </w:r>
    </w:p>
    <w:p>
      <w:pPr>
        <w:pStyle w:val="TextBody"/>
        <w:pBdr/>
        <w:spacing w:before="0" w:after="210"/>
        <w:ind w:left="0" w:right="0" w:hanging="0"/>
        <w:rPr>
          <w:rFonts w:ascii="Arial" w:hAnsi="Arial"/>
          <w:color w:val="000000"/>
          <w:sz w:val="21"/>
        </w:rPr>
      </w:pPr>
      <w:r>
        <w:rPr>
          <w:rFonts w:ascii="Arial" w:hAnsi="Arial"/>
          <w:color w:val="000000"/>
          <w:sz w:val="21"/>
        </w:rPr>
        <w:t>The following table sets forth, as of April 11, 2023, the number of shares of the Company’s Class A stock and common stock beneficially owned by each of the Company’s directors, each of the NEOs referred to below under “Compensation-Related Matters—Compensation Discussion and Analysis,” all directors and executive officers as a group, and each other person or group of persons known by the Company to beneficially own more than 5% of the outstanding shares of Class A stock or common stock, based upon (unless indicated otherwise) information obtained from such persons, and the percentage that such shares represent of the number of outstanding shares of Class A stock and common stock, respectively.</w:t>
      </w:r>
    </w:p>
    <w:p>
      <w:pPr>
        <w:pStyle w:val="TextBody"/>
        <w:pBdr/>
        <w:spacing w:before="0" w:after="210"/>
        <w:ind w:left="0" w:right="0" w:hanging="0"/>
        <w:rPr>
          <w:rFonts w:ascii="Arial" w:hAnsi="Arial"/>
          <w:color w:val="000000"/>
          <w:sz w:val="21"/>
        </w:rPr>
      </w:pPr>
      <w:r>
        <w:rPr>
          <w:rFonts w:ascii="Arial" w:hAnsi="Arial"/>
          <w:color w:val="000000"/>
          <w:sz w:val="21"/>
        </w:rPr>
        <w:t>The Class A stock is convertible on a share-for-share basis into common stock. The Class A stock is entitled to ten votes per share and the common stock is entitled to one vote per share. No new shares of Class A stock have been issued since our IPO in 1991. See “The Company—Corporate Governance—Capital Structure” for more information. We have determined beneficial ownership in accordance with the rules of the SEC.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1,818,146 shares of Class A stock and 107,892,108 shares of common stock outstanding as of April 11, 2023,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11, 2023 of all shares of Class A stock listed as beneficially owned by such person (or persons in the case of directors and executive officers as a group) into common stock and also that no other shares of Class A stock beneficially owned by others are so converted.</w:t>
      </w:r>
    </w:p>
    <w:p>
      <w:pPr>
        <w:pStyle w:val="TextBody"/>
        <w:pBdr/>
        <w:spacing w:before="0" w:after="210"/>
        <w:ind w:left="0" w:right="0" w:hanging="0"/>
        <w:rPr>
          <w:rFonts w:ascii="Arial" w:hAnsi="Arial"/>
          <w:color w:val="000000"/>
          <w:sz w:val="21"/>
        </w:rPr>
      </w:pPr>
      <w:r>
        <w:rPr>
          <w:rFonts w:ascii="Arial" w:hAnsi="Arial"/>
          <w:color w:val="000000"/>
          <w:sz w:val="21"/>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PSUs, RSUs, or other convertible securities (if any) held by that person (and by directors and executive officers as a group) that are exercisable or releasable as of April 11, 2023 or are exercisable or releasable within sixty days after April 11, 2023 are deemed to be outstanding. Such shares are not deemed to be outstanding, however, for the purpose of computing the percentage ownership of common stock of any other person.</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7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38" descr=""/>
                          <pic:cNvPicPr>
                            <a:picLocks noChangeAspect="1" noChangeArrowheads="1"/>
                          </pic:cNvPicPr>
                        </pic:nvPicPr>
                        <pic:blipFill>
                          <a:blip r:embed="rId139"/>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47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90" w:type="dxa"/>
          <w:right w:w="0" w:type="dxa"/>
        </w:tblCellMar>
      </w:tblPr>
      <w:tblGrid>
        <w:gridCol w:w="4523"/>
        <w:gridCol w:w="1227"/>
        <w:gridCol w:w="195"/>
        <w:gridCol w:w="1133"/>
        <w:gridCol w:w="112"/>
        <w:gridCol w:w="171"/>
        <w:gridCol w:w="1379"/>
        <w:gridCol w:w="196"/>
        <w:gridCol w:w="847"/>
        <w:gridCol w:w="422"/>
      </w:tblGrid>
      <w:tr>
        <w:trPr/>
        <w:tc>
          <w:tcPr>
            <w:tcW w:w="4523" w:type="dxa"/>
            <w:vMerge w:val="restart"/>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Name and Address of Beneficial Owner</w:t>
            </w:r>
          </w:p>
        </w:tc>
        <w:tc>
          <w:tcPr>
            <w:tcW w:w="2667" w:type="dxa"/>
            <w:gridSpan w:val="4"/>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Shares of Class A Stock</w:t>
            </w:r>
          </w:p>
          <w:p>
            <w:pPr>
              <w:pStyle w:val="TableContents"/>
              <w:pBdr/>
              <w:spacing w:before="15" w:after="0"/>
              <w:ind w:left="0" w:right="0" w:hanging="0"/>
              <w:jc w:val="center"/>
              <w:rPr>
                <w:rFonts w:ascii="Arial" w:hAnsi="Arial"/>
                <w:b/>
                <w:color w:val="245BA7"/>
                <w:sz w:val="18"/>
              </w:rPr>
            </w:pPr>
            <w:r>
              <w:rPr>
                <w:rFonts w:ascii="Arial" w:hAnsi="Arial"/>
                <w:b/>
                <w:color w:val="245BA7"/>
                <w:sz w:val="18"/>
              </w:rPr>
              <w:t>Beneficially Owned</w:t>
            </w:r>
            <w:r>
              <w:rPr>
                <w:rFonts w:ascii="Arial" w:hAnsi="Arial"/>
                <w:b/>
                <w:color w:val="245BA7"/>
                <w:position w:val="6"/>
                <w:sz w:val="14"/>
                <w:sz w:val="18"/>
              </w:rPr>
              <w:t>1</w:t>
            </w:r>
          </w:p>
        </w:tc>
        <w:tc>
          <w:tcPr>
            <w:tcW w:w="171" w:type="dxa"/>
            <w:vMerge w:val="restart"/>
            <w:tcBorders>
              <w:bottom w:val="single" w:sz="12" w:space="0" w:color="245BA7"/>
            </w:tcBorders>
            <w:shd w:fill="auto" w:val="clear"/>
            <w:vAlign w:val="center"/>
          </w:tcPr>
          <w:p>
            <w:pPr>
              <w:pStyle w:val="TableContents"/>
              <w:pBdr/>
              <w:spacing w:before="15" w:after="0"/>
              <w:ind w:left="75" w:right="75" w:hanging="0"/>
              <w:rPr>
                <w:color w:val="245BA7"/>
              </w:rPr>
            </w:pPr>
            <w:r>
              <w:rPr>
                <w:color w:val="245BA7"/>
              </w:rPr>
              <w:t> </w:t>
            </w:r>
          </w:p>
        </w:tc>
        <w:tc>
          <w:tcPr>
            <w:tcW w:w="2844" w:type="dxa"/>
            <w:gridSpan w:val="4"/>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Shares of Common Stock</w:t>
            </w:r>
          </w:p>
          <w:p>
            <w:pPr>
              <w:pStyle w:val="TableContents"/>
              <w:pBdr/>
              <w:spacing w:before="15" w:after="0"/>
              <w:ind w:left="0" w:right="0" w:hanging="0"/>
              <w:jc w:val="center"/>
              <w:rPr>
                <w:rFonts w:ascii="Arial" w:hAnsi="Arial"/>
                <w:b/>
                <w:color w:val="245BA7"/>
                <w:sz w:val="18"/>
              </w:rPr>
            </w:pPr>
            <w:r>
              <w:rPr>
                <w:rFonts w:ascii="Arial" w:hAnsi="Arial"/>
                <w:b/>
                <w:color w:val="245BA7"/>
                <w:sz w:val="18"/>
              </w:rPr>
              <w:t>Beneficially Owned</w:t>
            </w:r>
            <w:r>
              <w:rPr>
                <w:rFonts w:ascii="Arial" w:hAnsi="Arial"/>
                <w:b/>
                <w:color w:val="245BA7"/>
                <w:position w:val="6"/>
                <w:sz w:val="14"/>
                <w:sz w:val="18"/>
              </w:rPr>
              <w:t>1</w:t>
            </w:r>
          </w:p>
        </w:tc>
      </w:tr>
      <w:tr>
        <w:trPr/>
        <w:tc>
          <w:tcPr>
            <w:tcW w:w="4523" w:type="dxa"/>
            <w:vMerge w:val="continue"/>
            <w:tcBorders>
              <w:bottom w:val="single" w:sz="12" w:space="0" w:color="245BA7"/>
            </w:tcBorders>
            <w:shd w:fill="auto" w:val="clear"/>
            <w:vAlign w:val="center"/>
          </w:tcPr>
          <w:p>
            <w:pPr>
              <w:pStyle w:val="Normal"/>
              <w:rPr/>
            </w:pPr>
            <w:r>
              <w:rPr/>
            </w:r>
          </w:p>
        </w:tc>
        <w:tc>
          <w:tcPr>
            <w:tcW w:w="1422" w:type="dxa"/>
            <w:gridSpan w:val="2"/>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Number</w:t>
            </w:r>
          </w:p>
        </w:tc>
        <w:tc>
          <w:tcPr>
            <w:tcW w:w="1245" w:type="dxa"/>
            <w:gridSpan w:val="2"/>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Percent of Class</w:t>
            </w:r>
          </w:p>
        </w:tc>
        <w:tc>
          <w:tcPr>
            <w:tcW w:w="171" w:type="dxa"/>
            <w:vMerge w:val="continue"/>
            <w:tcBorders>
              <w:bottom w:val="single" w:sz="12" w:space="0" w:color="245BA7"/>
            </w:tcBorders>
            <w:shd w:fill="auto" w:val="clear"/>
            <w:vAlign w:val="center"/>
          </w:tcPr>
          <w:p>
            <w:pPr>
              <w:pStyle w:val="Normal"/>
              <w:rPr/>
            </w:pPr>
            <w:r>
              <w:rPr/>
            </w:r>
          </w:p>
        </w:tc>
        <w:tc>
          <w:tcPr>
            <w:tcW w:w="1575" w:type="dxa"/>
            <w:gridSpan w:val="2"/>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Number</w:t>
            </w:r>
            <w:r>
              <w:rPr>
                <w:rFonts w:ascii="Arial" w:hAnsi="Arial"/>
                <w:b/>
                <w:color w:val="245BA7"/>
                <w:position w:val="6"/>
                <w:sz w:val="14"/>
                <w:sz w:val="18"/>
              </w:rPr>
              <w:t>2</w:t>
            </w:r>
          </w:p>
        </w:tc>
        <w:tc>
          <w:tcPr>
            <w:tcW w:w="1269" w:type="dxa"/>
            <w:gridSpan w:val="2"/>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Percent of Class</w:t>
            </w:r>
          </w:p>
        </w:tc>
      </w:tr>
      <w:tr>
        <w:trPr/>
        <w:tc>
          <w:tcPr>
            <w:tcW w:w="4523" w:type="dxa"/>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 xml:space="preserve">Beneficial Owners of More than 5% of Class A Stock or Common Stock (Other </w:t>
            </w:r>
          </w:p>
          <w:p>
            <w:pPr>
              <w:pStyle w:val="TableContents"/>
              <w:pBdr/>
              <w:spacing w:before="0" w:after="0"/>
              <w:ind w:left="75" w:right="75" w:hanging="0"/>
              <w:rPr>
                <w:rFonts w:ascii="Arial" w:hAnsi="Arial"/>
                <w:b/>
                <w:color w:val="245BA7"/>
                <w:sz w:val="18"/>
              </w:rPr>
            </w:pPr>
            <w:r>
              <w:rPr>
                <w:rFonts w:ascii="Arial" w:hAnsi="Arial"/>
                <w:b/>
                <w:color w:val="245BA7"/>
                <w:sz w:val="18"/>
              </w:rPr>
              <w:t>than Directors and Executive Officers):</w:t>
            </w:r>
          </w:p>
        </w:tc>
        <w:tc>
          <w:tcPr>
            <w:tcW w:w="1227" w:type="dxa"/>
            <w:tcBorders>
              <w:bottom w:val="single" w:sz="12" w:space="0" w:color="245BA7"/>
            </w:tcBorders>
            <w:shd w:fill="auto" w:val="clear"/>
            <w:vAlign w:val="center"/>
          </w:tcPr>
          <w:p>
            <w:pPr>
              <w:pStyle w:val="TableContents"/>
              <w:pBdr/>
              <w:spacing w:before="15" w:after="0"/>
              <w:ind w:left="0" w:right="0" w:hanging="0"/>
              <w:jc w:val="center"/>
              <w:rPr>
                <w:color w:val="245BA7"/>
              </w:rPr>
            </w:pPr>
            <w:r>
              <w:rPr>
                <w:color w:val="245BA7"/>
              </w:rPr>
              <w:t> </w:t>
            </w:r>
          </w:p>
        </w:tc>
        <w:tc>
          <w:tcPr>
            <w:tcW w:w="195" w:type="dxa"/>
            <w:tcBorders>
              <w:bottom w:val="single" w:sz="12" w:space="0" w:color="245BA7"/>
            </w:tcBorders>
            <w:shd w:fill="auto" w:val="clear"/>
            <w:vAlign w:val="center"/>
          </w:tcPr>
          <w:p>
            <w:pPr>
              <w:pStyle w:val="TableContents"/>
              <w:pBdr/>
              <w:spacing w:before="15" w:after="0"/>
              <w:ind w:left="0" w:right="0" w:hanging="0"/>
              <w:jc w:val="center"/>
              <w:rPr>
                <w:color w:val="245BA7"/>
              </w:rPr>
            </w:pPr>
            <w:r>
              <w:rPr>
                <w:color w:val="245BA7"/>
              </w:rPr>
              <w:t> </w:t>
            </w:r>
          </w:p>
        </w:tc>
        <w:tc>
          <w:tcPr>
            <w:tcW w:w="1133" w:type="dxa"/>
            <w:tcBorders>
              <w:bottom w:val="single" w:sz="12" w:space="0" w:color="245BA7"/>
            </w:tcBorders>
            <w:shd w:fill="auto" w:val="clear"/>
            <w:vAlign w:val="center"/>
          </w:tcPr>
          <w:p>
            <w:pPr>
              <w:pStyle w:val="TableContents"/>
              <w:pBdr/>
              <w:spacing w:before="15" w:after="0"/>
              <w:ind w:left="0" w:right="0" w:hanging="0"/>
              <w:jc w:val="center"/>
              <w:rPr>
                <w:color w:val="245BA7"/>
              </w:rPr>
            </w:pPr>
            <w:r>
              <w:rPr>
                <w:color w:val="245BA7"/>
              </w:rPr>
              <w:t> </w:t>
            </w:r>
          </w:p>
        </w:tc>
        <w:tc>
          <w:tcPr>
            <w:tcW w:w="112" w:type="dxa"/>
            <w:tcBorders>
              <w:bottom w:val="single" w:sz="12" w:space="0" w:color="245BA7"/>
            </w:tcBorders>
            <w:shd w:fill="auto" w:val="clear"/>
            <w:vAlign w:val="center"/>
          </w:tcPr>
          <w:p>
            <w:pPr>
              <w:pStyle w:val="TableContents"/>
              <w:pBdr/>
              <w:spacing w:before="15" w:after="0"/>
              <w:ind w:left="0" w:right="0" w:hanging="0"/>
              <w:jc w:val="center"/>
              <w:rPr>
                <w:color w:val="245BA7"/>
              </w:rPr>
            </w:pPr>
            <w:r>
              <w:rPr>
                <w:color w:val="245BA7"/>
              </w:rPr>
              <w:t> </w:t>
            </w:r>
          </w:p>
        </w:tc>
        <w:tc>
          <w:tcPr>
            <w:tcW w:w="171" w:type="dxa"/>
            <w:tcBorders>
              <w:bottom w:val="single" w:sz="12" w:space="0" w:color="245BA7"/>
            </w:tcBorders>
            <w:shd w:fill="auto" w:val="clear"/>
            <w:vAlign w:val="center"/>
          </w:tcPr>
          <w:p>
            <w:pPr>
              <w:pStyle w:val="TableContents"/>
              <w:pBdr/>
              <w:spacing w:before="15" w:after="0"/>
              <w:ind w:left="75" w:right="75" w:hanging="0"/>
              <w:rPr>
                <w:color w:val="245BA7"/>
              </w:rPr>
            </w:pPr>
            <w:r>
              <w:rPr>
                <w:color w:val="245BA7"/>
              </w:rPr>
              <w:t> </w:t>
            </w:r>
          </w:p>
        </w:tc>
        <w:tc>
          <w:tcPr>
            <w:tcW w:w="1379" w:type="dxa"/>
            <w:tcBorders>
              <w:bottom w:val="single" w:sz="12" w:space="0" w:color="245BA7"/>
            </w:tcBorders>
            <w:shd w:fill="auto" w:val="clear"/>
            <w:vAlign w:val="center"/>
          </w:tcPr>
          <w:p>
            <w:pPr>
              <w:pStyle w:val="TableContents"/>
              <w:pBdr/>
              <w:spacing w:before="15" w:after="0"/>
              <w:ind w:left="0" w:right="0" w:hanging="0"/>
              <w:jc w:val="center"/>
              <w:rPr>
                <w:color w:val="245BA7"/>
              </w:rPr>
            </w:pPr>
            <w:r>
              <w:rPr>
                <w:color w:val="245BA7"/>
              </w:rPr>
              <w:t> </w:t>
            </w:r>
          </w:p>
        </w:tc>
        <w:tc>
          <w:tcPr>
            <w:tcW w:w="196" w:type="dxa"/>
            <w:tcBorders>
              <w:bottom w:val="single" w:sz="12" w:space="0" w:color="245BA7"/>
            </w:tcBorders>
            <w:shd w:fill="auto" w:val="clear"/>
            <w:vAlign w:val="center"/>
          </w:tcPr>
          <w:p>
            <w:pPr>
              <w:pStyle w:val="TableContents"/>
              <w:pBdr/>
              <w:spacing w:before="15" w:after="0"/>
              <w:ind w:left="0" w:right="0" w:hanging="0"/>
              <w:jc w:val="left"/>
              <w:rPr>
                <w:caps w:val="false"/>
                <w:smallCaps w:val="false"/>
                <w:color w:val="245BA7"/>
              </w:rPr>
            </w:pPr>
            <w:r>
              <w:rPr>
                <w:caps w:val="false"/>
                <w:smallCaps w:val="false"/>
                <w:color w:val="245BA7"/>
              </w:rPr>
              <w:t> </w:t>
            </w:r>
          </w:p>
        </w:tc>
        <w:tc>
          <w:tcPr>
            <w:tcW w:w="847" w:type="dxa"/>
            <w:tcBorders>
              <w:bottom w:val="single" w:sz="12" w:space="0" w:color="245BA7"/>
            </w:tcBorders>
            <w:shd w:fill="auto" w:val="clear"/>
            <w:vAlign w:val="center"/>
          </w:tcPr>
          <w:p>
            <w:pPr>
              <w:pStyle w:val="TableContents"/>
              <w:pBdr/>
              <w:spacing w:before="15" w:after="0"/>
              <w:ind w:left="0" w:right="0" w:hanging="0"/>
              <w:jc w:val="center"/>
              <w:rPr>
                <w:color w:val="245BA7"/>
              </w:rPr>
            </w:pPr>
            <w:r>
              <w:rPr>
                <w:color w:val="245BA7"/>
              </w:rPr>
              <w:t> </w:t>
            </w:r>
          </w:p>
        </w:tc>
        <w:tc>
          <w:tcPr>
            <w:tcW w:w="422" w:type="dxa"/>
            <w:tcBorders>
              <w:bottom w:val="single" w:sz="12" w:space="0" w:color="245BA7"/>
            </w:tcBorders>
            <w:shd w:fill="auto" w:val="clear"/>
            <w:vAlign w:val="center"/>
          </w:tcPr>
          <w:p>
            <w:pPr>
              <w:pStyle w:val="TableContents"/>
              <w:pBdr/>
              <w:spacing w:before="15" w:after="0"/>
              <w:ind w:left="0" w:right="0" w:hanging="0"/>
              <w:jc w:val="center"/>
              <w:rPr>
                <w:color w:val="245BA7"/>
              </w:rPr>
            </w:pPr>
            <w:r>
              <w:rPr>
                <w:color w:val="245BA7"/>
              </w:rPr>
              <w:t> </w:t>
            </w:r>
          </w:p>
        </w:tc>
      </w:tr>
      <w:tr>
        <w:trPr/>
        <w:tc>
          <w:tcPr>
            <w:tcW w:w="4523" w:type="dxa"/>
            <w:tcBorders>
              <w:bottom w:val="single" w:sz="12" w:space="0" w:color="575756"/>
            </w:tcBorders>
            <w:shd w:fill="auto" w:val="clear"/>
            <w:tcMar>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FMR LLC</w:t>
            </w:r>
            <w:r>
              <w:rPr>
                <w:rFonts w:ascii="Arial" w:hAnsi="Arial"/>
                <w:b/>
                <w:color w:val="D31B5D"/>
                <w:sz w:val="12"/>
              </w:rPr>
              <w:t>3</w:t>
            </w:r>
          </w:p>
          <w:p>
            <w:pPr>
              <w:pStyle w:val="TableContents"/>
              <w:pBdr/>
              <w:spacing w:before="0" w:after="45"/>
              <w:ind w:left="75" w:right="0" w:hanging="0"/>
              <w:rPr>
                <w:rFonts w:ascii="Arial" w:hAnsi="Arial"/>
                <w:b w:val="false"/>
                <w:color w:val="000000"/>
                <w:sz w:val="15"/>
              </w:rPr>
            </w:pPr>
            <w:r>
              <w:rPr>
                <w:rFonts w:ascii="Arial" w:hAnsi="Arial"/>
                <w:b w:val="false"/>
                <w:color w:val="000000"/>
                <w:sz w:val="15"/>
              </w:rPr>
              <w:t xml:space="preserve">245 Summer Street </w:t>
              <w:br/>
              <w:t>Boston, Massachusetts 02210</w:t>
            </w:r>
          </w:p>
        </w:tc>
        <w:tc>
          <w:tcPr>
            <w:tcW w:w="122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33"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71" w:type="dxa"/>
            <w:tcBorders>
              <w:bottom w:val="single" w:sz="12" w:space="0" w:color="575756"/>
            </w:tcBorders>
            <w:shd w:fill="auto" w:val="clear"/>
            <w:tcMar>
              <w:bottom w:w="45" w:type="dxa"/>
            </w:tcMar>
            <w:vAlign w:val="center"/>
          </w:tcPr>
          <w:p>
            <w:pPr>
              <w:pStyle w:val="TableContents"/>
              <w:pBdr/>
              <w:spacing w:before="0" w:after="45"/>
              <w:ind w:left="75" w:right="0" w:hanging="0"/>
              <w:rPr>
                <w:color w:val="000000"/>
              </w:rPr>
            </w:pPr>
            <w:r>
              <w:rPr>
                <w:color w:val="000000"/>
              </w:rPr>
              <w:t> </w:t>
            </w:r>
          </w:p>
        </w:tc>
        <w:tc>
          <w:tcPr>
            <w:tcW w:w="1379"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11,096,984</w:t>
            </w:r>
          </w:p>
        </w:tc>
        <w:tc>
          <w:tcPr>
            <w:tcW w:w="196" w:type="dxa"/>
            <w:tcBorders>
              <w:bottom w:val="single" w:sz="12" w:space="0" w:color="575756"/>
            </w:tcBorders>
            <w:shd w:fill="auto" w:val="clear"/>
            <w:tcMar>
              <w:bottom w:w="45" w:type="dxa"/>
            </w:tcMar>
            <w:vAlign w:val="center"/>
          </w:tcPr>
          <w:p>
            <w:pPr>
              <w:pStyle w:val="TableContents"/>
              <w:pBdr/>
              <w:spacing w:before="0" w:after="45"/>
              <w:ind w:left="0" w:right="0" w:hanging="0"/>
              <w:jc w:val="left"/>
              <w:rPr>
                <w:caps w:val="false"/>
                <w:smallCaps w:val="false"/>
                <w:color w:val="000000"/>
              </w:rPr>
            </w:pPr>
            <w:r>
              <w:rPr>
                <w:caps w:val="false"/>
                <w:smallCaps w:val="false"/>
                <w:color w:val="000000"/>
              </w:rPr>
              <w:t> </w:t>
            </w:r>
          </w:p>
        </w:tc>
        <w:tc>
          <w:tcPr>
            <w:tcW w:w="84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10.3</w:t>
            </w:r>
          </w:p>
        </w:tc>
        <w:tc>
          <w:tcPr>
            <w:tcW w:w="422" w:type="dxa"/>
            <w:tcBorders>
              <w:bottom w:val="single" w:sz="12" w:space="0" w:color="575756"/>
            </w:tcBorders>
            <w:shd w:fill="auto" w:val="clear"/>
            <w:tcMar>
              <w:bottom w:w="45" w:type="dxa"/>
            </w:tcMar>
            <w:vAlign w:val="center"/>
          </w:tcPr>
          <w:p>
            <w:pPr>
              <w:pStyle w:val="TableContents"/>
              <w:pBdr/>
              <w:spacing w:before="0" w:after="45"/>
              <w:ind w:left="0" w:right="0" w:hanging="0"/>
              <w:rPr>
                <w:rFonts w:ascii="Arial" w:hAnsi="Arial"/>
                <w:color w:val="000000"/>
                <w:sz w:val="20"/>
              </w:rPr>
            </w:pPr>
            <w:r>
              <w:rPr>
                <w:rFonts w:ascii="Arial" w:hAnsi="Arial"/>
                <w:color w:val="000000"/>
                <w:sz w:val="20"/>
              </w:rPr>
              <w:t>%</w:t>
            </w:r>
          </w:p>
        </w:tc>
      </w:tr>
      <w:tr>
        <w:trPr/>
        <w:tc>
          <w:tcPr>
            <w:tcW w:w="452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BlackRock, Inc.</w:t>
            </w:r>
            <w:r>
              <w:rPr>
                <w:rFonts w:ascii="Arial" w:hAnsi="Arial"/>
                <w:b/>
                <w:color w:val="D31B5D"/>
                <w:sz w:val="12"/>
              </w:rPr>
              <w:t>4</w:t>
            </w:r>
          </w:p>
          <w:p>
            <w:pPr>
              <w:pStyle w:val="TableContents"/>
              <w:pBdr/>
              <w:spacing w:before="0" w:after="45"/>
              <w:ind w:left="75" w:right="0" w:hanging="0"/>
              <w:rPr>
                <w:rFonts w:ascii="Arial" w:hAnsi="Arial"/>
                <w:b w:val="false"/>
                <w:color w:val="000000"/>
                <w:sz w:val="15"/>
              </w:rPr>
            </w:pPr>
            <w:r>
              <w:rPr>
                <w:rFonts w:ascii="Arial" w:hAnsi="Arial"/>
                <w:b w:val="false"/>
                <w:color w:val="000000"/>
                <w:sz w:val="15"/>
              </w:rPr>
              <w:t xml:space="preserve">55 East 52nd Street </w:t>
              <w:br/>
              <w:t>New York, New York 10055</w:t>
            </w:r>
          </w:p>
        </w:tc>
        <w:tc>
          <w:tcPr>
            <w:tcW w:w="122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13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71"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color w:val="000000"/>
              </w:rPr>
            </w:pPr>
            <w:r>
              <w:rPr>
                <w:color w:val="000000"/>
              </w:rPr>
              <w:t> </w:t>
            </w:r>
          </w:p>
        </w:tc>
        <w:tc>
          <w:tcPr>
            <w:tcW w:w="1379"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9,166,817</w:t>
            </w:r>
          </w:p>
        </w:tc>
        <w:tc>
          <w:tcPr>
            <w:tcW w:w="196"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jc w:val="left"/>
              <w:rPr>
                <w:caps w:val="false"/>
                <w:smallCaps w:val="false"/>
                <w:color w:val="000000"/>
              </w:rPr>
            </w:pPr>
            <w:r>
              <w:rPr>
                <w:caps w:val="false"/>
                <w:smallCaps w:val="false"/>
                <w:color w:val="000000"/>
              </w:rPr>
              <w:t> </w:t>
            </w:r>
          </w:p>
        </w:tc>
        <w:tc>
          <w:tcPr>
            <w:tcW w:w="84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8.5</w:t>
            </w:r>
          </w:p>
        </w:tc>
        <w:tc>
          <w:tcPr>
            <w:tcW w:w="42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rFonts w:ascii="Arial" w:hAnsi="Arial"/>
                <w:color w:val="000000"/>
                <w:sz w:val="20"/>
              </w:rPr>
            </w:pPr>
            <w:r>
              <w:rPr>
                <w:rFonts w:ascii="Arial" w:hAnsi="Arial"/>
                <w:color w:val="000000"/>
                <w:sz w:val="20"/>
              </w:rPr>
              <w:t>%</w:t>
            </w:r>
          </w:p>
        </w:tc>
      </w:tr>
      <w:tr>
        <w:trPr/>
        <w:tc>
          <w:tcPr>
            <w:tcW w:w="4523" w:type="dxa"/>
            <w:tcBorders>
              <w:bottom w:val="single" w:sz="12" w:space="0" w:color="575756"/>
            </w:tcBorders>
            <w:shd w:fill="auto" w:val="clear"/>
            <w:tcMar>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The Vanguard Group, Inc.</w:t>
            </w:r>
            <w:r>
              <w:rPr>
                <w:rFonts w:ascii="Arial" w:hAnsi="Arial"/>
                <w:b/>
                <w:color w:val="D31B5D"/>
                <w:sz w:val="12"/>
              </w:rPr>
              <w:t>5</w:t>
            </w:r>
          </w:p>
          <w:p>
            <w:pPr>
              <w:pStyle w:val="TableContents"/>
              <w:pBdr/>
              <w:spacing w:before="0" w:after="45"/>
              <w:ind w:left="75" w:right="0" w:hanging="0"/>
              <w:rPr>
                <w:rFonts w:ascii="Arial" w:hAnsi="Arial"/>
                <w:b w:val="false"/>
                <w:color w:val="000000"/>
                <w:sz w:val="15"/>
              </w:rPr>
            </w:pPr>
            <w:r>
              <w:rPr>
                <w:rFonts w:ascii="Arial" w:hAnsi="Arial"/>
                <w:b w:val="false"/>
                <w:color w:val="000000"/>
                <w:sz w:val="15"/>
              </w:rPr>
              <w:t xml:space="preserve">100 Vanguard Blvd. </w:t>
              <w:br/>
              <w:t>Malvern, PA 19355</w:t>
            </w:r>
          </w:p>
        </w:tc>
        <w:tc>
          <w:tcPr>
            <w:tcW w:w="122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33"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71" w:type="dxa"/>
            <w:tcBorders>
              <w:bottom w:val="single" w:sz="12" w:space="0" w:color="575756"/>
            </w:tcBorders>
            <w:shd w:fill="auto" w:val="clear"/>
            <w:tcMar>
              <w:bottom w:w="45" w:type="dxa"/>
            </w:tcMar>
            <w:vAlign w:val="center"/>
          </w:tcPr>
          <w:p>
            <w:pPr>
              <w:pStyle w:val="TableContents"/>
              <w:pBdr/>
              <w:spacing w:before="0" w:after="45"/>
              <w:ind w:left="75" w:right="0" w:hanging="0"/>
              <w:rPr>
                <w:color w:val="000000"/>
              </w:rPr>
            </w:pPr>
            <w:r>
              <w:rPr>
                <w:color w:val="000000"/>
              </w:rPr>
              <w:t> </w:t>
            </w:r>
          </w:p>
        </w:tc>
        <w:tc>
          <w:tcPr>
            <w:tcW w:w="1379"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8,722,448</w:t>
            </w:r>
          </w:p>
        </w:tc>
        <w:tc>
          <w:tcPr>
            <w:tcW w:w="196" w:type="dxa"/>
            <w:tcBorders>
              <w:bottom w:val="single" w:sz="12" w:space="0" w:color="575756"/>
            </w:tcBorders>
            <w:shd w:fill="auto" w:val="clear"/>
            <w:tcMar>
              <w:bottom w:w="45" w:type="dxa"/>
            </w:tcMar>
            <w:vAlign w:val="center"/>
          </w:tcPr>
          <w:p>
            <w:pPr>
              <w:pStyle w:val="TableContents"/>
              <w:pBdr/>
              <w:spacing w:before="0" w:after="45"/>
              <w:ind w:left="0" w:right="0" w:hanging="0"/>
              <w:jc w:val="left"/>
              <w:rPr>
                <w:caps w:val="false"/>
                <w:smallCaps w:val="false"/>
                <w:color w:val="000000"/>
              </w:rPr>
            </w:pPr>
            <w:r>
              <w:rPr>
                <w:caps w:val="false"/>
                <w:smallCaps w:val="false"/>
                <w:color w:val="000000"/>
              </w:rPr>
              <w:t> </w:t>
            </w:r>
          </w:p>
        </w:tc>
        <w:tc>
          <w:tcPr>
            <w:tcW w:w="84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8.1</w:t>
            </w:r>
          </w:p>
        </w:tc>
        <w:tc>
          <w:tcPr>
            <w:tcW w:w="422" w:type="dxa"/>
            <w:tcBorders>
              <w:bottom w:val="single" w:sz="12" w:space="0" w:color="575756"/>
            </w:tcBorders>
            <w:shd w:fill="auto" w:val="clear"/>
            <w:tcMar>
              <w:bottom w:w="45" w:type="dxa"/>
            </w:tcMar>
            <w:vAlign w:val="center"/>
          </w:tcPr>
          <w:p>
            <w:pPr>
              <w:pStyle w:val="TableContents"/>
              <w:pBdr/>
              <w:spacing w:before="0" w:after="45"/>
              <w:ind w:left="0" w:right="0" w:hanging="0"/>
              <w:rPr>
                <w:rFonts w:ascii="Arial" w:hAnsi="Arial"/>
                <w:color w:val="000000"/>
                <w:sz w:val="20"/>
              </w:rPr>
            </w:pPr>
            <w:r>
              <w:rPr>
                <w:rFonts w:ascii="Arial" w:hAnsi="Arial"/>
                <w:color w:val="000000"/>
                <w:sz w:val="20"/>
              </w:rPr>
              <w:t>%</w:t>
            </w:r>
          </w:p>
        </w:tc>
      </w:tr>
      <w:tr>
        <w:trPr/>
        <w:tc>
          <w:tcPr>
            <w:tcW w:w="452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Capital World Investors</w:t>
            </w:r>
            <w:r>
              <w:rPr>
                <w:rFonts w:ascii="Arial" w:hAnsi="Arial"/>
                <w:b/>
                <w:color w:val="D31B5D"/>
                <w:sz w:val="12"/>
              </w:rPr>
              <w:t>6</w:t>
            </w:r>
          </w:p>
          <w:p>
            <w:pPr>
              <w:pStyle w:val="TableContents"/>
              <w:pBdr/>
              <w:spacing w:before="0" w:after="45"/>
              <w:ind w:left="75" w:right="0" w:hanging="0"/>
              <w:rPr>
                <w:rFonts w:ascii="Arial" w:hAnsi="Arial"/>
                <w:b w:val="false"/>
                <w:color w:val="000000"/>
                <w:sz w:val="15"/>
              </w:rPr>
            </w:pPr>
            <w:r>
              <w:rPr>
                <w:rFonts w:ascii="Arial" w:hAnsi="Arial"/>
                <w:b w:val="false"/>
                <w:color w:val="000000"/>
                <w:sz w:val="15"/>
              </w:rPr>
              <w:t xml:space="preserve">333 South Hope Street </w:t>
              <w:br/>
              <w:t>Los Angeles, California 90071</w:t>
            </w:r>
          </w:p>
        </w:tc>
        <w:tc>
          <w:tcPr>
            <w:tcW w:w="122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13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71"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color w:val="000000"/>
              </w:rPr>
            </w:pPr>
            <w:r>
              <w:rPr>
                <w:color w:val="000000"/>
              </w:rPr>
              <w:t> </w:t>
            </w:r>
          </w:p>
        </w:tc>
        <w:tc>
          <w:tcPr>
            <w:tcW w:w="1379"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6,315,819</w:t>
            </w:r>
          </w:p>
        </w:tc>
        <w:tc>
          <w:tcPr>
            <w:tcW w:w="196"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jc w:val="left"/>
              <w:rPr>
                <w:caps w:val="false"/>
                <w:smallCaps w:val="false"/>
                <w:color w:val="000000"/>
              </w:rPr>
            </w:pPr>
            <w:r>
              <w:rPr>
                <w:caps w:val="false"/>
                <w:smallCaps w:val="false"/>
                <w:color w:val="000000"/>
              </w:rPr>
              <w:t> </w:t>
            </w:r>
          </w:p>
        </w:tc>
        <w:tc>
          <w:tcPr>
            <w:tcW w:w="84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5.9</w:t>
            </w:r>
          </w:p>
        </w:tc>
        <w:tc>
          <w:tcPr>
            <w:tcW w:w="42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rFonts w:ascii="Arial" w:hAnsi="Arial"/>
                <w:color w:val="000000"/>
                <w:sz w:val="20"/>
              </w:rPr>
            </w:pPr>
            <w:r>
              <w:rPr>
                <w:rFonts w:ascii="Arial" w:hAnsi="Arial"/>
                <w:color w:val="000000"/>
                <w:sz w:val="20"/>
              </w:rPr>
              <w:t>%</w:t>
            </w:r>
          </w:p>
        </w:tc>
      </w:tr>
      <w:tr>
        <w:trPr/>
        <w:tc>
          <w:tcPr>
            <w:tcW w:w="4523" w:type="dxa"/>
            <w:tcBorders/>
            <w:shd w:fill="auto" w:val="clear"/>
            <w:tcMar>
              <w:bottom w:w="0"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JPMorgan Chase &amp; Co.</w:t>
            </w:r>
            <w:r>
              <w:rPr>
                <w:rFonts w:ascii="Arial" w:hAnsi="Arial"/>
                <w:b/>
                <w:color w:val="D31B5D"/>
                <w:sz w:val="12"/>
              </w:rPr>
              <w:t>7</w:t>
            </w:r>
          </w:p>
          <w:p>
            <w:pPr>
              <w:pStyle w:val="TableContents"/>
              <w:pBdr/>
              <w:spacing w:before="0" w:after="45"/>
              <w:ind w:left="75" w:right="0" w:hanging="0"/>
              <w:rPr>
                <w:rFonts w:ascii="Arial" w:hAnsi="Arial"/>
                <w:b w:val="false"/>
                <w:color w:val="000000"/>
                <w:sz w:val="15"/>
              </w:rPr>
            </w:pPr>
            <w:r>
              <w:rPr>
                <w:rFonts w:ascii="Arial" w:hAnsi="Arial"/>
                <w:b w:val="false"/>
                <w:color w:val="000000"/>
                <w:sz w:val="15"/>
              </w:rPr>
              <w:t xml:space="preserve">383 Madison Avenue </w:t>
              <w:br/>
              <w:t>New York, NY 10179</w:t>
            </w:r>
          </w:p>
        </w:tc>
        <w:tc>
          <w:tcPr>
            <w:tcW w:w="1227" w:type="dxa"/>
            <w:tcBorders/>
            <w:shd w:fill="auto" w:val="clear"/>
            <w:tcMar>
              <w:bottom w:w="0" w:type="dxa"/>
            </w:tcMar>
            <w:vAlign w:val="center"/>
          </w:tcPr>
          <w:p>
            <w:pPr>
              <w:pStyle w:val="TableContents"/>
              <w:pBdr/>
              <w:spacing w:before="0" w:after="45"/>
              <w:ind w:left="75" w:right="0" w:hanging="0"/>
              <w:jc w:val="right"/>
              <w:rPr>
                <w:color w:val="000000"/>
              </w:rPr>
            </w:pPr>
            <w:r>
              <w:rPr>
                <w:color w:val="000000"/>
              </w:rPr>
              <w:t>—</w:t>
            </w:r>
          </w:p>
        </w:tc>
        <w:tc>
          <w:tcPr>
            <w:tcW w:w="195" w:type="dxa"/>
            <w:tcBorders/>
            <w:shd w:fill="auto" w:val="clear"/>
            <w:tcMar>
              <w:bottom w:w="0" w:type="dxa"/>
            </w:tcMar>
            <w:vAlign w:val="center"/>
          </w:tcPr>
          <w:p>
            <w:pPr>
              <w:pStyle w:val="TableContents"/>
              <w:pBdr/>
              <w:spacing w:before="0" w:after="45"/>
              <w:ind w:left="0" w:right="0" w:hanging="0"/>
              <w:rPr>
                <w:color w:val="000000"/>
              </w:rPr>
            </w:pPr>
            <w:r>
              <w:rPr>
                <w:color w:val="000000"/>
              </w:rPr>
              <w:t> </w:t>
            </w:r>
          </w:p>
        </w:tc>
        <w:tc>
          <w:tcPr>
            <w:tcW w:w="1133" w:type="dxa"/>
            <w:tcBorders/>
            <w:shd w:fill="auto" w:val="clear"/>
            <w:tcMar>
              <w:bottom w:w="0" w:type="dxa"/>
            </w:tcMar>
            <w:vAlign w:val="center"/>
          </w:tcPr>
          <w:p>
            <w:pPr>
              <w:pStyle w:val="TableContents"/>
              <w:pBdr/>
              <w:spacing w:before="0" w:after="45"/>
              <w:ind w:left="75" w:right="0" w:hanging="0"/>
              <w:jc w:val="right"/>
              <w:rPr>
                <w:color w:val="000000"/>
              </w:rPr>
            </w:pPr>
            <w:r>
              <w:rPr>
                <w:color w:val="000000"/>
              </w:rPr>
              <w:t>—</w:t>
            </w:r>
          </w:p>
        </w:tc>
        <w:tc>
          <w:tcPr>
            <w:tcW w:w="112" w:type="dxa"/>
            <w:tcBorders/>
            <w:shd w:fill="auto" w:val="clear"/>
            <w:tcMar>
              <w:bottom w:w="0" w:type="dxa"/>
            </w:tcMar>
            <w:vAlign w:val="center"/>
          </w:tcPr>
          <w:p>
            <w:pPr>
              <w:pStyle w:val="TableContents"/>
              <w:pBdr/>
              <w:spacing w:before="0" w:after="45"/>
              <w:ind w:left="0" w:right="0" w:hanging="0"/>
              <w:rPr>
                <w:color w:val="000000"/>
              </w:rPr>
            </w:pPr>
            <w:r>
              <w:rPr>
                <w:color w:val="000000"/>
              </w:rPr>
              <w:t> </w:t>
            </w:r>
          </w:p>
        </w:tc>
        <w:tc>
          <w:tcPr>
            <w:tcW w:w="171" w:type="dxa"/>
            <w:tcBorders/>
            <w:shd w:fill="auto" w:val="clear"/>
            <w:tcMar>
              <w:bottom w:w="0" w:type="dxa"/>
            </w:tcMar>
            <w:vAlign w:val="center"/>
          </w:tcPr>
          <w:p>
            <w:pPr>
              <w:pStyle w:val="TableContents"/>
              <w:pBdr/>
              <w:spacing w:before="0" w:after="45"/>
              <w:ind w:left="75" w:right="0" w:hanging="0"/>
              <w:rPr>
                <w:color w:val="000000"/>
              </w:rPr>
            </w:pPr>
            <w:r>
              <w:rPr>
                <w:color w:val="000000"/>
              </w:rPr>
              <w:t> </w:t>
            </w:r>
          </w:p>
        </w:tc>
        <w:tc>
          <w:tcPr>
            <w:tcW w:w="1379" w:type="dxa"/>
            <w:tcBorders/>
            <w:shd w:fill="auto" w:val="clear"/>
            <w:tcMar>
              <w:bottom w:w="0"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6,101,044</w:t>
            </w:r>
          </w:p>
        </w:tc>
        <w:tc>
          <w:tcPr>
            <w:tcW w:w="196" w:type="dxa"/>
            <w:tcBorders/>
            <w:shd w:fill="auto" w:val="clear"/>
            <w:tcMar>
              <w:bottom w:w="0" w:type="dxa"/>
            </w:tcMar>
            <w:vAlign w:val="center"/>
          </w:tcPr>
          <w:p>
            <w:pPr>
              <w:pStyle w:val="TableContents"/>
              <w:pBdr/>
              <w:spacing w:before="0" w:after="45"/>
              <w:ind w:left="0" w:right="0" w:hanging="0"/>
              <w:jc w:val="left"/>
              <w:rPr>
                <w:caps w:val="false"/>
                <w:smallCaps w:val="false"/>
                <w:color w:val="000000"/>
              </w:rPr>
            </w:pPr>
            <w:r>
              <w:rPr>
                <w:caps w:val="false"/>
                <w:smallCaps w:val="false"/>
                <w:color w:val="000000"/>
              </w:rPr>
              <w:t> </w:t>
            </w:r>
          </w:p>
        </w:tc>
        <w:tc>
          <w:tcPr>
            <w:tcW w:w="847" w:type="dxa"/>
            <w:tcBorders/>
            <w:shd w:fill="auto" w:val="clear"/>
            <w:tcMar>
              <w:bottom w:w="0"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5.7</w:t>
            </w:r>
          </w:p>
        </w:tc>
        <w:tc>
          <w:tcPr>
            <w:tcW w:w="422" w:type="dxa"/>
            <w:tcBorders/>
            <w:shd w:fill="auto" w:val="clear"/>
            <w:tcMar>
              <w:bottom w:w="0" w:type="dxa"/>
            </w:tcMar>
            <w:vAlign w:val="center"/>
          </w:tcPr>
          <w:p>
            <w:pPr>
              <w:pStyle w:val="TableContents"/>
              <w:pBdr/>
              <w:spacing w:before="0" w:after="45"/>
              <w:ind w:left="0" w:right="0" w:hanging="0"/>
              <w:rPr>
                <w:rFonts w:ascii="Arial" w:hAnsi="Arial"/>
                <w:color w:val="000000"/>
                <w:sz w:val="20"/>
              </w:rPr>
            </w:pPr>
            <w:r>
              <w:rPr>
                <w:rFonts w:ascii="Arial" w:hAnsi="Arial"/>
                <w:color w:val="000000"/>
                <w:sz w:val="20"/>
              </w:rPr>
              <w:t>%</w:t>
            </w:r>
          </w:p>
        </w:tc>
      </w:tr>
      <w:tr>
        <w:trPr/>
        <w:tc>
          <w:tcPr>
            <w:tcW w:w="4523" w:type="dxa"/>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Directors and Executive Officers:</w:t>
            </w:r>
            <w:r>
              <w:rPr>
                <w:rFonts w:ascii="Arial" w:hAnsi="Arial"/>
                <w:b/>
                <w:color w:val="245BA7"/>
                <w:position w:val="6"/>
                <w:sz w:val="14"/>
                <w:sz w:val="18"/>
              </w:rPr>
              <w:t>8</w:t>
            </w:r>
          </w:p>
        </w:tc>
        <w:tc>
          <w:tcPr>
            <w:tcW w:w="1227" w:type="dxa"/>
            <w:tcBorders>
              <w:bottom w:val="single" w:sz="12" w:space="0" w:color="245BA7"/>
            </w:tcBorders>
            <w:shd w:fill="auto" w:val="clear"/>
            <w:vAlign w:val="center"/>
          </w:tcPr>
          <w:p>
            <w:pPr>
              <w:pStyle w:val="TableContents"/>
              <w:pBdr/>
              <w:spacing w:before="15" w:after="0"/>
              <w:ind w:left="0" w:right="0" w:hanging="0"/>
              <w:jc w:val="center"/>
              <w:rPr>
                <w:color w:val="245BA7"/>
              </w:rPr>
            </w:pPr>
            <w:r>
              <w:rPr>
                <w:color w:val="245BA7"/>
              </w:rPr>
              <w:t> </w:t>
            </w:r>
          </w:p>
        </w:tc>
        <w:tc>
          <w:tcPr>
            <w:tcW w:w="195" w:type="dxa"/>
            <w:tcBorders>
              <w:bottom w:val="single" w:sz="12" w:space="0" w:color="245BA7"/>
            </w:tcBorders>
            <w:shd w:fill="auto" w:val="clear"/>
            <w:vAlign w:val="center"/>
          </w:tcPr>
          <w:p>
            <w:pPr>
              <w:pStyle w:val="TableContents"/>
              <w:pBdr/>
              <w:spacing w:before="15" w:after="0"/>
              <w:ind w:left="0" w:right="0" w:hanging="0"/>
              <w:jc w:val="center"/>
              <w:rPr>
                <w:color w:val="245BA7"/>
              </w:rPr>
            </w:pPr>
            <w:r>
              <w:rPr>
                <w:color w:val="245BA7"/>
              </w:rPr>
              <w:t> </w:t>
            </w:r>
          </w:p>
        </w:tc>
        <w:tc>
          <w:tcPr>
            <w:tcW w:w="1133" w:type="dxa"/>
            <w:tcBorders>
              <w:bottom w:val="single" w:sz="12" w:space="0" w:color="245BA7"/>
            </w:tcBorders>
            <w:shd w:fill="auto" w:val="clear"/>
            <w:vAlign w:val="center"/>
          </w:tcPr>
          <w:p>
            <w:pPr>
              <w:pStyle w:val="TableContents"/>
              <w:pBdr/>
              <w:spacing w:before="15" w:after="0"/>
              <w:ind w:left="0" w:right="0" w:hanging="0"/>
              <w:jc w:val="center"/>
              <w:rPr>
                <w:color w:val="245BA7"/>
              </w:rPr>
            </w:pPr>
            <w:r>
              <w:rPr>
                <w:color w:val="245BA7"/>
              </w:rPr>
              <w:t> </w:t>
            </w:r>
          </w:p>
        </w:tc>
        <w:tc>
          <w:tcPr>
            <w:tcW w:w="112" w:type="dxa"/>
            <w:tcBorders>
              <w:bottom w:val="single" w:sz="12" w:space="0" w:color="245BA7"/>
            </w:tcBorders>
            <w:shd w:fill="auto" w:val="clear"/>
            <w:vAlign w:val="center"/>
          </w:tcPr>
          <w:p>
            <w:pPr>
              <w:pStyle w:val="TableContents"/>
              <w:pBdr/>
              <w:spacing w:before="15" w:after="0"/>
              <w:ind w:left="0" w:right="0" w:hanging="0"/>
              <w:jc w:val="center"/>
              <w:rPr>
                <w:color w:val="245BA7"/>
              </w:rPr>
            </w:pPr>
            <w:r>
              <w:rPr>
                <w:color w:val="245BA7"/>
              </w:rPr>
              <w:t> </w:t>
            </w:r>
          </w:p>
        </w:tc>
        <w:tc>
          <w:tcPr>
            <w:tcW w:w="171" w:type="dxa"/>
            <w:tcBorders>
              <w:bottom w:val="single" w:sz="12" w:space="0" w:color="245BA7"/>
            </w:tcBorders>
            <w:shd w:fill="auto" w:val="clear"/>
            <w:vAlign w:val="center"/>
          </w:tcPr>
          <w:p>
            <w:pPr>
              <w:pStyle w:val="TableContents"/>
              <w:pBdr/>
              <w:spacing w:before="15" w:after="0"/>
              <w:ind w:left="75" w:right="75" w:hanging="0"/>
              <w:rPr>
                <w:color w:val="245BA7"/>
              </w:rPr>
            </w:pPr>
            <w:r>
              <w:rPr>
                <w:color w:val="245BA7"/>
              </w:rPr>
              <w:t> </w:t>
            </w:r>
          </w:p>
        </w:tc>
        <w:tc>
          <w:tcPr>
            <w:tcW w:w="1379" w:type="dxa"/>
            <w:tcBorders>
              <w:bottom w:val="single" w:sz="12" w:space="0" w:color="245BA7"/>
            </w:tcBorders>
            <w:shd w:fill="auto" w:val="clear"/>
            <w:vAlign w:val="center"/>
          </w:tcPr>
          <w:p>
            <w:pPr>
              <w:pStyle w:val="TableContents"/>
              <w:pBdr/>
              <w:spacing w:before="15" w:after="0"/>
              <w:ind w:left="0" w:right="0" w:hanging="0"/>
              <w:jc w:val="center"/>
              <w:rPr>
                <w:color w:val="245BA7"/>
              </w:rPr>
            </w:pPr>
            <w:r>
              <w:rPr>
                <w:color w:val="245BA7"/>
              </w:rPr>
              <w:t> </w:t>
            </w:r>
          </w:p>
        </w:tc>
        <w:tc>
          <w:tcPr>
            <w:tcW w:w="196" w:type="dxa"/>
            <w:tcBorders>
              <w:bottom w:val="single" w:sz="12" w:space="0" w:color="245BA7"/>
            </w:tcBorders>
            <w:shd w:fill="auto" w:val="clear"/>
            <w:vAlign w:val="center"/>
          </w:tcPr>
          <w:p>
            <w:pPr>
              <w:pStyle w:val="TableContents"/>
              <w:pBdr/>
              <w:spacing w:before="15" w:after="0"/>
              <w:ind w:left="0" w:right="0" w:hanging="0"/>
              <w:jc w:val="left"/>
              <w:rPr>
                <w:caps w:val="false"/>
                <w:smallCaps w:val="false"/>
                <w:color w:val="245BA7"/>
              </w:rPr>
            </w:pPr>
            <w:r>
              <w:rPr>
                <w:caps w:val="false"/>
                <w:smallCaps w:val="false"/>
                <w:color w:val="245BA7"/>
              </w:rPr>
              <w:t> </w:t>
            </w:r>
          </w:p>
        </w:tc>
        <w:tc>
          <w:tcPr>
            <w:tcW w:w="847" w:type="dxa"/>
            <w:tcBorders>
              <w:bottom w:val="single" w:sz="12" w:space="0" w:color="245BA7"/>
            </w:tcBorders>
            <w:shd w:fill="auto" w:val="clear"/>
            <w:vAlign w:val="center"/>
          </w:tcPr>
          <w:p>
            <w:pPr>
              <w:pStyle w:val="TableContents"/>
              <w:pBdr/>
              <w:spacing w:before="15" w:after="0"/>
              <w:ind w:left="0" w:right="0" w:hanging="0"/>
              <w:jc w:val="center"/>
              <w:rPr>
                <w:color w:val="245BA7"/>
              </w:rPr>
            </w:pPr>
            <w:r>
              <w:rPr>
                <w:color w:val="245BA7"/>
              </w:rPr>
              <w:t> </w:t>
            </w:r>
          </w:p>
        </w:tc>
        <w:tc>
          <w:tcPr>
            <w:tcW w:w="422" w:type="dxa"/>
            <w:tcBorders>
              <w:bottom w:val="single" w:sz="12" w:space="0" w:color="245BA7"/>
            </w:tcBorders>
            <w:shd w:fill="auto" w:val="clear"/>
            <w:vAlign w:val="center"/>
          </w:tcPr>
          <w:p>
            <w:pPr>
              <w:pStyle w:val="TableContents"/>
              <w:pBdr/>
              <w:spacing w:before="15" w:after="0"/>
              <w:ind w:left="0" w:right="0" w:hanging="0"/>
              <w:jc w:val="center"/>
              <w:rPr>
                <w:color w:val="245BA7"/>
              </w:rPr>
            </w:pPr>
            <w:r>
              <w:rPr>
                <w:color w:val="245BA7"/>
              </w:rPr>
              <w:t> </w:t>
            </w:r>
          </w:p>
        </w:tc>
      </w:tr>
      <w:tr>
        <w:trPr/>
        <w:tc>
          <w:tcPr>
            <w:tcW w:w="452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Leonard S. Schleifer, M.D., Ph.D.</w:t>
            </w:r>
          </w:p>
        </w:tc>
        <w:tc>
          <w:tcPr>
            <w:tcW w:w="122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1,726,565</w:t>
            </w:r>
          </w:p>
        </w:tc>
        <w:tc>
          <w:tcPr>
            <w:tcW w:w="195"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9</w:t>
            </w:r>
          </w:p>
        </w:tc>
        <w:tc>
          <w:tcPr>
            <w:tcW w:w="113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95.0%</w:t>
            </w:r>
          </w:p>
        </w:tc>
        <w:tc>
          <w:tcPr>
            <w:tcW w:w="11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71"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color w:val="000000"/>
              </w:rPr>
            </w:pPr>
            <w:r>
              <w:rPr>
                <w:color w:val="000000"/>
              </w:rPr>
              <w:t> </w:t>
            </w:r>
          </w:p>
        </w:tc>
        <w:tc>
          <w:tcPr>
            <w:tcW w:w="1379"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 xml:space="preserve">3,261,849 </w:t>
            </w:r>
          </w:p>
        </w:tc>
        <w:tc>
          <w:tcPr>
            <w:tcW w:w="196"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10</w:t>
            </w:r>
          </w:p>
        </w:tc>
        <w:tc>
          <w:tcPr>
            <w:tcW w:w="84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3.0</w:t>
            </w:r>
          </w:p>
        </w:tc>
        <w:tc>
          <w:tcPr>
            <w:tcW w:w="42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rFonts w:ascii="Arial" w:hAnsi="Arial"/>
                <w:color w:val="000000"/>
                <w:sz w:val="20"/>
              </w:rPr>
            </w:pPr>
            <w:r>
              <w:rPr>
                <w:rFonts w:ascii="Arial" w:hAnsi="Arial"/>
                <w:color w:val="000000"/>
                <w:sz w:val="20"/>
              </w:rPr>
              <w:t>%</w:t>
            </w:r>
          </w:p>
        </w:tc>
      </w:tr>
      <w:tr>
        <w:trPr/>
        <w:tc>
          <w:tcPr>
            <w:tcW w:w="4523" w:type="dxa"/>
            <w:tcBorders>
              <w:bottom w:val="single" w:sz="12" w:space="0" w:color="575756"/>
            </w:tcBorders>
            <w:shd w:fill="auto" w:val="clear"/>
            <w:tcMar>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P. Roy Vagelos, M.D.</w:t>
            </w:r>
          </w:p>
        </w:tc>
        <w:tc>
          <w:tcPr>
            <w:tcW w:w="122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33"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71" w:type="dxa"/>
            <w:tcBorders>
              <w:bottom w:val="single" w:sz="12" w:space="0" w:color="575756"/>
            </w:tcBorders>
            <w:shd w:fill="auto" w:val="clear"/>
            <w:tcMar>
              <w:bottom w:w="45" w:type="dxa"/>
            </w:tcMar>
            <w:vAlign w:val="center"/>
          </w:tcPr>
          <w:p>
            <w:pPr>
              <w:pStyle w:val="TableContents"/>
              <w:pBdr/>
              <w:spacing w:before="0" w:after="45"/>
              <w:ind w:left="75" w:right="0" w:hanging="0"/>
              <w:rPr>
                <w:color w:val="000000"/>
              </w:rPr>
            </w:pPr>
            <w:r>
              <w:rPr>
                <w:color w:val="000000"/>
              </w:rPr>
              <w:t> </w:t>
            </w:r>
          </w:p>
        </w:tc>
        <w:tc>
          <w:tcPr>
            <w:tcW w:w="1379"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1,059,966</w:t>
            </w:r>
          </w:p>
        </w:tc>
        <w:tc>
          <w:tcPr>
            <w:tcW w:w="196" w:type="dxa"/>
            <w:tcBorders>
              <w:bottom w:val="single" w:sz="12" w:space="0" w:color="575756"/>
            </w:tcBorders>
            <w:shd w:fill="auto" w:val="clear"/>
            <w:tcMar>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11</w:t>
            </w:r>
          </w:p>
        </w:tc>
        <w:tc>
          <w:tcPr>
            <w:tcW w:w="84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1.0</w:t>
            </w:r>
          </w:p>
        </w:tc>
        <w:tc>
          <w:tcPr>
            <w:tcW w:w="422" w:type="dxa"/>
            <w:tcBorders>
              <w:bottom w:val="single" w:sz="12" w:space="0" w:color="575756"/>
            </w:tcBorders>
            <w:shd w:fill="auto" w:val="clear"/>
            <w:tcMar>
              <w:bottom w:w="45" w:type="dxa"/>
            </w:tcMar>
            <w:vAlign w:val="center"/>
          </w:tcPr>
          <w:p>
            <w:pPr>
              <w:pStyle w:val="TableContents"/>
              <w:pBdr/>
              <w:spacing w:before="0" w:after="45"/>
              <w:ind w:left="0" w:right="0" w:hanging="0"/>
              <w:rPr>
                <w:rFonts w:ascii="Arial" w:hAnsi="Arial"/>
                <w:color w:val="000000"/>
                <w:sz w:val="20"/>
              </w:rPr>
            </w:pPr>
            <w:r>
              <w:rPr>
                <w:rFonts w:ascii="Arial" w:hAnsi="Arial"/>
                <w:color w:val="000000"/>
                <w:sz w:val="20"/>
              </w:rPr>
              <w:t>%</w:t>
            </w:r>
          </w:p>
        </w:tc>
      </w:tr>
      <w:tr>
        <w:trPr/>
        <w:tc>
          <w:tcPr>
            <w:tcW w:w="452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George D. Yancopoulos, M.D., Ph.D.</w:t>
            </w:r>
          </w:p>
        </w:tc>
        <w:tc>
          <w:tcPr>
            <w:tcW w:w="122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42,750</w:t>
            </w:r>
          </w:p>
        </w:tc>
        <w:tc>
          <w:tcPr>
            <w:tcW w:w="195"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12</w:t>
            </w:r>
          </w:p>
        </w:tc>
        <w:tc>
          <w:tcPr>
            <w:tcW w:w="113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2.3%</w:t>
            </w:r>
          </w:p>
        </w:tc>
        <w:tc>
          <w:tcPr>
            <w:tcW w:w="11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71"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color w:val="000000"/>
              </w:rPr>
            </w:pPr>
            <w:r>
              <w:rPr>
                <w:color w:val="000000"/>
              </w:rPr>
              <w:t> </w:t>
            </w:r>
          </w:p>
        </w:tc>
        <w:tc>
          <w:tcPr>
            <w:tcW w:w="1379"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2,060,919</w:t>
            </w:r>
          </w:p>
        </w:tc>
        <w:tc>
          <w:tcPr>
            <w:tcW w:w="196"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13</w:t>
            </w:r>
          </w:p>
        </w:tc>
        <w:tc>
          <w:tcPr>
            <w:tcW w:w="84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1.9</w:t>
            </w:r>
          </w:p>
        </w:tc>
        <w:tc>
          <w:tcPr>
            <w:tcW w:w="42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rFonts w:ascii="Arial" w:hAnsi="Arial"/>
                <w:color w:val="000000"/>
                <w:sz w:val="20"/>
              </w:rPr>
            </w:pPr>
            <w:r>
              <w:rPr>
                <w:rFonts w:ascii="Arial" w:hAnsi="Arial"/>
                <w:color w:val="000000"/>
                <w:sz w:val="20"/>
              </w:rPr>
              <w:t>%</w:t>
            </w:r>
          </w:p>
        </w:tc>
      </w:tr>
      <w:tr>
        <w:trPr/>
        <w:tc>
          <w:tcPr>
            <w:tcW w:w="4523" w:type="dxa"/>
            <w:tcBorders>
              <w:bottom w:val="single" w:sz="12" w:space="0" w:color="575756"/>
            </w:tcBorders>
            <w:shd w:fill="auto" w:val="clear"/>
            <w:tcMar>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Bonnie L. Bassler, Ph.D.</w:t>
            </w:r>
          </w:p>
        </w:tc>
        <w:tc>
          <w:tcPr>
            <w:tcW w:w="122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33"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71" w:type="dxa"/>
            <w:tcBorders>
              <w:bottom w:val="single" w:sz="12" w:space="0" w:color="575756"/>
            </w:tcBorders>
            <w:shd w:fill="auto" w:val="clear"/>
            <w:tcMar>
              <w:bottom w:w="45" w:type="dxa"/>
            </w:tcMar>
            <w:vAlign w:val="center"/>
          </w:tcPr>
          <w:p>
            <w:pPr>
              <w:pStyle w:val="TableContents"/>
              <w:pBdr/>
              <w:spacing w:before="0" w:after="45"/>
              <w:ind w:left="75" w:right="0" w:hanging="0"/>
              <w:rPr>
                <w:color w:val="000000"/>
              </w:rPr>
            </w:pPr>
            <w:r>
              <w:rPr>
                <w:color w:val="000000"/>
              </w:rPr>
              <w:t> </w:t>
            </w:r>
          </w:p>
        </w:tc>
        <w:tc>
          <w:tcPr>
            <w:tcW w:w="1379"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22,098</w:t>
            </w:r>
          </w:p>
        </w:tc>
        <w:tc>
          <w:tcPr>
            <w:tcW w:w="196" w:type="dxa"/>
            <w:tcBorders>
              <w:bottom w:val="single" w:sz="12" w:space="0" w:color="575756"/>
            </w:tcBorders>
            <w:shd w:fill="auto" w:val="clear"/>
            <w:tcMar>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14</w:t>
            </w:r>
          </w:p>
        </w:tc>
        <w:tc>
          <w:tcPr>
            <w:tcW w:w="84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 </w:t>
            </w:r>
          </w:p>
        </w:tc>
        <w:tc>
          <w:tcPr>
            <w:tcW w:w="422" w:type="dxa"/>
            <w:tcBorders>
              <w:bottom w:val="single" w:sz="12" w:space="0" w:color="575756"/>
            </w:tcBorders>
            <w:shd w:fill="auto" w:val="clear"/>
            <w:tcMar>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29</w:t>
            </w:r>
          </w:p>
        </w:tc>
      </w:tr>
      <w:tr>
        <w:trPr/>
        <w:tc>
          <w:tcPr>
            <w:tcW w:w="452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Michael S. Brown, M.D.</w:t>
            </w:r>
          </w:p>
        </w:tc>
        <w:tc>
          <w:tcPr>
            <w:tcW w:w="122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13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71"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color w:val="000000"/>
              </w:rPr>
            </w:pPr>
            <w:r>
              <w:rPr>
                <w:color w:val="000000"/>
              </w:rPr>
              <w:t> </w:t>
            </w:r>
          </w:p>
        </w:tc>
        <w:tc>
          <w:tcPr>
            <w:tcW w:w="1379"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21,471</w:t>
            </w:r>
          </w:p>
        </w:tc>
        <w:tc>
          <w:tcPr>
            <w:tcW w:w="196"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15</w:t>
            </w:r>
          </w:p>
        </w:tc>
        <w:tc>
          <w:tcPr>
            <w:tcW w:w="84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 </w:t>
            </w:r>
          </w:p>
        </w:tc>
        <w:tc>
          <w:tcPr>
            <w:tcW w:w="42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29</w:t>
            </w:r>
          </w:p>
        </w:tc>
      </w:tr>
      <w:tr>
        <w:trPr/>
        <w:tc>
          <w:tcPr>
            <w:tcW w:w="4523" w:type="dxa"/>
            <w:tcBorders>
              <w:bottom w:val="single" w:sz="12" w:space="0" w:color="575756"/>
            </w:tcBorders>
            <w:shd w:fill="auto" w:val="clear"/>
            <w:tcMar>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N. Anthony Coles, M.D.</w:t>
            </w:r>
          </w:p>
        </w:tc>
        <w:tc>
          <w:tcPr>
            <w:tcW w:w="122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33"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71" w:type="dxa"/>
            <w:tcBorders>
              <w:bottom w:val="single" w:sz="12" w:space="0" w:color="575756"/>
            </w:tcBorders>
            <w:shd w:fill="auto" w:val="clear"/>
            <w:tcMar>
              <w:bottom w:w="45" w:type="dxa"/>
            </w:tcMar>
            <w:vAlign w:val="center"/>
          </w:tcPr>
          <w:p>
            <w:pPr>
              <w:pStyle w:val="TableContents"/>
              <w:pBdr/>
              <w:spacing w:before="0" w:after="45"/>
              <w:ind w:left="75" w:right="0" w:hanging="0"/>
              <w:rPr>
                <w:color w:val="000000"/>
              </w:rPr>
            </w:pPr>
            <w:r>
              <w:rPr>
                <w:color w:val="000000"/>
              </w:rPr>
              <w:t> </w:t>
            </w:r>
          </w:p>
        </w:tc>
        <w:tc>
          <w:tcPr>
            <w:tcW w:w="1379"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4,701</w:t>
            </w:r>
          </w:p>
        </w:tc>
        <w:tc>
          <w:tcPr>
            <w:tcW w:w="196" w:type="dxa"/>
            <w:tcBorders>
              <w:bottom w:val="single" w:sz="12" w:space="0" w:color="575756"/>
            </w:tcBorders>
            <w:shd w:fill="auto" w:val="clear"/>
            <w:tcMar>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16</w:t>
            </w:r>
          </w:p>
        </w:tc>
        <w:tc>
          <w:tcPr>
            <w:tcW w:w="84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 </w:t>
            </w:r>
          </w:p>
        </w:tc>
        <w:tc>
          <w:tcPr>
            <w:tcW w:w="422" w:type="dxa"/>
            <w:tcBorders>
              <w:bottom w:val="single" w:sz="12" w:space="0" w:color="575756"/>
            </w:tcBorders>
            <w:shd w:fill="auto" w:val="clear"/>
            <w:tcMar>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29</w:t>
            </w:r>
          </w:p>
        </w:tc>
      </w:tr>
      <w:tr>
        <w:trPr/>
        <w:tc>
          <w:tcPr>
            <w:tcW w:w="452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Joseph L. Goldstein, M.D.</w:t>
            </w:r>
          </w:p>
        </w:tc>
        <w:tc>
          <w:tcPr>
            <w:tcW w:w="122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13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71"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color w:val="000000"/>
              </w:rPr>
            </w:pPr>
            <w:r>
              <w:rPr>
                <w:color w:val="000000"/>
              </w:rPr>
              <w:t> </w:t>
            </w:r>
          </w:p>
        </w:tc>
        <w:tc>
          <w:tcPr>
            <w:tcW w:w="1379"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9,690</w:t>
            </w:r>
          </w:p>
        </w:tc>
        <w:tc>
          <w:tcPr>
            <w:tcW w:w="196"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17</w:t>
            </w:r>
          </w:p>
        </w:tc>
        <w:tc>
          <w:tcPr>
            <w:tcW w:w="84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 </w:t>
            </w:r>
          </w:p>
        </w:tc>
        <w:tc>
          <w:tcPr>
            <w:tcW w:w="42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29</w:t>
            </w:r>
          </w:p>
        </w:tc>
      </w:tr>
      <w:tr>
        <w:trPr/>
        <w:tc>
          <w:tcPr>
            <w:tcW w:w="4523" w:type="dxa"/>
            <w:tcBorders>
              <w:bottom w:val="single" w:sz="12" w:space="0" w:color="575756"/>
            </w:tcBorders>
            <w:shd w:fill="auto" w:val="clear"/>
            <w:tcMar>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Robert E. Landry</w:t>
            </w:r>
          </w:p>
        </w:tc>
        <w:tc>
          <w:tcPr>
            <w:tcW w:w="122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33"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71" w:type="dxa"/>
            <w:tcBorders>
              <w:bottom w:val="single" w:sz="12" w:space="0" w:color="575756"/>
            </w:tcBorders>
            <w:shd w:fill="auto" w:val="clear"/>
            <w:tcMar>
              <w:bottom w:w="45" w:type="dxa"/>
            </w:tcMar>
            <w:vAlign w:val="center"/>
          </w:tcPr>
          <w:p>
            <w:pPr>
              <w:pStyle w:val="TableContents"/>
              <w:pBdr/>
              <w:spacing w:before="0" w:after="45"/>
              <w:ind w:left="75" w:right="0" w:hanging="0"/>
              <w:rPr>
                <w:color w:val="000000"/>
              </w:rPr>
            </w:pPr>
            <w:r>
              <w:rPr>
                <w:color w:val="000000"/>
              </w:rPr>
              <w:t> </w:t>
            </w:r>
          </w:p>
        </w:tc>
        <w:tc>
          <w:tcPr>
            <w:tcW w:w="1379"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105,100</w:t>
            </w:r>
          </w:p>
        </w:tc>
        <w:tc>
          <w:tcPr>
            <w:tcW w:w="196" w:type="dxa"/>
            <w:tcBorders>
              <w:bottom w:val="single" w:sz="12" w:space="0" w:color="575756"/>
            </w:tcBorders>
            <w:shd w:fill="auto" w:val="clear"/>
            <w:tcMar>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18</w:t>
            </w:r>
          </w:p>
        </w:tc>
        <w:tc>
          <w:tcPr>
            <w:tcW w:w="84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 </w:t>
            </w:r>
          </w:p>
        </w:tc>
        <w:tc>
          <w:tcPr>
            <w:tcW w:w="422" w:type="dxa"/>
            <w:tcBorders>
              <w:bottom w:val="single" w:sz="12" w:space="0" w:color="575756"/>
            </w:tcBorders>
            <w:shd w:fill="auto" w:val="clear"/>
            <w:tcMar>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29</w:t>
            </w:r>
          </w:p>
        </w:tc>
      </w:tr>
      <w:tr>
        <w:trPr/>
        <w:tc>
          <w:tcPr>
            <w:tcW w:w="452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Marion McCourt</w:t>
            </w:r>
          </w:p>
        </w:tc>
        <w:tc>
          <w:tcPr>
            <w:tcW w:w="122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13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71"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color w:val="000000"/>
              </w:rPr>
            </w:pPr>
            <w:r>
              <w:rPr>
                <w:color w:val="000000"/>
              </w:rPr>
              <w:t> </w:t>
            </w:r>
          </w:p>
        </w:tc>
        <w:tc>
          <w:tcPr>
            <w:tcW w:w="1379"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48,043</w:t>
            </w:r>
          </w:p>
        </w:tc>
        <w:tc>
          <w:tcPr>
            <w:tcW w:w="196"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19</w:t>
            </w:r>
          </w:p>
        </w:tc>
        <w:tc>
          <w:tcPr>
            <w:tcW w:w="84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 </w:t>
            </w:r>
          </w:p>
        </w:tc>
        <w:tc>
          <w:tcPr>
            <w:tcW w:w="42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29</w:t>
            </w:r>
          </w:p>
        </w:tc>
      </w:tr>
      <w:tr>
        <w:trPr/>
        <w:tc>
          <w:tcPr>
            <w:tcW w:w="4523" w:type="dxa"/>
            <w:tcBorders>
              <w:bottom w:val="single" w:sz="12" w:space="0" w:color="575756"/>
            </w:tcBorders>
            <w:shd w:fill="auto" w:val="clear"/>
            <w:tcMar>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Andrew J. Murphy, Ph.D.</w:t>
            </w:r>
          </w:p>
        </w:tc>
        <w:tc>
          <w:tcPr>
            <w:tcW w:w="122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33"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71" w:type="dxa"/>
            <w:tcBorders>
              <w:bottom w:val="single" w:sz="12" w:space="0" w:color="575756"/>
            </w:tcBorders>
            <w:shd w:fill="auto" w:val="clear"/>
            <w:tcMar>
              <w:bottom w:w="45" w:type="dxa"/>
            </w:tcMar>
            <w:vAlign w:val="center"/>
          </w:tcPr>
          <w:p>
            <w:pPr>
              <w:pStyle w:val="TableContents"/>
              <w:pBdr/>
              <w:spacing w:before="0" w:after="45"/>
              <w:ind w:left="75" w:right="0" w:hanging="0"/>
              <w:rPr>
                <w:color w:val="000000"/>
              </w:rPr>
            </w:pPr>
            <w:r>
              <w:rPr>
                <w:color w:val="000000"/>
              </w:rPr>
              <w:t> </w:t>
            </w:r>
          </w:p>
        </w:tc>
        <w:tc>
          <w:tcPr>
            <w:tcW w:w="1379"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323,608</w:t>
            </w:r>
          </w:p>
        </w:tc>
        <w:tc>
          <w:tcPr>
            <w:tcW w:w="196" w:type="dxa"/>
            <w:tcBorders>
              <w:bottom w:val="single" w:sz="12" w:space="0" w:color="575756"/>
            </w:tcBorders>
            <w:shd w:fill="auto" w:val="clear"/>
            <w:tcMar>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20</w:t>
            </w:r>
          </w:p>
        </w:tc>
        <w:tc>
          <w:tcPr>
            <w:tcW w:w="84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 </w:t>
            </w:r>
          </w:p>
        </w:tc>
        <w:tc>
          <w:tcPr>
            <w:tcW w:w="422" w:type="dxa"/>
            <w:tcBorders>
              <w:bottom w:val="single" w:sz="12" w:space="0" w:color="575756"/>
            </w:tcBorders>
            <w:shd w:fill="auto" w:val="clear"/>
            <w:tcMar>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29</w:t>
            </w:r>
          </w:p>
        </w:tc>
      </w:tr>
      <w:tr>
        <w:trPr/>
        <w:tc>
          <w:tcPr>
            <w:tcW w:w="452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Christine A. Poon</w:t>
            </w:r>
          </w:p>
        </w:tc>
        <w:tc>
          <w:tcPr>
            <w:tcW w:w="122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13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71"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color w:val="000000"/>
              </w:rPr>
            </w:pPr>
            <w:r>
              <w:rPr>
                <w:color w:val="000000"/>
              </w:rPr>
              <w:t> </w:t>
            </w:r>
          </w:p>
        </w:tc>
        <w:tc>
          <w:tcPr>
            <w:tcW w:w="1379"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64,837</w:t>
            </w:r>
          </w:p>
        </w:tc>
        <w:tc>
          <w:tcPr>
            <w:tcW w:w="196"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21</w:t>
            </w:r>
          </w:p>
        </w:tc>
        <w:tc>
          <w:tcPr>
            <w:tcW w:w="84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 </w:t>
            </w:r>
          </w:p>
        </w:tc>
        <w:tc>
          <w:tcPr>
            <w:tcW w:w="42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29</w:t>
            </w:r>
          </w:p>
        </w:tc>
      </w:tr>
      <w:tr>
        <w:trPr/>
        <w:tc>
          <w:tcPr>
            <w:tcW w:w="4523" w:type="dxa"/>
            <w:tcBorders>
              <w:bottom w:val="single" w:sz="12" w:space="0" w:color="575756"/>
            </w:tcBorders>
            <w:shd w:fill="auto" w:val="clear"/>
            <w:tcMar>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Arthur F. Ryan</w:t>
            </w:r>
          </w:p>
        </w:tc>
        <w:tc>
          <w:tcPr>
            <w:tcW w:w="122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33"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71" w:type="dxa"/>
            <w:tcBorders>
              <w:bottom w:val="single" w:sz="12" w:space="0" w:color="575756"/>
            </w:tcBorders>
            <w:shd w:fill="auto" w:val="clear"/>
            <w:tcMar>
              <w:bottom w:w="45" w:type="dxa"/>
            </w:tcMar>
            <w:vAlign w:val="center"/>
          </w:tcPr>
          <w:p>
            <w:pPr>
              <w:pStyle w:val="TableContents"/>
              <w:pBdr/>
              <w:spacing w:before="0" w:after="45"/>
              <w:ind w:left="75" w:right="0" w:hanging="0"/>
              <w:rPr>
                <w:color w:val="000000"/>
              </w:rPr>
            </w:pPr>
            <w:r>
              <w:rPr>
                <w:color w:val="000000"/>
              </w:rPr>
              <w:t> </w:t>
            </w:r>
          </w:p>
        </w:tc>
        <w:tc>
          <w:tcPr>
            <w:tcW w:w="1379"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22,490</w:t>
            </w:r>
          </w:p>
        </w:tc>
        <w:tc>
          <w:tcPr>
            <w:tcW w:w="196" w:type="dxa"/>
            <w:tcBorders>
              <w:bottom w:val="single" w:sz="12" w:space="0" w:color="575756"/>
            </w:tcBorders>
            <w:shd w:fill="auto" w:val="clear"/>
            <w:tcMar>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22</w:t>
            </w:r>
          </w:p>
        </w:tc>
        <w:tc>
          <w:tcPr>
            <w:tcW w:w="84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 </w:t>
            </w:r>
          </w:p>
        </w:tc>
        <w:tc>
          <w:tcPr>
            <w:tcW w:w="422" w:type="dxa"/>
            <w:tcBorders>
              <w:bottom w:val="single" w:sz="12" w:space="0" w:color="575756"/>
            </w:tcBorders>
            <w:shd w:fill="auto" w:val="clear"/>
            <w:tcMar>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29</w:t>
            </w:r>
          </w:p>
        </w:tc>
      </w:tr>
      <w:tr>
        <w:trPr/>
        <w:tc>
          <w:tcPr>
            <w:tcW w:w="452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George L. Sing</w:t>
            </w:r>
          </w:p>
        </w:tc>
        <w:tc>
          <w:tcPr>
            <w:tcW w:w="122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13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71"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color w:val="000000"/>
              </w:rPr>
            </w:pPr>
            <w:r>
              <w:rPr>
                <w:color w:val="000000"/>
              </w:rPr>
              <w:t> </w:t>
            </w:r>
          </w:p>
        </w:tc>
        <w:tc>
          <w:tcPr>
            <w:tcW w:w="1379"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78,884</w:t>
            </w:r>
          </w:p>
        </w:tc>
        <w:tc>
          <w:tcPr>
            <w:tcW w:w="196"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23</w:t>
            </w:r>
          </w:p>
        </w:tc>
        <w:tc>
          <w:tcPr>
            <w:tcW w:w="84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 </w:t>
            </w:r>
          </w:p>
        </w:tc>
        <w:tc>
          <w:tcPr>
            <w:tcW w:w="42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29</w:t>
            </w:r>
          </w:p>
        </w:tc>
      </w:tr>
      <w:tr>
        <w:trPr/>
        <w:tc>
          <w:tcPr>
            <w:tcW w:w="4523" w:type="dxa"/>
            <w:tcBorders>
              <w:bottom w:val="single" w:sz="12" w:space="0" w:color="575756"/>
            </w:tcBorders>
            <w:shd w:fill="auto" w:val="clear"/>
            <w:tcMar>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Marc Tessier-Lavigne, Ph.D.</w:t>
            </w:r>
          </w:p>
        </w:tc>
        <w:tc>
          <w:tcPr>
            <w:tcW w:w="122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33"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71" w:type="dxa"/>
            <w:tcBorders>
              <w:bottom w:val="single" w:sz="12" w:space="0" w:color="575756"/>
            </w:tcBorders>
            <w:shd w:fill="auto" w:val="clear"/>
            <w:tcMar>
              <w:bottom w:w="45" w:type="dxa"/>
            </w:tcMar>
            <w:vAlign w:val="center"/>
          </w:tcPr>
          <w:p>
            <w:pPr>
              <w:pStyle w:val="TableContents"/>
              <w:pBdr/>
              <w:spacing w:before="0" w:after="45"/>
              <w:ind w:left="75" w:right="0" w:hanging="0"/>
              <w:rPr>
                <w:color w:val="000000"/>
              </w:rPr>
            </w:pPr>
            <w:r>
              <w:rPr>
                <w:color w:val="000000"/>
              </w:rPr>
              <w:t> </w:t>
            </w:r>
          </w:p>
        </w:tc>
        <w:tc>
          <w:tcPr>
            <w:tcW w:w="1379"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18,702</w:t>
            </w:r>
          </w:p>
        </w:tc>
        <w:tc>
          <w:tcPr>
            <w:tcW w:w="196" w:type="dxa"/>
            <w:tcBorders>
              <w:bottom w:val="single" w:sz="12" w:space="0" w:color="575756"/>
            </w:tcBorders>
            <w:shd w:fill="auto" w:val="clear"/>
            <w:tcMar>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24</w:t>
            </w:r>
          </w:p>
        </w:tc>
        <w:tc>
          <w:tcPr>
            <w:tcW w:w="84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 </w:t>
            </w:r>
          </w:p>
        </w:tc>
        <w:tc>
          <w:tcPr>
            <w:tcW w:w="422" w:type="dxa"/>
            <w:tcBorders>
              <w:bottom w:val="single" w:sz="12" w:space="0" w:color="575756"/>
            </w:tcBorders>
            <w:shd w:fill="auto" w:val="clear"/>
            <w:tcMar>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29</w:t>
            </w:r>
          </w:p>
        </w:tc>
      </w:tr>
      <w:tr>
        <w:trPr/>
        <w:tc>
          <w:tcPr>
            <w:tcW w:w="452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Craig B. Thompson, M.D.</w:t>
            </w:r>
          </w:p>
        </w:tc>
        <w:tc>
          <w:tcPr>
            <w:tcW w:w="122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133"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71"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rPr>
                <w:color w:val="000000"/>
              </w:rPr>
            </w:pPr>
            <w:r>
              <w:rPr>
                <w:color w:val="000000"/>
              </w:rPr>
              <w:t> </w:t>
            </w:r>
          </w:p>
        </w:tc>
        <w:tc>
          <w:tcPr>
            <w:tcW w:w="1379"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2,606</w:t>
            </w:r>
          </w:p>
        </w:tc>
        <w:tc>
          <w:tcPr>
            <w:tcW w:w="196"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25</w:t>
            </w:r>
          </w:p>
        </w:tc>
        <w:tc>
          <w:tcPr>
            <w:tcW w:w="847"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 </w:t>
            </w:r>
          </w:p>
        </w:tc>
        <w:tc>
          <w:tcPr>
            <w:tcW w:w="422" w:type="dxa"/>
            <w:tcBorders>
              <w:top w:val="single" w:sz="2" w:space="0" w:color="F2F2F2"/>
              <w:bottom w:val="single" w:sz="12" w:space="0" w:color="575756"/>
            </w:tcBorders>
            <w:shd w:fill="F2F2F2" w:val="clear"/>
            <w:tcMar>
              <w:top w:w="90" w:type="dxa"/>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29</w:t>
            </w:r>
          </w:p>
        </w:tc>
      </w:tr>
      <w:tr>
        <w:trPr/>
        <w:tc>
          <w:tcPr>
            <w:tcW w:w="4523" w:type="dxa"/>
            <w:tcBorders>
              <w:bottom w:val="single" w:sz="12" w:space="0" w:color="575756"/>
            </w:tcBorders>
            <w:shd w:fill="auto" w:val="clear"/>
            <w:tcMar>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Daniel P. Van Plew</w:t>
            </w:r>
          </w:p>
        </w:tc>
        <w:tc>
          <w:tcPr>
            <w:tcW w:w="122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33"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bottom w:val="single" w:sz="1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71" w:type="dxa"/>
            <w:tcBorders>
              <w:bottom w:val="single" w:sz="12" w:space="0" w:color="575756"/>
            </w:tcBorders>
            <w:shd w:fill="auto" w:val="clear"/>
            <w:tcMar>
              <w:bottom w:w="45" w:type="dxa"/>
            </w:tcMar>
            <w:vAlign w:val="center"/>
          </w:tcPr>
          <w:p>
            <w:pPr>
              <w:pStyle w:val="TableContents"/>
              <w:pBdr/>
              <w:spacing w:before="0" w:after="45"/>
              <w:ind w:left="75" w:right="0" w:hanging="0"/>
              <w:rPr>
                <w:color w:val="000000"/>
              </w:rPr>
            </w:pPr>
            <w:r>
              <w:rPr>
                <w:color w:val="000000"/>
              </w:rPr>
              <w:t> </w:t>
            </w:r>
          </w:p>
        </w:tc>
        <w:tc>
          <w:tcPr>
            <w:tcW w:w="1379"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114,187</w:t>
            </w:r>
          </w:p>
        </w:tc>
        <w:tc>
          <w:tcPr>
            <w:tcW w:w="196" w:type="dxa"/>
            <w:tcBorders>
              <w:bottom w:val="single" w:sz="12" w:space="0" w:color="575756"/>
            </w:tcBorders>
            <w:shd w:fill="auto" w:val="clear"/>
            <w:tcMar>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26</w:t>
            </w:r>
          </w:p>
        </w:tc>
        <w:tc>
          <w:tcPr>
            <w:tcW w:w="847" w:type="dxa"/>
            <w:tcBorders>
              <w:bottom w:val="single" w:sz="12" w:space="0" w:color="575756"/>
            </w:tcBorders>
            <w:shd w:fill="auto" w:val="clear"/>
            <w:tcMar>
              <w:bottom w:w="45" w:type="dxa"/>
            </w:tcMar>
            <w:vAlign w:val="center"/>
          </w:tcPr>
          <w:p>
            <w:pPr>
              <w:pStyle w:val="TableContents"/>
              <w:pBdr/>
              <w:spacing w:before="0" w:after="45"/>
              <w:ind w:left="75" w:right="0" w:hanging="0"/>
              <w:jc w:val="right"/>
              <w:rPr>
                <w:color w:val="000000"/>
              </w:rPr>
            </w:pPr>
            <w:r>
              <w:rPr>
                <w:color w:val="000000"/>
              </w:rPr>
              <w:t> </w:t>
            </w:r>
          </w:p>
        </w:tc>
        <w:tc>
          <w:tcPr>
            <w:tcW w:w="422" w:type="dxa"/>
            <w:tcBorders>
              <w:bottom w:val="single" w:sz="12" w:space="0" w:color="575756"/>
            </w:tcBorders>
            <w:shd w:fill="auto" w:val="clear"/>
            <w:tcMar>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29</w:t>
            </w:r>
          </w:p>
        </w:tc>
      </w:tr>
      <w:tr>
        <w:trPr/>
        <w:tc>
          <w:tcPr>
            <w:tcW w:w="4523" w:type="dxa"/>
            <w:tcBorders>
              <w:top w:val="single" w:sz="2" w:space="0" w:color="F2F2F2"/>
              <w:bottom w:val="single" w:sz="12" w:space="0" w:color="245BA7"/>
            </w:tcBorders>
            <w:shd w:fill="F2F2F2" w:val="clear"/>
            <w:tcMar>
              <w:top w:w="90" w:type="dxa"/>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Huda Y. Zoghbi, M.D.</w:t>
            </w:r>
          </w:p>
        </w:tc>
        <w:tc>
          <w:tcPr>
            <w:tcW w:w="1227" w:type="dxa"/>
            <w:tcBorders>
              <w:top w:val="single" w:sz="2" w:space="0" w:color="F2F2F2"/>
              <w:bottom w:val="single" w:sz="12" w:space="0" w:color="245BA7"/>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95" w:type="dxa"/>
            <w:tcBorders>
              <w:top w:val="single" w:sz="2" w:space="0" w:color="F2F2F2"/>
              <w:bottom w:val="single" w:sz="12" w:space="0" w:color="245BA7"/>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133" w:type="dxa"/>
            <w:tcBorders>
              <w:top w:val="single" w:sz="2" w:space="0" w:color="F2F2F2"/>
              <w:bottom w:val="single" w:sz="12" w:space="0" w:color="245BA7"/>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w:t>
            </w:r>
          </w:p>
        </w:tc>
        <w:tc>
          <w:tcPr>
            <w:tcW w:w="112" w:type="dxa"/>
            <w:tcBorders>
              <w:top w:val="single" w:sz="2" w:space="0" w:color="F2F2F2"/>
              <w:bottom w:val="single" w:sz="12" w:space="0" w:color="245BA7"/>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71" w:type="dxa"/>
            <w:tcBorders>
              <w:top w:val="single" w:sz="2" w:space="0" w:color="F2F2F2"/>
              <w:bottom w:val="single" w:sz="12" w:space="0" w:color="245BA7"/>
            </w:tcBorders>
            <w:shd w:fill="F2F2F2" w:val="clear"/>
            <w:tcMar>
              <w:top w:w="90" w:type="dxa"/>
              <w:bottom w:w="45" w:type="dxa"/>
            </w:tcMar>
            <w:vAlign w:val="center"/>
          </w:tcPr>
          <w:p>
            <w:pPr>
              <w:pStyle w:val="TableContents"/>
              <w:pBdr/>
              <w:spacing w:before="0" w:after="45"/>
              <w:ind w:left="75" w:right="0" w:hanging="0"/>
              <w:rPr>
                <w:color w:val="000000"/>
              </w:rPr>
            </w:pPr>
            <w:r>
              <w:rPr>
                <w:color w:val="000000"/>
              </w:rPr>
              <w:t> </w:t>
            </w:r>
          </w:p>
        </w:tc>
        <w:tc>
          <w:tcPr>
            <w:tcW w:w="1379" w:type="dxa"/>
            <w:tcBorders>
              <w:top w:val="single" w:sz="2" w:space="0" w:color="F2F2F2"/>
              <w:bottom w:val="single" w:sz="12" w:space="0" w:color="245BA7"/>
            </w:tcBorders>
            <w:shd w:fill="F2F2F2" w:val="clear"/>
            <w:tcMar>
              <w:top w:w="90" w:type="dxa"/>
              <w:bottom w:w="45" w:type="dxa"/>
            </w:tcMar>
            <w:vAlign w:val="center"/>
          </w:tcPr>
          <w:p>
            <w:pPr>
              <w:pStyle w:val="TableContents"/>
              <w:pBdr/>
              <w:spacing w:before="0" w:after="45"/>
              <w:ind w:left="75" w:right="0" w:hanging="0"/>
              <w:jc w:val="right"/>
              <w:rPr>
                <w:rFonts w:ascii="Arial" w:hAnsi="Arial"/>
                <w:color w:val="000000"/>
                <w:sz w:val="20"/>
              </w:rPr>
            </w:pPr>
            <w:r>
              <w:rPr>
                <w:rFonts w:ascii="Arial" w:hAnsi="Arial"/>
                <w:color w:val="000000"/>
                <w:sz w:val="20"/>
              </w:rPr>
              <w:t>28,442</w:t>
            </w:r>
          </w:p>
        </w:tc>
        <w:tc>
          <w:tcPr>
            <w:tcW w:w="196" w:type="dxa"/>
            <w:tcBorders>
              <w:top w:val="single" w:sz="2" w:space="0" w:color="F2F2F2"/>
              <w:bottom w:val="single" w:sz="12" w:space="0" w:color="245BA7"/>
            </w:tcBorders>
            <w:shd w:fill="F2F2F2" w:val="clear"/>
            <w:tcMar>
              <w:top w:w="90" w:type="dxa"/>
              <w:bottom w:w="45" w:type="dxa"/>
            </w:tcMar>
            <w:vAlign w:val="center"/>
          </w:tcPr>
          <w:p>
            <w:pPr>
              <w:pStyle w:val="TableContents"/>
              <w:pBdr/>
              <w:spacing w:before="0" w:after="45"/>
              <w:ind w:left="0" w:right="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27</w:t>
            </w:r>
          </w:p>
        </w:tc>
        <w:tc>
          <w:tcPr>
            <w:tcW w:w="847" w:type="dxa"/>
            <w:tcBorders>
              <w:top w:val="single" w:sz="2" w:space="0" w:color="F2F2F2"/>
              <w:bottom w:val="single" w:sz="12" w:space="0" w:color="245BA7"/>
            </w:tcBorders>
            <w:shd w:fill="F2F2F2" w:val="clear"/>
            <w:tcMar>
              <w:top w:w="90" w:type="dxa"/>
              <w:bottom w:w="45" w:type="dxa"/>
            </w:tcMar>
            <w:vAlign w:val="center"/>
          </w:tcPr>
          <w:p>
            <w:pPr>
              <w:pStyle w:val="TableContents"/>
              <w:pBdr/>
              <w:spacing w:before="0" w:after="45"/>
              <w:ind w:left="75" w:right="0" w:hanging="0"/>
              <w:jc w:val="right"/>
              <w:rPr>
                <w:color w:val="000000"/>
              </w:rPr>
            </w:pPr>
            <w:r>
              <w:rPr>
                <w:color w:val="000000"/>
              </w:rPr>
              <w:t> </w:t>
            </w:r>
          </w:p>
        </w:tc>
        <w:tc>
          <w:tcPr>
            <w:tcW w:w="422" w:type="dxa"/>
            <w:tcBorders>
              <w:top w:val="single" w:sz="2" w:space="0" w:color="F2F2F2"/>
              <w:bottom w:val="single" w:sz="12" w:space="0" w:color="245BA7"/>
            </w:tcBorders>
            <w:shd w:fill="F2F2F2" w:val="clear"/>
            <w:tcMar>
              <w:top w:w="90" w:type="dxa"/>
              <w:bottom w:w="4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29</w:t>
            </w:r>
          </w:p>
        </w:tc>
      </w:tr>
      <w:tr>
        <w:trPr/>
        <w:tc>
          <w:tcPr>
            <w:tcW w:w="4523" w:type="dxa"/>
            <w:tcBorders>
              <w:bottom w:val="single" w:sz="12" w:space="0" w:color="245BA7"/>
            </w:tcBorders>
            <w:shd w:fill="auto" w:val="clear"/>
            <w:tcMar>
              <w:bottom w:w="45" w:type="dxa"/>
            </w:tcMar>
            <w:vAlign w:val="center"/>
          </w:tcPr>
          <w:p>
            <w:pPr>
              <w:pStyle w:val="TableContents"/>
              <w:pBdr/>
              <w:spacing w:before="0" w:after="45"/>
              <w:ind w:left="75" w:right="0" w:hanging="0"/>
              <w:rPr>
                <w:rFonts w:ascii="Arial" w:hAnsi="Arial"/>
                <w:b/>
                <w:color w:val="D31B5D"/>
                <w:sz w:val="20"/>
              </w:rPr>
            </w:pPr>
            <w:r>
              <w:rPr>
                <w:rFonts w:ascii="Arial" w:hAnsi="Arial"/>
                <w:b/>
                <w:color w:val="D31B5D"/>
                <w:sz w:val="20"/>
              </w:rPr>
              <w:t>All Directors and Executive Officers as a Group (20 persons)</w:t>
            </w:r>
          </w:p>
        </w:tc>
        <w:tc>
          <w:tcPr>
            <w:tcW w:w="1227" w:type="dxa"/>
            <w:tcBorders>
              <w:bottom w:val="single" w:sz="12" w:space="0" w:color="245BA7"/>
            </w:tcBorders>
            <w:shd w:fill="auto" w:val="clear"/>
            <w:tcMar>
              <w:bottom w:w="45" w:type="dxa"/>
            </w:tcMar>
            <w:vAlign w:val="center"/>
          </w:tcPr>
          <w:p>
            <w:pPr>
              <w:pStyle w:val="TableContents"/>
              <w:pBdr/>
              <w:spacing w:before="0" w:after="45"/>
              <w:ind w:left="75" w:right="0" w:hanging="0"/>
              <w:jc w:val="right"/>
              <w:rPr>
                <w:rFonts w:ascii="Arial" w:hAnsi="Arial"/>
                <w:b/>
                <w:color w:val="000000"/>
                <w:sz w:val="20"/>
              </w:rPr>
            </w:pPr>
            <w:r>
              <w:rPr>
                <w:rFonts w:ascii="Arial" w:hAnsi="Arial"/>
                <w:b/>
                <w:color w:val="000000"/>
                <w:sz w:val="20"/>
              </w:rPr>
              <w:t>1,769,315</w:t>
            </w:r>
          </w:p>
        </w:tc>
        <w:tc>
          <w:tcPr>
            <w:tcW w:w="195" w:type="dxa"/>
            <w:tcBorders>
              <w:bottom w:val="single" w:sz="12" w:space="0" w:color="245BA7"/>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33" w:type="dxa"/>
            <w:tcBorders>
              <w:bottom w:val="single" w:sz="12" w:space="0" w:color="245BA7"/>
            </w:tcBorders>
            <w:shd w:fill="auto" w:val="clear"/>
            <w:tcMar>
              <w:bottom w:w="45" w:type="dxa"/>
            </w:tcMar>
            <w:vAlign w:val="center"/>
          </w:tcPr>
          <w:p>
            <w:pPr>
              <w:pStyle w:val="TableContents"/>
              <w:pBdr/>
              <w:spacing w:before="0" w:after="45"/>
              <w:ind w:left="75" w:right="0" w:hanging="0"/>
              <w:jc w:val="right"/>
              <w:rPr>
                <w:rFonts w:ascii="Arial" w:hAnsi="Arial"/>
                <w:b/>
                <w:color w:val="000000"/>
                <w:sz w:val="20"/>
              </w:rPr>
            </w:pPr>
            <w:r>
              <w:rPr>
                <w:rFonts w:ascii="Arial" w:hAnsi="Arial"/>
                <w:b/>
                <w:color w:val="000000"/>
                <w:sz w:val="20"/>
              </w:rPr>
              <w:t>97.3%</w:t>
            </w:r>
          </w:p>
        </w:tc>
        <w:tc>
          <w:tcPr>
            <w:tcW w:w="112" w:type="dxa"/>
            <w:tcBorders>
              <w:bottom w:val="single" w:sz="12" w:space="0" w:color="245BA7"/>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71" w:type="dxa"/>
            <w:tcBorders>
              <w:bottom w:val="single" w:sz="12" w:space="0" w:color="245BA7"/>
            </w:tcBorders>
            <w:shd w:fill="auto" w:val="clear"/>
            <w:tcMar>
              <w:bottom w:w="45" w:type="dxa"/>
            </w:tcMar>
            <w:vAlign w:val="center"/>
          </w:tcPr>
          <w:p>
            <w:pPr>
              <w:pStyle w:val="TableContents"/>
              <w:pBdr/>
              <w:spacing w:before="0" w:after="45"/>
              <w:ind w:left="75" w:right="0" w:hanging="0"/>
              <w:rPr>
                <w:color w:val="000000"/>
              </w:rPr>
            </w:pPr>
            <w:r>
              <w:rPr>
                <w:color w:val="000000"/>
              </w:rPr>
              <w:t> </w:t>
            </w:r>
          </w:p>
        </w:tc>
        <w:tc>
          <w:tcPr>
            <w:tcW w:w="1379" w:type="dxa"/>
            <w:tcBorders>
              <w:bottom w:val="single" w:sz="12" w:space="0" w:color="245BA7"/>
            </w:tcBorders>
            <w:shd w:fill="auto" w:val="clear"/>
            <w:tcMar>
              <w:bottom w:w="45" w:type="dxa"/>
            </w:tcMar>
            <w:vAlign w:val="center"/>
          </w:tcPr>
          <w:p>
            <w:pPr>
              <w:pStyle w:val="TableContents"/>
              <w:pBdr/>
              <w:spacing w:before="0" w:after="45"/>
              <w:ind w:left="75" w:right="0" w:hanging="0"/>
              <w:jc w:val="right"/>
              <w:rPr>
                <w:rFonts w:ascii="Arial" w:hAnsi="Arial"/>
                <w:b/>
                <w:color w:val="000000"/>
                <w:sz w:val="20"/>
              </w:rPr>
            </w:pPr>
            <w:r>
              <w:rPr>
                <w:rFonts w:ascii="Arial" w:hAnsi="Arial"/>
                <w:b/>
                <w:color w:val="000000"/>
                <w:sz w:val="20"/>
              </w:rPr>
              <w:t>7,918,673</w:t>
            </w:r>
          </w:p>
        </w:tc>
        <w:tc>
          <w:tcPr>
            <w:tcW w:w="196" w:type="dxa"/>
            <w:tcBorders>
              <w:bottom w:val="single" w:sz="12" w:space="0" w:color="245BA7"/>
            </w:tcBorders>
            <w:shd w:fill="auto" w:val="clear"/>
            <w:tcMar>
              <w:bottom w:w="45" w:type="dxa"/>
            </w:tcMar>
            <w:vAlign w:val="center"/>
          </w:tcPr>
          <w:p>
            <w:pPr>
              <w:pStyle w:val="TableContents"/>
              <w:pBdr/>
              <w:spacing w:before="0" w:after="45"/>
              <w:ind w:left="0" w:right="0" w:hanging="0"/>
              <w:jc w:val="left"/>
              <w:rPr>
                <w:rFonts w:ascii="Arial" w:hAnsi="Arial"/>
                <w:b/>
                <w:i w:val="false"/>
                <w:caps w:val="false"/>
                <w:smallCaps w:val="false"/>
                <w:color w:val="000000"/>
                <w:sz w:val="12"/>
              </w:rPr>
            </w:pPr>
            <w:r>
              <w:rPr>
                <w:rFonts w:ascii="Arial" w:hAnsi="Arial"/>
                <w:b/>
                <w:i w:val="false"/>
                <w:caps w:val="false"/>
                <w:smallCaps w:val="false"/>
                <w:color w:val="000000"/>
                <w:sz w:val="12"/>
              </w:rPr>
              <w:t>28</w:t>
            </w:r>
          </w:p>
        </w:tc>
        <w:tc>
          <w:tcPr>
            <w:tcW w:w="847" w:type="dxa"/>
            <w:tcBorders>
              <w:bottom w:val="single" w:sz="12" w:space="0" w:color="245BA7"/>
            </w:tcBorders>
            <w:shd w:fill="auto" w:val="clear"/>
            <w:tcMar>
              <w:bottom w:w="45" w:type="dxa"/>
            </w:tcMar>
            <w:vAlign w:val="center"/>
          </w:tcPr>
          <w:p>
            <w:pPr>
              <w:pStyle w:val="TableContents"/>
              <w:pBdr/>
              <w:spacing w:before="0" w:after="45"/>
              <w:ind w:left="75" w:right="0" w:hanging="0"/>
              <w:jc w:val="right"/>
              <w:rPr>
                <w:rFonts w:ascii="Arial" w:hAnsi="Arial"/>
                <w:b/>
                <w:color w:val="000000"/>
                <w:sz w:val="20"/>
              </w:rPr>
            </w:pPr>
            <w:r>
              <w:rPr>
                <w:rFonts w:ascii="Arial" w:hAnsi="Arial"/>
                <w:b/>
                <w:color w:val="000000"/>
                <w:sz w:val="20"/>
              </w:rPr>
              <w:t>7.0</w:t>
            </w:r>
          </w:p>
        </w:tc>
        <w:tc>
          <w:tcPr>
            <w:tcW w:w="422" w:type="dxa"/>
            <w:tcBorders>
              <w:bottom w:val="single" w:sz="12" w:space="0" w:color="245BA7"/>
            </w:tcBorders>
            <w:shd w:fill="auto" w:val="clear"/>
            <w:tcMar>
              <w:bottom w:w="45" w:type="dxa"/>
            </w:tcMar>
            <w:vAlign w:val="center"/>
          </w:tcPr>
          <w:p>
            <w:pPr>
              <w:pStyle w:val="TableContents"/>
              <w:pBdr/>
              <w:spacing w:before="0" w:after="45"/>
              <w:ind w:left="0" w:right="0" w:hanging="0"/>
              <w:rPr>
                <w:rFonts w:ascii="Arial" w:hAnsi="Arial"/>
                <w:b/>
                <w:color w:val="000000"/>
                <w:sz w:val="20"/>
              </w:rPr>
            </w:pPr>
            <w:r>
              <w:rPr>
                <w:rFonts w:ascii="Arial" w:hAnsi="Arial"/>
                <w:b/>
                <w:color w:val="000000"/>
                <w:sz w:val="20"/>
              </w:rPr>
              <w:t>%</w:t>
            </w:r>
          </w:p>
        </w:tc>
      </w:tr>
      <w:tr>
        <w:trPr/>
        <w:tc>
          <w:tcPr>
            <w:tcW w:w="10205" w:type="dxa"/>
            <w:gridSpan w:val="10"/>
            <w:tcBorders/>
            <w:shd w:fill="auto" w:val="clear"/>
            <w:tcMar>
              <w:bottom w:w="0" w:type="dxa"/>
            </w:tcMar>
            <w:vAlign w:val="center"/>
          </w:tcPr>
          <w:p>
            <w:pPr>
              <w:pStyle w:val="TableContents"/>
              <w:spacing w:before="0" w:after="0"/>
              <w:ind w:left="0" w:right="30" w:hanging="0"/>
              <w:rPr>
                <w:rFonts w:ascii="Arial" w:hAnsi="Arial"/>
                <w:color w:val="245BA7"/>
                <w:sz w:val="20"/>
              </w:rPr>
            </w:pPr>
            <w:r>
              <w:rPr>
                <w:rFonts w:ascii="Arial" w:hAnsi="Arial"/>
                <w:color w:val="245BA7"/>
                <w:sz w:val="20"/>
              </w:rPr>
              <w:t>1</w:t>
            </w:r>
          </w:p>
          <w:p>
            <w:pPr>
              <w:pStyle w:val="TableContents"/>
              <w:pBdr/>
              <w:spacing w:before="0" w:after="0"/>
              <w:ind w:left="0" w:right="30" w:hanging="0"/>
              <w:rPr>
                <w:rFonts w:ascii="Arial" w:hAnsi="Arial"/>
                <w:color w:val="000000"/>
                <w:sz w:val="20"/>
              </w:rPr>
            </w:pPr>
            <w:r>
              <w:rPr>
                <w:rFonts w:ascii="Arial" w:hAnsi="Arial"/>
                <w:color w:val="000000"/>
                <w:sz w:val="20"/>
              </w:rPr>
              <w:t>The inclusion in this table of any Class A stock or common stock, as the case may be, deemed beneficially owned does not constitute an admission of beneficial ownership of those shares.</w:t>
            </w:r>
          </w:p>
          <w:p>
            <w:pPr>
              <w:pStyle w:val="TableContents"/>
              <w:spacing w:before="0" w:after="0"/>
              <w:ind w:left="0" w:right="30" w:hanging="0"/>
              <w:rPr>
                <w:rFonts w:ascii="Arial" w:hAnsi="Arial"/>
                <w:color w:val="245BA7"/>
                <w:sz w:val="20"/>
              </w:rPr>
            </w:pPr>
            <w:r>
              <w:rPr>
                <w:rFonts w:ascii="Arial" w:hAnsi="Arial"/>
                <w:color w:val="245BA7"/>
                <w:sz w:val="20"/>
              </w:rPr>
              <w:t>2</w:t>
            </w:r>
          </w:p>
          <w:p>
            <w:pPr>
              <w:pStyle w:val="TableContents"/>
              <w:pBdr/>
              <w:spacing w:before="0" w:after="0"/>
              <w:ind w:left="0" w:right="30" w:hanging="0"/>
              <w:rPr>
                <w:rFonts w:ascii="Arial" w:hAnsi="Arial"/>
                <w:color w:val="000000"/>
                <w:sz w:val="20"/>
              </w:rPr>
            </w:pPr>
            <w:r>
              <w:rPr>
                <w:rFonts w:ascii="Arial" w:hAnsi="Arial"/>
                <w:color w:val="000000"/>
                <w:sz w:val="20"/>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7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39" descr=""/>
                          <pic:cNvPicPr>
                            <a:picLocks noChangeAspect="1" noChangeArrowheads="1"/>
                          </pic:cNvPicPr>
                        </pic:nvPicPr>
                        <pic:blipFill>
                          <a:blip r:embed="rId140"/>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48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3</w:t>
            </w:r>
          </w:p>
          <w:p>
            <w:pPr>
              <w:pStyle w:val="TableContents"/>
              <w:pBdr/>
              <w:spacing w:before="0" w:after="0"/>
              <w:ind w:left="0" w:right="30" w:hanging="0"/>
              <w:rPr>
                <w:rFonts w:ascii="Arial" w:hAnsi="Arial"/>
                <w:color w:val="000000"/>
                <w:sz w:val="20"/>
              </w:rPr>
            </w:pPr>
            <w:r>
              <w:rPr>
                <w:rFonts w:ascii="Arial" w:hAnsi="Arial"/>
                <w:color w:val="000000"/>
                <w:sz w:val="20"/>
              </w:rPr>
              <w:t>Based solely on an amendment to a Schedule 13G jointly filed by FMR LLC and Abigail P. Johnson on February 9, 2023. According to this amendment, FMR LLC has sole voting power as to 10,677,607 of the shares reported as beneficially owned and sole dispositive power as to all of the shares reported as beneficially owned.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as amended, to form a controlling group with respect to FMR LLC.</w:t>
            </w:r>
          </w:p>
          <w:p>
            <w:pPr>
              <w:pStyle w:val="TableContents"/>
              <w:spacing w:before="0" w:after="0"/>
              <w:ind w:left="0" w:right="30" w:hanging="0"/>
              <w:rPr>
                <w:rFonts w:ascii="Arial" w:hAnsi="Arial"/>
                <w:color w:val="245BA7"/>
                <w:sz w:val="20"/>
              </w:rPr>
            </w:pPr>
            <w:r>
              <w:rPr>
                <w:rFonts w:ascii="Arial" w:hAnsi="Arial"/>
                <w:color w:val="245BA7"/>
                <w:sz w:val="20"/>
              </w:rPr>
              <w:t>4</w:t>
            </w:r>
          </w:p>
          <w:p>
            <w:pPr>
              <w:pStyle w:val="TableContents"/>
              <w:pBdr/>
              <w:spacing w:before="0" w:after="0"/>
              <w:ind w:left="0" w:right="30" w:hanging="0"/>
              <w:rPr>
                <w:rFonts w:ascii="Arial" w:hAnsi="Arial"/>
                <w:color w:val="000000"/>
                <w:sz w:val="20"/>
              </w:rPr>
            </w:pPr>
            <w:r>
              <w:rPr>
                <w:rFonts w:ascii="Arial" w:hAnsi="Arial"/>
                <w:color w:val="000000"/>
                <w:sz w:val="20"/>
              </w:rPr>
              <w:t>Based solely on an amendment to a Schedule 13G filed by BlackRock, Inc. on February 3, 2023. According to this amendment, BlackRock, Inc. has sole voting power as to 8,336,590 of the shares reported as beneficially owned and sole dispositive power as to all of the shares reported as beneficially owned.</w:t>
            </w:r>
          </w:p>
          <w:p>
            <w:pPr>
              <w:pStyle w:val="TableContents"/>
              <w:spacing w:before="0" w:after="0"/>
              <w:ind w:left="0" w:right="30" w:hanging="0"/>
              <w:rPr>
                <w:rFonts w:ascii="Arial" w:hAnsi="Arial"/>
                <w:color w:val="245BA7"/>
                <w:sz w:val="20"/>
              </w:rPr>
            </w:pPr>
            <w:r>
              <w:rPr>
                <w:rFonts w:ascii="Arial" w:hAnsi="Arial"/>
                <w:color w:val="245BA7"/>
                <w:sz w:val="20"/>
              </w:rPr>
              <w:t>5</w:t>
            </w:r>
          </w:p>
          <w:p>
            <w:pPr>
              <w:pStyle w:val="TableContents"/>
              <w:pBdr/>
              <w:spacing w:before="0" w:after="0"/>
              <w:ind w:left="0" w:right="30" w:hanging="0"/>
              <w:rPr>
                <w:rFonts w:ascii="Arial" w:hAnsi="Arial"/>
                <w:color w:val="000000"/>
                <w:sz w:val="20"/>
              </w:rPr>
            </w:pPr>
            <w:r>
              <w:rPr>
                <w:rFonts w:ascii="Arial" w:hAnsi="Arial"/>
                <w:color w:val="000000"/>
                <w:sz w:val="20"/>
              </w:rPr>
              <w:t>Based solely on an amendment to a Schedule 13G filed by The Vanguard Group, Inc. on February 9, 2023. According to this amendment, The Vanguard Group, Inc. has shared voting power as to 150,986, sole dispositive power as to 8,284,063, and shared dispositive power as to 438,385 of the shares reported as beneficially owned.</w:t>
            </w:r>
          </w:p>
          <w:p>
            <w:pPr>
              <w:pStyle w:val="TableContents"/>
              <w:spacing w:before="0" w:after="0"/>
              <w:ind w:left="0" w:right="30" w:hanging="0"/>
              <w:rPr>
                <w:rFonts w:ascii="Arial" w:hAnsi="Arial"/>
                <w:color w:val="245BA7"/>
                <w:sz w:val="20"/>
              </w:rPr>
            </w:pPr>
            <w:r>
              <w:rPr>
                <w:rFonts w:ascii="Arial" w:hAnsi="Arial"/>
                <w:color w:val="245BA7"/>
                <w:sz w:val="20"/>
              </w:rPr>
              <w:t>6</w:t>
            </w:r>
          </w:p>
          <w:p>
            <w:pPr>
              <w:pStyle w:val="TableContents"/>
              <w:pBdr/>
              <w:spacing w:before="0" w:after="0"/>
              <w:ind w:left="0" w:right="30" w:hanging="0"/>
              <w:rPr>
                <w:rFonts w:ascii="Arial" w:hAnsi="Arial"/>
                <w:color w:val="000000"/>
                <w:sz w:val="20"/>
              </w:rPr>
            </w:pPr>
            <w:r>
              <w:rPr>
                <w:rFonts w:ascii="Arial" w:hAnsi="Arial"/>
                <w:color w:val="000000"/>
                <w:sz w:val="20"/>
              </w:rPr>
              <w:t>Based solely on an amendment to a Schedule 13G filed by Capital World Investors on February 13, 2023. According to this amendment, Capital World Investors, a division of Capital Research and Management Company, has sole voting power as to 6,297,182 of the shares reported as beneficially owned and dispositive power as to all of the shares reported as beneficially owned.</w:t>
            </w:r>
          </w:p>
          <w:p>
            <w:pPr>
              <w:pStyle w:val="TableContents"/>
              <w:spacing w:before="0" w:after="0"/>
              <w:ind w:left="0" w:right="30" w:hanging="0"/>
              <w:rPr>
                <w:rFonts w:ascii="Arial" w:hAnsi="Arial"/>
                <w:color w:val="245BA7"/>
                <w:sz w:val="20"/>
              </w:rPr>
            </w:pPr>
            <w:r>
              <w:rPr>
                <w:rFonts w:ascii="Arial" w:hAnsi="Arial"/>
                <w:color w:val="245BA7"/>
                <w:sz w:val="20"/>
              </w:rPr>
              <w:t>7</w:t>
            </w:r>
          </w:p>
          <w:p>
            <w:pPr>
              <w:pStyle w:val="TableContents"/>
              <w:pBdr/>
              <w:spacing w:before="0" w:after="0"/>
              <w:ind w:left="0" w:right="30" w:hanging="0"/>
              <w:rPr>
                <w:rFonts w:ascii="Arial" w:hAnsi="Arial"/>
                <w:color w:val="000000"/>
                <w:sz w:val="20"/>
              </w:rPr>
            </w:pPr>
            <w:r>
              <w:rPr>
                <w:rFonts w:ascii="Arial" w:hAnsi="Arial"/>
                <w:color w:val="000000"/>
                <w:sz w:val="20"/>
              </w:rPr>
              <w:t>Based solely on an amendment to a Schedule 13G filed by JPMorgan Chase &amp; Co. on January 11, 2023. According to this filing, JPMorgan Chase &amp; Co. has sole voting power as to 5,535,989, shared voting power as to 28,639, sole dispositive power as to 6,063,413, and shared dispositive power as to 34,499 of the shares reported as beneficially owned.</w:t>
            </w:r>
          </w:p>
          <w:p>
            <w:pPr>
              <w:pStyle w:val="TableContents"/>
              <w:spacing w:before="0" w:after="0"/>
              <w:ind w:left="0" w:right="30" w:hanging="0"/>
              <w:rPr>
                <w:rFonts w:ascii="Arial" w:hAnsi="Arial"/>
                <w:color w:val="245BA7"/>
                <w:sz w:val="20"/>
              </w:rPr>
            </w:pPr>
            <w:r>
              <w:rPr>
                <w:rFonts w:ascii="Arial" w:hAnsi="Arial"/>
                <w:color w:val="245BA7"/>
                <w:sz w:val="20"/>
              </w:rPr>
              <w:t>8</w:t>
            </w:r>
          </w:p>
          <w:p>
            <w:pPr>
              <w:pStyle w:val="TableContents"/>
              <w:pBdr/>
              <w:spacing w:before="0" w:after="0"/>
              <w:ind w:left="0" w:right="30" w:hanging="0"/>
              <w:rPr>
                <w:rFonts w:ascii="Arial" w:hAnsi="Arial"/>
                <w:color w:val="000000"/>
                <w:sz w:val="20"/>
              </w:rPr>
            </w:pPr>
            <w:r>
              <w:rPr>
                <w:rFonts w:ascii="Arial" w:hAnsi="Arial"/>
                <w:color w:val="000000"/>
                <w:sz w:val="20"/>
              </w:rPr>
              <w:t>The address for each director and executive officer is c/o Regeneron Pharmaceuticals, Inc., 777 Old Saw Mill River Road, Tarrytown, New York 10591-6707.</w:t>
            </w:r>
          </w:p>
          <w:p>
            <w:pPr>
              <w:pStyle w:val="TableContents"/>
              <w:spacing w:before="0" w:after="0"/>
              <w:ind w:left="0" w:right="30" w:hanging="0"/>
              <w:rPr>
                <w:rFonts w:ascii="Arial" w:hAnsi="Arial"/>
                <w:color w:val="245BA7"/>
                <w:sz w:val="20"/>
              </w:rPr>
            </w:pPr>
            <w:r>
              <w:rPr>
                <w:rFonts w:ascii="Arial" w:hAnsi="Arial"/>
                <w:color w:val="245BA7"/>
                <w:sz w:val="20"/>
              </w:rPr>
              <w:t>9</w:t>
            </w:r>
          </w:p>
          <w:p>
            <w:pPr>
              <w:pStyle w:val="TableContents"/>
              <w:pBdr/>
              <w:spacing w:before="0" w:after="0"/>
              <w:ind w:left="0" w:right="30" w:hanging="0"/>
              <w:rPr>
                <w:rFonts w:ascii="Arial" w:hAnsi="Arial"/>
                <w:color w:val="000000"/>
                <w:sz w:val="20"/>
              </w:rPr>
            </w:pPr>
            <w:r>
              <w:rPr>
                <w:rFonts w:ascii="Arial" w:hAnsi="Arial"/>
                <w:color w:val="000000"/>
                <w:sz w:val="20"/>
              </w:rPr>
              <w:t>Includes 15,775 shares of Class A stock held in trust for the benefit of Dr. Schleifer’s son, of which Dr. Schleifer is a trustee.</w:t>
            </w:r>
          </w:p>
          <w:p>
            <w:pPr>
              <w:pStyle w:val="TableContents"/>
              <w:spacing w:before="0" w:after="0"/>
              <w:ind w:left="0" w:right="30" w:hanging="0"/>
              <w:rPr>
                <w:rFonts w:ascii="Arial" w:hAnsi="Arial"/>
                <w:color w:val="245BA7"/>
                <w:sz w:val="20"/>
              </w:rPr>
            </w:pPr>
            <w:r>
              <w:rPr>
                <w:rFonts w:ascii="Arial" w:hAnsi="Arial"/>
                <w:color w:val="245BA7"/>
                <w:sz w:val="20"/>
              </w:rPr>
              <w:t>10</w:t>
            </w:r>
          </w:p>
          <w:p>
            <w:pPr>
              <w:pStyle w:val="TableContents"/>
              <w:pBdr/>
              <w:spacing w:before="0" w:after="0"/>
              <w:ind w:left="0" w:right="30" w:hanging="0"/>
              <w:rPr>
                <w:rFonts w:ascii="Arial" w:hAnsi="Arial"/>
                <w:color w:val="000000"/>
                <w:sz w:val="20"/>
              </w:rPr>
            </w:pPr>
            <w:r>
              <w:rPr>
                <w:rFonts w:ascii="Arial" w:hAnsi="Arial"/>
                <w:color w:val="000000"/>
                <w:sz w:val="20"/>
              </w:rPr>
              <w:t>Includes (i) 852,188 shares of common stock purchasable upon the exercise of options granted pursuant to the Regeneron Pharmaceuticals, Inc. Second Amended and Restated 2000 Long-Term Incentive Plan, the Regeneron Pharmaceuticals, Inc. 2014 Long-Term Incentive Plan, the Amended and Restated Regeneron Pharmaceuticals, Inc. 2014 Long-Term Incentive Plan, or the Second Amended and Restated Regeneron Pharmaceuticals, Inc. 2014 Long-Term Incentive Plan (collectively, the “Long-Term Incentive Plans”) that are exercisable or become so within sixty days after April 11, 2023; (ii) 129,969 shares of common stock held in a grantor retained annuity trust of which Dr. Schleifer is the trustee; (iii) 11,178 shares of common stock held in a trust for the benefit of Dr. Schleifer’s family members, of which Dr. Schleifer’s spouse is a trustee; (iv) 100 shares of common stock held in a charitable foundation of which Dr. Schleifer is a director and officer; and (v) 5,896 shares of common stock held in an account under the Company’s 401(k) Savings Plan.</w:t>
            </w:r>
          </w:p>
          <w:p>
            <w:pPr>
              <w:pStyle w:val="TableContents"/>
              <w:spacing w:before="0" w:after="0"/>
              <w:ind w:left="0" w:right="30" w:hanging="0"/>
              <w:rPr>
                <w:rFonts w:ascii="Arial" w:hAnsi="Arial"/>
                <w:color w:val="245BA7"/>
                <w:sz w:val="20"/>
              </w:rPr>
            </w:pPr>
            <w:r>
              <w:rPr>
                <w:rFonts w:ascii="Arial" w:hAnsi="Arial"/>
                <w:color w:val="245BA7"/>
                <w:sz w:val="20"/>
              </w:rPr>
              <w:t>11</w:t>
            </w:r>
          </w:p>
          <w:p>
            <w:pPr>
              <w:pStyle w:val="TableContents"/>
              <w:pBdr/>
              <w:spacing w:before="0" w:after="0"/>
              <w:ind w:left="0" w:right="30" w:hanging="0"/>
              <w:rPr>
                <w:rFonts w:ascii="Arial" w:hAnsi="Arial"/>
                <w:color w:val="000000"/>
                <w:sz w:val="20"/>
              </w:rPr>
            </w:pPr>
            <w:r>
              <w:rPr>
                <w:rFonts w:ascii="Arial" w:hAnsi="Arial"/>
                <w:color w:val="000000"/>
                <w:sz w:val="20"/>
              </w:rPr>
              <w:t>Includes (i) 515,491 shares of common stock purchasable upon exercise of options granted pursuant to the Long-Term Incentive Plans that are exercisable or become so within sixty days after April 11, 2023; (ii) 1,963 shares of common stock held in an account under the Company’s 401(k) Savings Plan; (iii) 125,493 shares of common stock held in a charitable lead annuity trust, of which Dr. Vagelos is the trustee; (iv) 23,461 shares of common stock held in a trust for his grandchildren, of which Dr. Vagelos’s wife is the trustee; (v) 3,609 shares of common stock held in trusts for his grandchildren, of which Dr. Vagelos and/or his wife are trustees; (vi) 39,860 shares of common stock and 42,242 shares of common stock held by the Marianthi Foundation and the Pindaros Foundation, respectively, both of which are charitable foundations of which Dr. Vagelos is a director and an officer; and (vii) 1,163 shares of common stock issuable upon settlement of RSUs that are releasable within sixty days after April 11, 2023 upon termination of service. Dr. Vagelos disclaims beneficial ownership of the shares held by the charitable foundations referenced in (vi).</w:t>
            </w:r>
          </w:p>
          <w:p>
            <w:pPr>
              <w:pStyle w:val="TableContents"/>
              <w:spacing w:before="0" w:after="0"/>
              <w:ind w:left="0" w:right="30" w:hanging="0"/>
              <w:rPr>
                <w:rFonts w:ascii="Arial" w:hAnsi="Arial"/>
                <w:color w:val="245BA7"/>
                <w:sz w:val="20"/>
              </w:rPr>
            </w:pPr>
            <w:r>
              <w:rPr>
                <w:rFonts w:ascii="Arial" w:hAnsi="Arial"/>
                <w:color w:val="245BA7"/>
                <w:sz w:val="20"/>
              </w:rPr>
              <w:t>12</w:t>
            </w:r>
          </w:p>
          <w:p>
            <w:pPr>
              <w:pStyle w:val="TableContents"/>
              <w:pBdr/>
              <w:spacing w:before="0" w:after="0"/>
              <w:ind w:left="0" w:right="30" w:hanging="0"/>
              <w:rPr>
                <w:rFonts w:ascii="Arial" w:hAnsi="Arial"/>
                <w:color w:val="000000"/>
                <w:sz w:val="20"/>
              </w:rPr>
            </w:pPr>
            <w:r>
              <w:rPr>
                <w:rFonts w:ascii="Arial" w:hAnsi="Arial"/>
                <w:color w:val="000000"/>
                <w:sz w:val="20"/>
              </w:rPr>
              <w:t>Of these shares, 23,367 shares are held in trust for the benefit of Dr. Yancopoulos’s children and certain other family members; Dr. Yancopoulos is a trustee of the trust. The remaining 19,383 shares are held in trusts for the benefit of Dr. Yancopoulos’s children, of which Dr. Yancopoulos is the trustee.</w:t>
            </w:r>
          </w:p>
          <w:p>
            <w:pPr>
              <w:pStyle w:val="TableContents"/>
              <w:spacing w:before="0" w:after="0"/>
              <w:ind w:left="0" w:right="30" w:hanging="0"/>
              <w:rPr>
                <w:rFonts w:ascii="Arial" w:hAnsi="Arial"/>
                <w:color w:val="245BA7"/>
                <w:sz w:val="20"/>
              </w:rPr>
            </w:pPr>
            <w:r>
              <w:rPr>
                <w:rFonts w:ascii="Arial" w:hAnsi="Arial"/>
                <w:color w:val="245BA7"/>
                <w:sz w:val="20"/>
              </w:rPr>
              <w:t>13</w:t>
            </w:r>
          </w:p>
          <w:p>
            <w:pPr>
              <w:pStyle w:val="TableContents"/>
              <w:pBdr/>
              <w:spacing w:before="0" w:after="0"/>
              <w:ind w:left="0" w:right="30" w:hanging="0"/>
              <w:rPr>
                <w:rFonts w:ascii="Arial" w:hAnsi="Arial"/>
                <w:color w:val="000000"/>
                <w:sz w:val="20"/>
              </w:rPr>
            </w:pPr>
            <w:r>
              <w:rPr>
                <w:rFonts w:ascii="Arial" w:hAnsi="Arial"/>
                <w:color w:val="000000"/>
                <w:sz w:val="20"/>
              </w:rPr>
              <w:t>Includes (i) 795,799 shares of common stock purchasable upon exercise of options granted pursuant to the Long-Term Incentive Plans that are exercisable or become so within sixty days after April 11, 2023; (ii) 5,869 shares of common stock held in an account under the Company’s 401(k) Savings Plan; (iv) 569,653 shares of common stock held in trust for the benefit of Dr. Yancopoulos’s children and certain other family members, of which Dr. Yancopoulos is a trustee; (v) 196,848 shares of common stock held in trusts for the benefit of Dr. Yancopoulos’s children; and (vi) 450,000 shares of common stock held in grantor retained annuity trusts of which Dr. Yancopoulos is the trustee.</w:t>
            </w:r>
          </w:p>
          <w:p>
            <w:pPr>
              <w:pStyle w:val="TableContents"/>
              <w:spacing w:before="0" w:after="0"/>
              <w:ind w:left="0" w:right="30" w:hanging="0"/>
              <w:rPr>
                <w:rFonts w:ascii="Arial" w:hAnsi="Arial"/>
                <w:color w:val="245BA7"/>
                <w:sz w:val="20"/>
              </w:rPr>
            </w:pPr>
            <w:r>
              <w:rPr>
                <w:rFonts w:ascii="Arial" w:hAnsi="Arial"/>
                <w:color w:val="245BA7"/>
                <w:sz w:val="20"/>
              </w:rPr>
              <w:t>14</w:t>
            </w:r>
          </w:p>
          <w:p>
            <w:pPr>
              <w:pStyle w:val="TableContents"/>
              <w:pBdr/>
              <w:spacing w:before="0" w:after="0"/>
              <w:ind w:left="0" w:right="30" w:hanging="0"/>
              <w:rPr>
                <w:rFonts w:ascii="Arial" w:hAnsi="Arial"/>
                <w:color w:val="000000"/>
                <w:sz w:val="20"/>
              </w:rPr>
            </w:pPr>
            <w:r>
              <w:rPr>
                <w:rFonts w:ascii="Arial" w:hAnsi="Arial"/>
                <w:color w:val="000000"/>
                <w:sz w:val="20"/>
              </w:rPr>
              <w:t>Consists of (i) 20,945 shares of common stock purchasable upon exercise of options granted pursuant to the Long-Term Incentive Plans that are exercisable or become so within sixty days after April 11, 2023; and (ii) 1,153 shares of common stock issuable upon settlement of RSUs that are releasable within sixty days after April 11, 2023 upon termination of service.</w:t>
            </w:r>
          </w:p>
          <w:p>
            <w:pPr>
              <w:pStyle w:val="TableContents"/>
              <w:spacing w:before="0" w:after="0"/>
              <w:ind w:left="0" w:right="30" w:hanging="0"/>
              <w:rPr>
                <w:rFonts w:ascii="Arial" w:hAnsi="Arial"/>
                <w:color w:val="245BA7"/>
                <w:sz w:val="20"/>
              </w:rPr>
            </w:pPr>
            <w:r>
              <w:rPr>
                <w:rFonts w:ascii="Arial" w:hAnsi="Arial"/>
                <w:color w:val="245BA7"/>
                <w:sz w:val="20"/>
              </w:rPr>
              <w:t>15</w:t>
            </w:r>
          </w:p>
          <w:p>
            <w:pPr>
              <w:pStyle w:val="TableContents"/>
              <w:pBdr/>
              <w:spacing w:before="0" w:after="0"/>
              <w:ind w:left="0" w:right="30" w:hanging="0"/>
              <w:rPr>
                <w:rFonts w:ascii="Arial" w:hAnsi="Arial"/>
                <w:color w:val="000000"/>
                <w:sz w:val="20"/>
              </w:rPr>
            </w:pPr>
            <w:r>
              <w:rPr>
                <w:rFonts w:ascii="Arial" w:hAnsi="Arial"/>
                <w:color w:val="000000"/>
                <w:sz w:val="20"/>
              </w:rPr>
              <w:t>Consists of (i) 8,656 shares of common stock purchasable upon exercise of options granted pursuant to the Long-Term Incentive Plans that are exercisable or become so within sixty days after April 11, 2023, which are held in a trust of which Dr. Brown and his spouse are trustees for the benefit of Dr. Brown’s immediate family members; (ii) 6,162 shares of common stock held in a trust of which Dr. Brown and his spouse are trustees for the benefit of Dr. Brown’s immediate family members; (iii) 5,000 shares of common stock held in a trust of which Dr. Brown’s spouse is trustee for the benefit of Dr. Brown’s immediate family members; (iv) 500 shares of common stock held by a family charitable foundation, of which Dr. Brown is a director and an officer and his wife is a director; and (v) 1,153 shares of common stock issuable upon settlement of RSUs that are releasable within sixty days after April 11, 2023 upon termination of service. Dr. Brown disclaims beneficial ownership of the shares referenced in (iii) and (iv).</w:t>
            </w:r>
          </w:p>
          <w:p>
            <w:pPr>
              <w:pStyle w:val="TableContents"/>
              <w:spacing w:before="0" w:after="0"/>
              <w:ind w:left="0" w:right="30" w:hanging="0"/>
              <w:rPr>
                <w:rFonts w:ascii="Arial" w:hAnsi="Arial"/>
                <w:color w:val="245BA7"/>
                <w:sz w:val="20"/>
              </w:rPr>
            </w:pPr>
            <w:r>
              <w:rPr>
                <w:rFonts w:ascii="Arial" w:hAnsi="Arial"/>
                <w:color w:val="245BA7"/>
                <w:sz w:val="20"/>
              </w:rPr>
              <w:t>16</w:t>
            </w:r>
          </w:p>
          <w:p>
            <w:pPr>
              <w:pStyle w:val="TableContents"/>
              <w:pBdr/>
              <w:spacing w:before="0" w:after="0"/>
              <w:ind w:left="0" w:right="30" w:hanging="0"/>
              <w:rPr>
                <w:rFonts w:ascii="Arial" w:hAnsi="Arial"/>
                <w:color w:val="000000"/>
                <w:sz w:val="20"/>
              </w:rPr>
            </w:pPr>
            <w:r>
              <w:rPr>
                <w:rFonts w:ascii="Arial" w:hAnsi="Arial"/>
                <w:color w:val="000000"/>
                <w:sz w:val="20"/>
              </w:rPr>
              <w:t>Includes (i) 3,537 shares of common stock purchasable upon exercise of options granted pursuant to the Long-Term Incentive Plans that are exercisable or become so within sixty days after April 11, 2023; and (ii) 1,153 shares of common stock issuable upon settlement of RSUs that are releasable within sixty days after April 11, 2023 upon termination of service.</w:t>
            </w:r>
          </w:p>
          <w:p>
            <w:pPr>
              <w:pStyle w:val="TableContents"/>
              <w:spacing w:before="0" w:after="0"/>
              <w:ind w:left="0" w:right="30" w:hanging="0"/>
              <w:rPr>
                <w:rFonts w:ascii="Arial" w:hAnsi="Arial"/>
                <w:color w:val="245BA7"/>
                <w:sz w:val="20"/>
              </w:rPr>
            </w:pPr>
            <w:r>
              <w:rPr>
                <w:rFonts w:ascii="Arial" w:hAnsi="Arial"/>
                <w:color w:val="245BA7"/>
                <w:sz w:val="20"/>
              </w:rPr>
              <w:t>17</w:t>
            </w:r>
          </w:p>
          <w:p>
            <w:pPr>
              <w:pStyle w:val="TableContents"/>
              <w:pBdr/>
              <w:spacing w:before="0" w:after="0"/>
              <w:ind w:left="0" w:right="30" w:hanging="0"/>
              <w:rPr>
                <w:rFonts w:ascii="Arial" w:hAnsi="Arial"/>
                <w:color w:val="000000"/>
                <w:sz w:val="20"/>
              </w:rPr>
            </w:pPr>
            <w:r>
              <w:rPr>
                <w:rFonts w:ascii="Arial" w:hAnsi="Arial"/>
                <w:color w:val="000000"/>
                <w:sz w:val="20"/>
              </w:rPr>
              <w:t>Includes (i) 3,537 shares of common stock purchasable upon exercise of options granted pursuant to the Long-Term Incentive Plans that are exercisable or become so within sixty days after April 11, 2023; and (ii) 1,153 shares of common stock issuable upon settlement of RSUs that are releasable within sixty days after April 11, 2023 upon termination of service.</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8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40" descr=""/>
                          <pic:cNvPicPr>
                            <a:picLocks noChangeAspect="1" noChangeArrowheads="1"/>
                          </pic:cNvPicPr>
                        </pic:nvPicPr>
                        <pic:blipFill>
                          <a:blip r:embed="rId141"/>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49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18</w:t>
            </w:r>
          </w:p>
          <w:p>
            <w:pPr>
              <w:pStyle w:val="TableContents"/>
              <w:pBdr/>
              <w:spacing w:before="0" w:after="0"/>
              <w:ind w:left="0" w:right="30" w:hanging="0"/>
              <w:rPr>
                <w:rFonts w:ascii="Arial" w:hAnsi="Arial"/>
                <w:color w:val="000000"/>
                <w:sz w:val="20"/>
              </w:rPr>
            </w:pPr>
            <w:r>
              <w:rPr>
                <w:rFonts w:ascii="Arial" w:hAnsi="Arial"/>
                <w:color w:val="000000"/>
                <w:sz w:val="20"/>
              </w:rPr>
              <w:t>Includes (i) 72,928 shares of common stock purchasable upon exercise of options granted pursuant to the Long-Term Incentive Plans that are exercisable or become so within sixty days after April 11, 2023; (ii) 27,601 shares of restricted stock (“RSAs”); and (iii) 250 shares of common stock held in an account under the Company’s 401(k) Savings Plan.</w:t>
            </w:r>
          </w:p>
          <w:p>
            <w:pPr>
              <w:pStyle w:val="TableContents"/>
              <w:spacing w:before="0" w:after="0"/>
              <w:ind w:left="0" w:right="30" w:hanging="0"/>
              <w:rPr>
                <w:rFonts w:ascii="Arial" w:hAnsi="Arial"/>
                <w:color w:val="245BA7"/>
                <w:sz w:val="20"/>
              </w:rPr>
            </w:pPr>
            <w:r>
              <w:rPr>
                <w:rFonts w:ascii="Arial" w:hAnsi="Arial"/>
                <w:color w:val="245BA7"/>
                <w:sz w:val="20"/>
              </w:rPr>
              <w:t>19</w:t>
            </w:r>
          </w:p>
          <w:p>
            <w:pPr>
              <w:pStyle w:val="TableContents"/>
              <w:pBdr/>
              <w:spacing w:before="0" w:after="0"/>
              <w:ind w:left="0" w:right="30" w:hanging="0"/>
              <w:rPr>
                <w:rFonts w:ascii="Arial" w:hAnsi="Arial"/>
                <w:color w:val="000000"/>
                <w:sz w:val="20"/>
              </w:rPr>
            </w:pPr>
            <w:r>
              <w:rPr>
                <w:rFonts w:ascii="Arial" w:hAnsi="Arial"/>
                <w:color w:val="000000"/>
                <w:sz w:val="20"/>
              </w:rPr>
              <w:t>Includes (i) 27,102 shares of common stock purchasable upon exercise of options granted pursuant to the Long-Term Incentive Plans that are exercisable or become so within sixty days after April 11, 2023; (ii) 19,579 RSAs; and (iii) 138 shares of common stock held in an account under the Company’s 401(k) Savings Plan.</w:t>
            </w:r>
          </w:p>
          <w:p>
            <w:pPr>
              <w:pStyle w:val="TableContents"/>
              <w:spacing w:before="0" w:after="0"/>
              <w:ind w:left="0" w:right="30" w:hanging="0"/>
              <w:rPr>
                <w:rFonts w:ascii="Arial" w:hAnsi="Arial"/>
                <w:color w:val="245BA7"/>
                <w:sz w:val="20"/>
              </w:rPr>
            </w:pPr>
            <w:r>
              <w:rPr>
                <w:rFonts w:ascii="Arial" w:hAnsi="Arial"/>
                <w:color w:val="245BA7"/>
                <w:sz w:val="20"/>
              </w:rPr>
              <w:t>20</w:t>
            </w:r>
          </w:p>
          <w:p>
            <w:pPr>
              <w:pStyle w:val="TableContents"/>
              <w:pBdr/>
              <w:spacing w:before="0" w:after="0"/>
              <w:ind w:left="0" w:right="30" w:hanging="0"/>
              <w:rPr>
                <w:rFonts w:ascii="Arial" w:hAnsi="Arial"/>
                <w:color w:val="000000"/>
                <w:sz w:val="20"/>
              </w:rPr>
            </w:pPr>
            <w:r>
              <w:rPr>
                <w:rFonts w:ascii="Arial" w:hAnsi="Arial"/>
                <w:color w:val="000000"/>
                <w:sz w:val="20"/>
              </w:rPr>
              <w:t>Includes (i) 258,571 shares of common stock purchasable upon exercise of options granted pursuant to the Long-Term Incentive Plans that are exercisable or become so within sixty days after April 11, 2023; (ii) 43,152 RSAs; and (iii) 4,290 shares of common stock held in an account under the Company’s 401(k) Savings Plan.</w:t>
            </w:r>
          </w:p>
          <w:p>
            <w:pPr>
              <w:pStyle w:val="TableContents"/>
              <w:spacing w:before="0" w:after="0"/>
              <w:ind w:left="0" w:right="30" w:hanging="0"/>
              <w:rPr>
                <w:rFonts w:ascii="Arial" w:hAnsi="Arial"/>
                <w:color w:val="245BA7"/>
                <w:sz w:val="20"/>
              </w:rPr>
            </w:pPr>
            <w:r>
              <w:rPr>
                <w:rFonts w:ascii="Arial" w:hAnsi="Arial"/>
                <w:color w:val="245BA7"/>
                <w:sz w:val="20"/>
              </w:rPr>
              <w:t>21</w:t>
            </w:r>
          </w:p>
          <w:p>
            <w:pPr>
              <w:pStyle w:val="TableContents"/>
              <w:pBdr/>
              <w:spacing w:before="0" w:after="0"/>
              <w:ind w:left="0" w:right="30" w:hanging="0"/>
              <w:rPr>
                <w:rFonts w:ascii="Arial" w:hAnsi="Arial"/>
                <w:color w:val="000000"/>
                <w:sz w:val="20"/>
              </w:rPr>
            </w:pPr>
            <w:r>
              <w:rPr>
                <w:rFonts w:ascii="Arial" w:hAnsi="Arial"/>
                <w:color w:val="000000"/>
                <w:sz w:val="20"/>
              </w:rPr>
              <w:t>Includes (i) 62,894 shares of common stock purchasable upon exercise of options granted pursuant to the Long-Term Incentive Plans that are exercisable or become so within sixty days after April 11, 2023; and (ii) 1,153 shares of common stock issuable upon settlement of RSUs that are releasable within sixty days after April 11, 2023 upon termination of service.</w:t>
            </w:r>
          </w:p>
          <w:p>
            <w:pPr>
              <w:pStyle w:val="TableContents"/>
              <w:spacing w:before="0" w:after="0"/>
              <w:ind w:left="0" w:right="30" w:hanging="0"/>
              <w:rPr>
                <w:rFonts w:ascii="Arial" w:hAnsi="Arial"/>
                <w:color w:val="245BA7"/>
                <w:sz w:val="20"/>
              </w:rPr>
            </w:pPr>
            <w:r>
              <w:rPr>
                <w:rFonts w:ascii="Arial" w:hAnsi="Arial"/>
                <w:color w:val="245BA7"/>
                <w:sz w:val="20"/>
              </w:rPr>
              <w:t>22</w:t>
            </w:r>
          </w:p>
          <w:p>
            <w:pPr>
              <w:pStyle w:val="TableContents"/>
              <w:pBdr/>
              <w:spacing w:before="0" w:after="0"/>
              <w:ind w:left="0" w:right="30" w:hanging="0"/>
              <w:rPr>
                <w:rFonts w:ascii="Arial" w:hAnsi="Arial"/>
                <w:color w:val="000000"/>
                <w:sz w:val="20"/>
              </w:rPr>
            </w:pPr>
            <w:r>
              <w:rPr>
                <w:rFonts w:ascii="Arial" w:hAnsi="Arial"/>
                <w:color w:val="000000"/>
                <w:sz w:val="20"/>
              </w:rPr>
              <w:t>Includes (i) 3,537 shares of common stock purchasable upon exercise of options granted pursuant to the Long-Term Incentive Plans that are exercisable or become so within sixty days after April 11, 2023; and (ii) 1,153 shares of common stock issuable upon settlement of RSUs that are releasable within sixty days after April 11, 2023 upon termination of service.</w:t>
            </w:r>
          </w:p>
          <w:p>
            <w:pPr>
              <w:pStyle w:val="TableContents"/>
              <w:spacing w:before="0" w:after="0"/>
              <w:ind w:left="0" w:right="30" w:hanging="0"/>
              <w:rPr>
                <w:rFonts w:ascii="Arial" w:hAnsi="Arial"/>
                <w:color w:val="245BA7"/>
                <w:sz w:val="20"/>
              </w:rPr>
            </w:pPr>
            <w:r>
              <w:rPr>
                <w:rFonts w:ascii="Arial" w:hAnsi="Arial"/>
                <w:color w:val="245BA7"/>
                <w:sz w:val="20"/>
              </w:rPr>
              <w:t>23</w:t>
            </w:r>
          </w:p>
          <w:p>
            <w:pPr>
              <w:pStyle w:val="TableContents"/>
              <w:pBdr/>
              <w:spacing w:before="0" w:after="0"/>
              <w:ind w:left="0" w:right="30" w:hanging="0"/>
              <w:rPr>
                <w:rFonts w:ascii="Arial" w:hAnsi="Arial"/>
                <w:color w:val="000000"/>
                <w:sz w:val="20"/>
              </w:rPr>
            </w:pPr>
            <w:r>
              <w:rPr>
                <w:rFonts w:ascii="Arial" w:hAnsi="Arial"/>
                <w:color w:val="000000"/>
                <w:sz w:val="20"/>
              </w:rPr>
              <w:t>Includes (i) 50,614 shares of common stock purchasable upon exercise of options granted pursuant to the Long-Term Incentive Plans that are exercisable or become so within sixty days after April 11, 2023; (ii) 750 shares of common stock held by Mr. Sing’s spouse; (iii) 400 shares of common stock held by Mr. Sing’s spouse as custodian for the benefit of their son; (iv) 1,000 shares of common stock held in a trust for benefit of Mr. Sing’s son; and (v) 1,153 shares of common stock issuable upon settlement of RSUs that are releasable within sixty days after April 11, 2023 upon termination of service.</w:t>
            </w:r>
          </w:p>
          <w:p>
            <w:pPr>
              <w:pStyle w:val="TableContents"/>
              <w:spacing w:before="0" w:after="0"/>
              <w:ind w:left="0" w:right="30" w:hanging="0"/>
              <w:rPr>
                <w:rFonts w:ascii="Arial" w:hAnsi="Arial"/>
                <w:color w:val="245BA7"/>
                <w:sz w:val="20"/>
              </w:rPr>
            </w:pPr>
            <w:r>
              <w:rPr>
                <w:rFonts w:ascii="Arial" w:hAnsi="Arial"/>
                <w:color w:val="245BA7"/>
                <w:sz w:val="20"/>
              </w:rPr>
              <w:t>24</w:t>
            </w:r>
          </w:p>
          <w:p>
            <w:pPr>
              <w:pStyle w:val="TableContents"/>
              <w:pBdr/>
              <w:spacing w:before="0" w:after="0"/>
              <w:ind w:left="0" w:right="30" w:hanging="0"/>
              <w:rPr>
                <w:rFonts w:ascii="Arial" w:hAnsi="Arial"/>
                <w:color w:val="000000"/>
                <w:sz w:val="20"/>
              </w:rPr>
            </w:pPr>
            <w:r>
              <w:rPr>
                <w:rFonts w:ascii="Arial" w:hAnsi="Arial"/>
                <w:color w:val="000000"/>
                <w:sz w:val="20"/>
              </w:rPr>
              <w:t>Includes (i) 16,362 shares of common stock purchasable upon exercise of options granted pursuant to the Long-Term Incentive Plans that are exercisable or become so within sixty days after April 11, 2023; and (ii) 1,153 shares of common stock issuable upon settlement of RSUs that are releasable within sixty days after April 11, 2023 upon termination of service.</w:t>
            </w:r>
          </w:p>
          <w:p>
            <w:pPr>
              <w:pStyle w:val="TableContents"/>
              <w:spacing w:before="0" w:after="0"/>
              <w:ind w:left="0" w:right="30" w:hanging="0"/>
              <w:rPr>
                <w:rFonts w:ascii="Arial" w:hAnsi="Arial"/>
                <w:color w:val="245BA7"/>
                <w:sz w:val="20"/>
              </w:rPr>
            </w:pPr>
            <w:r>
              <w:rPr>
                <w:rFonts w:ascii="Arial" w:hAnsi="Arial"/>
                <w:color w:val="245BA7"/>
                <w:sz w:val="20"/>
              </w:rPr>
              <w:t>25</w:t>
            </w:r>
          </w:p>
          <w:p>
            <w:pPr>
              <w:pStyle w:val="TableContents"/>
              <w:pBdr/>
              <w:spacing w:before="0" w:after="0"/>
              <w:ind w:left="0" w:right="30" w:hanging="0"/>
              <w:rPr>
                <w:rFonts w:ascii="Arial" w:hAnsi="Arial"/>
                <w:color w:val="000000"/>
                <w:sz w:val="20"/>
              </w:rPr>
            </w:pPr>
            <w:r>
              <w:rPr>
                <w:rFonts w:ascii="Arial" w:hAnsi="Arial"/>
                <w:color w:val="000000"/>
                <w:sz w:val="20"/>
              </w:rPr>
              <w:t>Consists of (i) 2,399 shares of common stock purchasable upon exercise of options granted pursuant to the Long-Term Incentive Plans that are exercisable or become so within sixty days after April 11, 2023; and (ii) 207 shares of common stock issuable upon settlement of RSUs that are releasable within sixty days after April 11, 2023 upon termination of service.</w:t>
            </w:r>
          </w:p>
          <w:p>
            <w:pPr>
              <w:pStyle w:val="TableContents"/>
              <w:spacing w:before="0" w:after="0"/>
              <w:ind w:left="0" w:right="30" w:hanging="0"/>
              <w:rPr>
                <w:rFonts w:ascii="Arial" w:hAnsi="Arial"/>
                <w:color w:val="245BA7"/>
                <w:sz w:val="20"/>
              </w:rPr>
            </w:pPr>
            <w:r>
              <w:rPr>
                <w:rFonts w:ascii="Arial" w:hAnsi="Arial"/>
                <w:color w:val="245BA7"/>
                <w:sz w:val="20"/>
              </w:rPr>
              <w:t>26</w:t>
            </w:r>
          </w:p>
          <w:p>
            <w:pPr>
              <w:pStyle w:val="TableContents"/>
              <w:pBdr/>
              <w:spacing w:before="0" w:after="0"/>
              <w:ind w:left="0" w:right="30" w:hanging="0"/>
              <w:rPr>
                <w:rFonts w:ascii="Arial" w:hAnsi="Arial"/>
                <w:color w:val="000000"/>
                <w:sz w:val="20"/>
              </w:rPr>
            </w:pPr>
            <w:r>
              <w:rPr>
                <w:rFonts w:ascii="Arial" w:hAnsi="Arial"/>
                <w:color w:val="000000"/>
                <w:sz w:val="20"/>
              </w:rPr>
              <w:t>Includes (i) 79,238 shares of common stock purchasable upon exercise of options granted pursuant to the Long-Term Incentive Plans that are exercisable or become so within sixty days after April 11, 2023; (ii) 20,419 RSAs; and (iii) 1,065 shares of common stock held in an account under the Company’s 401(k) Savings Plan.</w:t>
            </w:r>
          </w:p>
          <w:p>
            <w:pPr>
              <w:pStyle w:val="TableContents"/>
              <w:spacing w:before="0" w:after="0"/>
              <w:ind w:left="0" w:right="30" w:hanging="0"/>
              <w:rPr>
                <w:rFonts w:ascii="Arial" w:hAnsi="Arial"/>
                <w:color w:val="245BA7"/>
                <w:sz w:val="20"/>
              </w:rPr>
            </w:pPr>
            <w:r>
              <w:rPr>
                <w:rFonts w:ascii="Arial" w:hAnsi="Arial"/>
                <w:color w:val="245BA7"/>
                <w:sz w:val="20"/>
              </w:rPr>
              <w:t>27</w:t>
            </w:r>
          </w:p>
          <w:p>
            <w:pPr>
              <w:pStyle w:val="TableContents"/>
              <w:pBdr/>
              <w:spacing w:before="0" w:after="0"/>
              <w:ind w:left="0" w:right="30" w:hanging="0"/>
              <w:rPr>
                <w:rFonts w:ascii="Arial" w:hAnsi="Arial"/>
                <w:color w:val="000000"/>
                <w:sz w:val="20"/>
              </w:rPr>
            </w:pPr>
            <w:r>
              <w:rPr>
                <w:rFonts w:ascii="Arial" w:hAnsi="Arial"/>
                <w:color w:val="000000"/>
                <w:sz w:val="20"/>
              </w:rPr>
              <w:t>Consists of (i) 27,289 shares of common stock purchasable upon exercise of options granted pursuant to the Long-Term Incentive Plans that are exercisable or become so within sixty days after April 11, 2023; and (ii) 1,153 shares of common stock issuable upon settlement of RSUs that are releasable within sixty days after April 11, 2023 upon termination of service.</w:t>
            </w:r>
          </w:p>
          <w:p>
            <w:pPr>
              <w:pStyle w:val="TableContents"/>
              <w:spacing w:before="0" w:after="0"/>
              <w:ind w:left="0" w:right="30" w:hanging="0"/>
              <w:rPr>
                <w:rFonts w:ascii="Arial" w:hAnsi="Arial"/>
                <w:color w:val="245BA7"/>
                <w:sz w:val="20"/>
              </w:rPr>
            </w:pPr>
            <w:r>
              <w:rPr>
                <w:rFonts w:ascii="Arial" w:hAnsi="Arial"/>
                <w:color w:val="245BA7"/>
                <w:sz w:val="20"/>
              </w:rPr>
              <w:t>28</w:t>
            </w:r>
          </w:p>
          <w:p>
            <w:pPr>
              <w:pStyle w:val="TableContents"/>
              <w:pBdr/>
              <w:spacing w:before="0" w:after="0"/>
              <w:ind w:left="0" w:right="30" w:hanging="0"/>
              <w:rPr>
                <w:rFonts w:ascii="Arial" w:hAnsi="Arial"/>
                <w:color w:val="000000"/>
                <w:sz w:val="20"/>
              </w:rPr>
            </w:pPr>
            <w:r>
              <w:rPr>
                <w:rFonts w:ascii="Arial" w:hAnsi="Arial"/>
                <w:color w:val="000000"/>
                <w:sz w:val="20"/>
              </w:rPr>
              <w:t>Includes (i) 3,346,342 shares of common stock purchasable upon exercise of options granted pursuant to the Long-Term Incentive Plans that are exercisable or become so within sixty days after April 11, 2023; (ii) 139,330 RSAs; (iii) 11,747 shares of common stock issuable upon settlement of RSUs that are releasable within sixty days after April 11, 2023; and (iv) 27,100 shares of common stock held in an account under the Company’s 401(k) Savings Plan.</w:t>
            </w:r>
          </w:p>
          <w:p>
            <w:pPr>
              <w:pStyle w:val="TableContents"/>
              <w:spacing w:before="0" w:after="0"/>
              <w:ind w:left="0" w:right="30" w:hanging="0"/>
              <w:rPr>
                <w:rFonts w:ascii="Arial" w:hAnsi="Arial"/>
                <w:color w:val="245BA7"/>
                <w:sz w:val="20"/>
              </w:rPr>
            </w:pPr>
            <w:r>
              <w:rPr>
                <w:rFonts w:ascii="Arial" w:hAnsi="Arial"/>
                <w:color w:val="245BA7"/>
                <w:sz w:val="20"/>
              </w:rPr>
              <w:t>29</w:t>
            </w:r>
          </w:p>
          <w:p>
            <w:pPr>
              <w:pStyle w:val="TableContents"/>
              <w:pBdr/>
              <w:spacing w:before="0" w:after="0"/>
              <w:ind w:left="0" w:right="30" w:hanging="0"/>
              <w:rPr>
                <w:rFonts w:ascii="Arial" w:hAnsi="Arial"/>
                <w:color w:val="000000"/>
                <w:sz w:val="20"/>
              </w:rPr>
            </w:pPr>
            <w:r>
              <w:rPr>
                <w:rFonts w:ascii="Arial" w:hAnsi="Arial"/>
                <w:color w:val="000000"/>
                <w:sz w:val="20"/>
              </w:rPr>
              <w:t>Represents less than 1%.</w:t>
            </w:r>
          </w:p>
        </w:tc>
      </w:tr>
    </w:tbl>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97" w:name="new_id-90"/>
      <w:bookmarkEnd w:id="97"/>
      <w:r>
        <w:rPr>
          <w:rFonts w:ascii="Arial" w:hAnsi="Arial"/>
          <w:b/>
          <w:i w:val="false"/>
          <w:caps w:val="false"/>
          <w:smallCaps w:val="false"/>
          <w:color w:val="D31B5D"/>
          <w:sz w:val="30"/>
          <w:bdr w:val="single" w:sz="12" w:space="2" w:color="245BA7"/>
        </w:rPr>
        <w:t xml:space="preserve">SHAREHOLDER COMMUNICATIONS </w:t>
      </w:r>
    </w:p>
    <w:p>
      <w:pPr>
        <w:pStyle w:val="TextBody"/>
        <w:pBdr/>
        <w:spacing w:before="0" w:after="210"/>
        <w:ind w:left="0" w:right="0" w:hanging="0"/>
        <w:rPr>
          <w:rFonts w:ascii="Arial" w:hAnsi="Arial"/>
          <w:color w:val="000000"/>
          <w:sz w:val="21"/>
        </w:rPr>
      </w:pPr>
      <w:r>
        <w:rPr>
          <w:rFonts w:ascii="Arial" w:hAnsi="Arial"/>
          <w:color w:val="000000"/>
          <w:sz w:val="21"/>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10591-6707,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communication is addressed.</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8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41" descr=""/>
                          <pic:cNvPicPr>
                            <a:picLocks noChangeAspect="1" noChangeArrowheads="1"/>
                          </pic:cNvPicPr>
                        </pic:nvPicPr>
                        <pic:blipFill>
                          <a:blip r:embed="rId142"/>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50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color w:val="000000"/>
        </w:rPr>
      </w:pPr>
      <w:r>
        <w:rPr>
          <w:color w:val="000000"/>
        </w:rPr>
        <w:drawing>
          <wp:inline distT="0" distB="0" distL="0" distR="0">
            <wp:extent cx="7620000" cy="1552575"/>
            <wp:effectExtent l="0" t="0" r="0" b="0"/>
            <wp:docPr id="18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42" descr=""/>
                    <pic:cNvPicPr>
                      <a:picLocks noChangeAspect="1" noChangeArrowheads="1"/>
                    </pic:cNvPicPr>
                  </pic:nvPicPr>
                  <pic:blipFill>
                    <a:blip r:embed="rId143"/>
                    <a:stretch>
                      <a:fillRect/>
                    </a:stretch>
                  </pic:blipFill>
                  <pic:spPr bwMode="auto">
                    <a:xfrm>
                      <a:off x="0" y="0"/>
                      <a:ext cx="7620000" cy="1552575"/>
                    </a:xfrm>
                    <a:prstGeom prst="rect">
                      <a:avLst/>
                    </a:prstGeom>
                  </pic:spPr>
                </pic:pic>
              </a:graphicData>
            </a:graphic>
          </wp:inline>
        </w:drawing>
      </w:r>
    </w:p>
    <w:p>
      <w:pPr>
        <w:pStyle w:val="Heading1"/>
        <w:pBdr/>
        <w:spacing w:before="0" w:after="705"/>
        <w:ind w:left="200" w:right="0" w:hanging="0"/>
        <w:rPr>
          <w:rFonts w:ascii="Arial" w:hAnsi="Arial"/>
          <w:b/>
          <w:i w:val="false"/>
          <w:caps w:val="false"/>
          <w:smallCaps w:val="false"/>
          <w:color w:val="FFFFFF"/>
          <w:sz w:val="59"/>
        </w:rPr>
      </w:pPr>
      <w:bookmarkStart w:id="98" w:name="new_id-91"/>
      <w:bookmarkEnd w:id="98"/>
      <w:r>
        <w:rPr>
          <w:rFonts w:ascii="Arial" w:hAnsi="Arial"/>
          <w:b/>
          <w:i w:val="false"/>
          <w:caps w:val="false"/>
          <w:smallCaps w:val="false"/>
          <w:color w:val="FFFFFF"/>
          <w:sz w:val="59"/>
        </w:rPr>
        <w:t xml:space="preserve">COMPENSATION-RELATED MATTERS </w:t>
      </w:r>
    </w:p>
    <w:p>
      <w:pPr>
        <w:pStyle w:val="TextBody"/>
        <w:pBdr/>
        <w:spacing w:before="0" w:after="0"/>
        <w:ind w:left="0" w:right="0" w:hanging="0"/>
        <w:jc w:val="left"/>
        <w:rPr>
          <w:caps w:val="false"/>
          <w:smallCaps w:val="false"/>
        </w:rPr>
      </w:pPr>
      <w:r>
        <w:rPr>
          <w:caps w:val="false"/>
          <w:smallCaps w:val="false"/>
        </w:rPr>
        <w:t> </w:t>
      </w:r>
    </w:p>
    <w:p>
      <w:pPr>
        <w:pStyle w:val="TextBody"/>
        <w:pBdr/>
        <w:spacing w:before="0" w:after="0"/>
        <w:ind w:left="0" w:right="0" w:hanging="0"/>
        <w:rPr>
          <w:rFonts w:ascii="Arial" w:hAnsi="Arial"/>
          <w:b/>
          <w:color w:val="D31B5D"/>
          <w:sz w:val="30"/>
          <w:bdr w:val="single" w:sz="12" w:space="2" w:color="245BA7"/>
        </w:rPr>
      </w:pPr>
      <w:bookmarkStart w:id="99" w:name="new_id-92"/>
      <w:bookmarkEnd w:id="99"/>
      <w:r>
        <w:rPr>
          <w:rFonts w:ascii="Arial" w:hAnsi="Arial"/>
          <w:b/>
          <w:color w:val="D31B5D"/>
          <w:sz w:val="30"/>
          <w:bdr w:val="single" w:sz="12" w:space="2" w:color="245BA7"/>
        </w:rPr>
        <w:t xml:space="preserve">TABLE OF CONTENTS </w:t>
      </w:r>
    </w:p>
    <w:p>
      <w:pPr>
        <w:pStyle w:val="TextBody"/>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br/>
        <w:t> </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3110230" cy="8474075"/>
                <wp:effectExtent l="0" t="0" r="0" b="0"/>
                <wp:wrapSquare wrapText="largest"/>
                <wp:docPr id="183" name="Frame29"/>
                <a:graphic xmlns:a="http://schemas.openxmlformats.org/drawingml/2006/main">
                  <a:graphicData uri="http://schemas.microsoft.com/office/word/2010/wordprocessingShape">
                    <wps:wsp>
                      <wps:cNvSpPr txBox="1"/>
                      <wps:spPr>
                        <a:xfrm>
                          <a:off x="0" y="0"/>
                          <a:ext cx="3110230" cy="8474075"/>
                        </a:xfrm>
                        <a:prstGeom prst="rect"/>
                      </wps:spPr>
                      <wps:txbx>
                        <w:txbxContent>
                          <w:tbl>
                            <w:tblPr>
                              <w:tblW w:w="2515" w:type="dxa"/>
                              <w:jc w:val="left"/>
                              <w:tblInd w:w="0" w:type="dxa"/>
                              <w:tblCellMar>
                                <w:top w:w="0" w:type="dxa"/>
                                <w:left w:w="0" w:type="dxa"/>
                                <w:bottom w:w="0" w:type="dxa"/>
                                <w:right w:w="0" w:type="dxa"/>
                              </w:tblCellMar>
                            </w:tblPr>
                            <w:tblGrid>
                              <w:gridCol w:w="2135"/>
                              <w:gridCol w:w="380"/>
                            </w:tblGrid>
                            <w:tr>
                              <w:trPr/>
                              <w:tc>
                                <w:tcPr>
                                  <w:tcW w:w="2135" w:type="dxa"/>
                                  <w:tcBorders/>
                                  <w:shd w:fill="auto" w:val="clear"/>
                                  <w:vAlign w:val="center"/>
                                </w:tcPr>
                                <w:p>
                                  <w:pPr>
                                    <w:pStyle w:val="TableContents"/>
                                    <w:pBdr/>
                                    <w:spacing w:before="0" w:after="15"/>
                                    <w:ind w:left="0" w:right="105" w:hanging="0"/>
                                    <w:rPr/>
                                  </w:pPr>
                                  <w:hyperlink w:anchor="new_id-93">
                                    <w:r>
                                      <w:rPr>
                                        <w:rStyle w:val="InternetLink"/>
                                        <w:rFonts w:ascii="Arial" w:hAnsi="Arial"/>
                                        <w:b/>
                                        <w:i w:val="false"/>
                                        <w:caps w:val="false"/>
                                        <w:smallCaps w:val="false"/>
                                        <w:strike w:val="false"/>
                                        <w:dstrike w:val="false"/>
                                        <w:color w:val="245BA7"/>
                                        <w:sz w:val="26"/>
                                        <w:u w:val="none"/>
                                        <w:effect w:val="none"/>
                                      </w:rPr>
                                      <w:t>INTRODUCTION</w:t>
                                    </w:r>
                                  </w:hyperlink>
                                  <w:r>
                                    <w:rPr>
                                      <w:rFonts w:ascii="Arial" w:hAnsi="Arial"/>
                                      <w:b/>
                                      <w:color w:val="245BA7"/>
                                      <w:sz w:val="26"/>
                                    </w:rPr>
                                    <w:t xml:space="preserve"> </w:t>
                                  </w:r>
                                </w:p>
                              </w:tc>
                              <w:tc>
                                <w:tcPr>
                                  <w:tcW w:w="380" w:type="dxa"/>
                                  <w:tcBorders/>
                                  <w:shd w:fill="auto" w:val="clear"/>
                                  <w:vAlign w:val="center"/>
                                </w:tcPr>
                                <w:p>
                                  <w:pPr>
                                    <w:pStyle w:val="TableContents"/>
                                    <w:pBdr/>
                                    <w:spacing w:before="0" w:after="15"/>
                                    <w:ind w:left="0" w:right="0" w:hanging="0"/>
                                    <w:jc w:val="right"/>
                                    <w:rPr/>
                                  </w:pPr>
                                  <w:hyperlink w:anchor="new_id-93">
                                    <w:r>
                                      <w:rPr>
                                        <w:rStyle w:val="InternetLink"/>
                                        <w:rFonts w:ascii="Arial" w:hAnsi="Arial"/>
                                        <w:b/>
                                        <w:strike w:val="false"/>
                                        <w:dstrike w:val="false"/>
                                        <w:color w:val="245BA7"/>
                                        <w:sz w:val="26"/>
                                        <w:u w:val="none"/>
                                        <w:effect w:val="none"/>
                                      </w:rPr>
                                      <w:t>52</w:t>
                                    </w:r>
                                  </w:hyperlink>
                                  <w:r>
                                    <w:rPr>
                                      <w:rFonts w:ascii="Arial" w:hAnsi="Arial"/>
                                      <w:b/>
                                      <w:color w:val="245BA7"/>
                                      <w:sz w:val="26"/>
                                    </w:rPr>
                                    <w:t xml:space="preserve"> </w:t>
                                  </w:r>
                                </w:p>
                              </w:tc>
                            </w:tr>
                          </w:tbl>
                          <w:tbl>
                            <w:tblPr>
                              <w:tblW w:w="6220" w:type="dxa"/>
                              <w:jc w:val="left"/>
                              <w:tblInd w:w="0" w:type="dxa"/>
                              <w:tblCellMar>
                                <w:top w:w="0" w:type="dxa"/>
                                <w:left w:w="0" w:type="dxa"/>
                                <w:bottom w:w="0" w:type="dxa"/>
                                <w:right w:w="0" w:type="dxa"/>
                              </w:tblCellMar>
                            </w:tblPr>
                            <w:tblGrid>
                              <w:gridCol w:w="5840"/>
                              <w:gridCol w:w="380"/>
                            </w:tblGrid>
                            <w:tr>
                              <w:trPr/>
                              <w:tc>
                                <w:tcPr>
                                  <w:tcW w:w="5840" w:type="dxa"/>
                                  <w:tcBorders/>
                                  <w:shd w:fill="auto" w:val="clear"/>
                                  <w:vAlign w:val="center"/>
                                </w:tcPr>
                                <w:p>
                                  <w:pPr>
                                    <w:pStyle w:val="TableContents"/>
                                    <w:pBdr/>
                                    <w:spacing w:before="0" w:after="15"/>
                                    <w:ind w:left="0" w:right="105" w:hanging="0"/>
                                    <w:rPr/>
                                  </w:pPr>
                                  <w:hyperlink w:anchor="new_id-94">
                                    <w:r>
                                      <w:rPr>
                                        <w:rStyle w:val="InternetLink"/>
                                        <w:rFonts w:ascii="Arial" w:hAnsi="Arial"/>
                                        <w:b/>
                                        <w:i w:val="false"/>
                                        <w:caps w:val="false"/>
                                        <w:smallCaps w:val="false"/>
                                        <w:strike w:val="false"/>
                                        <w:dstrike w:val="false"/>
                                        <w:color w:val="245BA7"/>
                                        <w:sz w:val="26"/>
                                        <w:u w:val="none"/>
                                        <w:effect w:val="none"/>
                                      </w:rPr>
                                      <w:t>COMPENSATION DISCUSSION AND ANALYSIS</w:t>
                                    </w:r>
                                  </w:hyperlink>
                                  <w:r>
                                    <w:rPr>
                                      <w:rFonts w:ascii="Arial" w:hAnsi="Arial"/>
                                      <w:b/>
                                      <w:color w:val="245BA7"/>
                                      <w:sz w:val="26"/>
                                    </w:rPr>
                                    <w:t xml:space="preserve"> </w:t>
                                  </w:r>
                                </w:p>
                              </w:tc>
                              <w:tc>
                                <w:tcPr>
                                  <w:tcW w:w="380" w:type="dxa"/>
                                  <w:tcBorders/>
                                  <w:shd w:fill="auto" w:val="clear"/>
                                  <w:vAlign w:val="center"/>
                                </w:tcPr>
                                <w:p>
                                  <w:pPr>
                                    <w:pStyle w:val="TableContents"/>
                                    <w:pBdr/>
                                    <w:spacing w:before="0" w:after="15"/>
                                    <w:ind w:left="0" w:right="0" w:hanging="0"/>
                                    <w:jc w:val="right"/>
                                    <w:rPr/>
                                  </w:pPr>
                                  <w:hyperlink w:anchor="new_id-94">
                                    <w:r>
                                      <w:rPr>
                                        <w:rStyle w:val="InternetLink"/>
                                        <w:rFonts w:ascii="Arial" w:hAnsi="Arial"/>
                                        <w:b/>
                                        <w:strike w:val="false"/>
                                        <w:dstrike w:val="false"/>
                                        <w:color w:val="245BA7"/>
                                        <w:sz w:val="26"/>
                                        <w:u w:val="none"/>
                                        <w:effect w:val="none"/>
                                      </w:rPr>
                                      <w:t>53</w:t>
                                    </w:r>
                                  </w:hyperlink>
                                  <w:r>
                                    <w:rPr>
                                      <w:rFonts w:ascii="Arial" w:hAnsi="Arial"/>
                                      <w:b/>
                                      <w:color w:val="245BA7"/>
                                      <w:sz w:val="26"/>
                                    </w:rPr>
                                    <w:t xml:space="preserve"> </w:t>
                                  </w:r>
                                </w:p>
                              </w:tc>
                            </w:tr>
                          </w:tbl>
                          <w:tbl>
                            <w:tblPr>
                              <w:tblW w:w="2545" w:type="dxa"/>
                              <w:jc w:val="left"/>
                              <w:tblInd w:w="0" w:type="dxa"/>
                              <w:tblCellMar>
                                <w:top w:w="0" w:type="dxa"/>
                                <w:left w:w="0" w:type="dxa"/>
                                <w:bottom w:w="0" w:type="dxa"/>
                                <w:right w:w="0" w:type="dxa"/>
                              </w:tblCellMar>
                            </w:tblPr>
                            <w:tblGrid>
                              <w:gridCol w:w="2210"/>
                              <w:gridCol w:w="335"/>
                            </w:tblGrid>
                            <w:tr>
                              <w:trPr/>
                              <w:tc>
                                <w:tcPr>
                                  <w:tcW w:w="2210" w:type="dxa"/>
                                  <w:tcBorders/>
                                  <w:shd w:fill="auto" w:val="clear"/>
                                  <w:vAlign w:val="center"/>
                                </w:tcPr>
                                <w:p>
                                  <w:pPr>
                                    <w:pStyle w:val="TableContents"/>
                                    <w:pBdr/>
                                    <w:spacing w:before="0" w:after="60"/>
                                    <w:ind w:left="0" w:right="105" w:hanging="0"/>
                                    <w:rPr/>
                                  </w:pPr>
                                  <w:hyperlink w:anchor="new_id-95">
                                    <w:r>
                                      <w:rPr>
                                        <w:rStyle w:val="InternetLink"/>
                                        <w:rFonts w:ascii="Arial" w:hAnsi="Arial"/>
                                        <w:b/>
                                        <w:strike w:val="false"/>
                                        <w:dstrike w:val="false"/>
                                        <w:color w:val="000000"/>
                                        <w:sz w:val="21"/>
                                        <w:u w:val="none"/>
                                        <w:effect w:val="none"/>
                                      </w:rPr>
                                      <w:t>Executive Summary</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5">
                                    <w:r>
                                      <w:rPr>
                                        <w:rStyle w:val="InternetLink"/>
                                        <w:rFonts w:ascii="Arial" w:hAnsi="Arial"/>
                                        <w:b/>
                                        <w:strike w:val="false"/>
                                        <w:dstrike w:val="false"/>
                                        <w:color w:val="000000"/>
                                        <w:sz w:val="21"/>
                                        <w:u w:val="none"/>
                                        <w:effect w:val="none"/>
                                      </w:rPr>
                                      <w:t>54</w:t>
                                    </w:r>
                                  </w:hyperlink>
                                  <w:r>
                                    <w:rPr>
                                      <w:rFonts w:ascii="Arial" w:hAnsi="Arial"/>
                                      <w:b/>
                                      <w:color w:val="000000"/>
                                      <w:sz w:val="21"/>
                                    </w:rPr>
                                    <w:t xml:space="preserve"> </w:t>
                                  </w:r>
                                </w:p>
                              </w:tc>
                            </w:tr>
                          </w:tbl>
                          <w:tbl>
                            <w:tblPr>
                              <w:tblW w:w="3955" w:type="dxa"/>
                              <w:jc w:val="left"/>
                              <w:tblInd w:w="0" w:type="dxa"/>
                              <w:tblCellMar>
                                <w:top w:w="0" w:type="dxa"/>
                                <w:left w:w="0" w:type="dxa"/>
                                <w:bottom w:w="0" w:type="dxa"/>
                                <w:right w:w="0" w:type="dxa"/>
                              </w:tblCellMar>
                            </w:tblPr>
                            <w:tblGrid>
                              <w:gridCol w:w="3620"/>
                              <w:gridCol w:w="335"/>
                            </w:tblGrid>
                            <w:tr>
                              <w:trPr/>
                              <w:tc>
                                <w:tcPr>
                                  <w:tcW w:w="3620" w:type="dxa"/>
                                  <w:tcBorders/>
                                  <w:shd w:fill="auto" w:val="clear"/>
                                  <w:vAlign w:val="center"/>
                                </w:tcPr>
                                <w:p>
                                  <w:pPr>
                                    <w:pStyle w:val="TableContents"/>
                                    <w:pBdr/>
                                    <w:spacing w:before="0" w:after="60"/>
                                    <w:ind w:left="0" w:right="105" w:hanging="0"/>
                                    <w:rPr/>
                                  </w:pPr>
                                  <w:hyperlink w:anchor="new_id-96">
                                    <w:r>
                                      <w:rPr>
                                        <w:rStyle w:val="InternetLink"/>
                                        <w:rFonts w:ascii="Arial" w:hAnsi="Arial"/>
                                        <w:b/>
                                        <w:strike w:val="false"/>
                                        <w:dstrike w:val="false"/>
                                        <w:color w:val="000000"/>
                                        <w:sz w:val="21"/>
                                        <w:u w:val="none"/>
                                        <w:effect w:val="none"/>
                                      </w:rPr>
                                      <w:t>Compensation Program Overview</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6">
                                    <w:r>
                                      <w:rPr>
                                        <w:rStyle w:val="InternetLink"/>
                                        <w:rFonts w:ascii="Arial" w:hAnsi="Arial"/>
                                        <w:b/>
                                        <w:strike w:val="false"/>
                                        <w:dstrike w:val="false"/>
                                        <w:color w:val="000000"/>
                                        <w:sz w:val="21"/>
                                        <w:u w:val="none"/>
                                        <w:effect w:val="none"/>
                                      </w:rPr>
                                      <w:t>55</w:t>
                                    </w:r>
                                  </w:hyperlink>
                                  <w:r>
                                    <w:rPr>
                                      <w:rFonts w:ascii="Arial" w:hAnsi="Arial"/>
                                      <w:b/>
                                      <w:color w:val="000000"/>
                                      <w:sz w:val="21"/>
                                    </w:rPr>
                                    <w:t xml:space="preserve"> </w:t>
                                  </w:r>
                                </w:p>
                              </w:tc>
                            </w:tr>
                          </w:tbl>
                          <w:tbl>
                            <w:tblPr>
                              <w:tblW w:w="4600" w:type="dxa"/>
                              <w:jc w:val="left"/>
                              <w:tblInd w:w="0" w:type="dxa"/>
                              <w:tblCellMar>
                                <w:top w:w="0" w:type="dxa"/>
                                <w:left w:w="0" w:type="dxa"/>
                                <w:bottom w:w="0" w:type="dxa"/>
                                <w:right w:w="0" w:type="dxa"/>
                              </w:tblCellMar>
                            </w:tblPr>
                            <w:tblGrid>
                              <w:gridCol w:w="4265"/>
                              <w:gridCol w:w="335"/>
                            </w:tblGrid>
                            <w:tr>
                              <w:trPr/>
                              <w:tc>
                                <w:tcPr>
                                  <w:tcW w:w="4265" w:type="dxa"/>
                                  <w:tcBorders/>
                                  <w:shd w:fill="auto" w:val="clear"/>
                                  <w:vAlign w:val="center"/>
                                </w:tcPr>
                                <w:p>
                                  <w:pPr>
                                    <w:pStyle w:val="TableContents"/>
                                    <w:pBdr/>
                                    <w:spacing w:before="0" w:after="60"/>
                                    <w:ind w:left="300" w:right="105" w:hanging="0"/>
                                    <w:rPr/>
                                  </w:pPr>
                                  <w:hyperlink w:anchor="new_id-97">
                                    <w:r>
                                      <w:rPr>
                                        <w:rStyle w:val="InternetLink"/>
                                        <w:rFonts w:ascii="Arial" w:hAnsi="Arial"/>
                                        <w:strike w:val="false"/>
                                        <w:dstrike w:val="false"/>
                                        <w:color w:val="000000"/>
                                        <w:sz w:val="21"/>
                                        <w:u w:val="none"/>
                                        <w:effect w:val="none"/>
                                      </w:rPr>
                                      <w:t>Our Corporate Culture and Pay Philosophy</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7">
                                    <w:r>
                                      <w:rPr>
                                        <w:rStyle w:val="InternetLink"/>
                                        <w:rFonts w:ascii="Arial" w:hAnsi="Arial"/>
                                        <w:strike w:val="false"/>
                                        <w:dstrike w:val="false"/>
                                        <w:color w:val="000000"/>
                                        <w:sz w:val="21"/>
                                        <w:u w:val="none"/>
                                        <w:effect w:val="none"/>
                                      </w:rPr>
                                      <w:t>55</w:t>
                                    </w:r>
                                  </w:hyperlink>
                                  <w:r>
                                    <w:rPr>
                                      <w:rFonts w:ascii="Arial" w:hAnsi="Arial"/>
                                      <w:color w:val="000000"/>
                                      <w:sz w:val="21"/>
                                    </w:rPr>
                                    <w:t xml:space="preserve"> </w:t>
                                  </w:r>
                                </w:p>
                              </w:tc>
                            </w:tr>
                          </w:tbl>
                          <w:tbl>
                            <w:tblPr>
                              <w:tblW w:w="2920" w:type="dxa"/>
                              <w:jc w:val="left"/>
                              <w:tblInd w:w="0" w:type="dxa"/>
                              <w:tblCellMar>
                                <w:top w:w="0" w:type="dxa"/>
                                <w:left w:w="0" w:type="dxa"/>
                                <w:bottom w:w="0" w:type="dxa"/>
                                <w:right w:w="0" w:type="dxa"/>
                              </w:tblCellMar>
                            </w:tblPr>
                            <w:tblGrid>
                              <w:gridCol w:w="2585"/>
                              <w:gridCol w:w="335"/>
                            </w:tblGrid>
                            <w:tr>
                              <w:trPr/>
                              <w:tc>
                                <w:tcPr>
                                  <w:tcW w:w="2585" w:type="dxa"/>
                                  <w:tcBorders/>
                                  <w:shd w:fill="auto" w:val="clear"/>
                                  <w:vAlign w:val="center"/>
                                </w:tcPr>
                                <w:p>
                                  <w:pPr>
                                    <w:pStyle w:val="TableContents"/>
                                    <w:pBdr/>
                                    <w:spacing w:before="0" w:after="60"/>
                                    <w:ind w:left="300" w:right="105" w:hanging="0"/>
                                    <w:rPr/>
                                  </w:pPr>
                                  <w:hyperlink w:anchor="new_id-98">
                                    <w:r>
                                      <w:rPr>
                                        <w:rStyle w:val="InternetLink"/>
                                        <w:rFonts w:ascii="Arial" w:hAnsi="Arial"/>
                                        <w:strike w:val="false"/>
                                        <w:dstrike w:val="false"/>
                                        <w:color w:val="000000"/>
                                        <w:sz w:val="21"/>
                                        <w:u w:val="none"/>
                                        <w:effect w:val="none"/>
                                      </w:rPr>
                                      <w:t>2022 Business Highlights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8">
                                    <w:r>
                                      <w:rPr>
                                        <w:rStyle w:val="InternetLink"/>
                                        <w:rFonts w:ascii="Arial" w:hAnsi="Arial"/>
                                        <w:strike w:val="false"/>
                                        <w:dstrike w:val="false"/>
                                        <w:color w:val="000000"/>
                                        <w:sz w:val="21"/>
                                        <w:u w:val="none"/>
                                        <w:effect w:val="none"/>
                                      </w:rPr>
                                      <w:t>56</w:t>
                                    </w:r>
                                  </w:hyperlink>
                                  <w:r>
                                    <w:rPr>
                                      <w:rFonts w:ascii="Arial" w:hAnsi="Arial"/>
                                      <w:color w:val="000000"/>
                                      <w:sz w:val="21"/>
                                    </w:rPr>
                                    <w:t xml:space="preserve"> </w:t>
                                  </w:r>
                                </w:p>
                              </w:tc>
                            </w:tr>
                          </w:tbl>
                          <w:tbl>
                            <w:tblPr>
                              <w:tblW w:w="3445" w:type="dxa"/>
                              <w:jc w:val="left"/>
                              <w:tblInd w:w="0" w:type="dxa"/>
                              <w:tblCellMar>
                                <w:top w:w="0" w:type="dxa"/>
                                <w:left w:w="0" w:type="dxa"/>
                                <w:bottom w:w="0" w:type="dxa"/>
                                <w:right w:w="0" w:type="dxa"/>
                              </w:tblCellMar>
                            </w:tblPr>
                            <w:tblGrid>
                              <w:gridCol w:w="3110"/>
                              <w:gridCol w:w="335"/>
                            </w:tblGrid>
                            <w:tr>
                              <w:trPr/>
                              <w:tc>
                                <w:tcPr>
                                  <w:tcW w:w="3110" w:type="dxa"/>
                                  <w:tcBorders/>
                                  <w:shd w:fill="auto" w:val="clear"/>
                                  <w:vAlign w:val="center"/>
                                </w:tcPr>
                                <w:p>
                                  <w:pPr>
                                    <w:pStyle w:val="TableContents"/>
                                    <w:pBdr/>
                                    <w:spacing w:before="0" w:after="60"/>
                                    <w:ind w:left="300" w:right="105" w:hanging="0"/>
                                    <w:rPr/>
                                  </w:pPr>
                                  <w:hyperlink w:anchor="new_id-100">
                                    <w:r>
                                      <w:rPr>
                                        <w:rStyle w:val="InternetLink"/>
                                        <w:rFonts w:ascii="Arial" w:hAnsi="Arial"/>
                                        <w:strike w:val="false"/>
                                        <w:dstrike w:val="false"/>
                                        <w:color w:val="000000"/>
                                        <w:sz w:val="21"/>
                                        <w:u w:val="none"/>
                                        <w:effect w:val="none"/>
                                      </w:rPr>
                                      <w:t>2022 Compensation Highlights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0">
                                    <w:r>
                                      <w:rPr>
                                        <w:rStyle w:val="InternetLink"/>
                                        <w:rFonts w:ascii="Arial" w:hAnsi="Arial"/>
                                        <w:strike w:val="false"/>
                                        <w:dstrike w:val="false"/>
                                        <w:color w:val="000000"/>
                                        <w:sz w:val="21"/>
                                        <w:u w:val="none"/>
                                        <w:effect w:val="none"/>
                                      </w:rPr>
                                      <w:t>57</w:t>
                                    </w:r>
                                  </w:hyperlink>
                                  <w:r>
                                    <w:rPr>
                                      <w:rFonts w:ascii="Arial" w:hAnsi="Arial"/>
                                      <w:color w:val="000000"/>
                                      <w:sz w:val="21"/>
                                    </w:rPr>
                                    <w:t xml:space="preserve"> </w:t>
                                  </w:r>
                                </w:p>
                              </w:tc>
                            </w:tr>
                          </w:tbl>
                          <w:tbl>
                            <w:tblPr>
                              <w:tblW w:w="4405" w:type="dxa"/>
                              <w:jc w:val="left"/>
                              <w:tblInd w:w="0" w:type="dxa"/>
                              <w:tblCellMar>
                                <w:top w:w="0" w:type="dxa"/>
                                <w:left w:w="0" w:type="dxa"/>
                                <w:bottom w:w="0" w:type="dxa"/>
                                <w:right w:w="0" w:type="dxa"/>
                              </w:tblCellMar>
                            </w:tblPr>
                            <w:tblGrid>
                              <w:gridCol w:w="4070"/>
                              <w:gridCol w:w="335"/>
                            </w:tblGrid>
                            <w:tr>
                              <w:trPr/>
                              <w:tc>
                                <w:tcPr>
                                  <w:tcW w:w="4070" w:type="dxa"/>
                                  <w:tcBorders/>
                                  <w:shd w:fill="auto" w:val="clear"/>
                                  <w:vAlign w:val="center"/>
                                </w:tcPr>
                                <w:p>
                                  <w:pPr>
                                    <w:pStyle w:val="TableContents"/>
                                    <w:pBdr/>
                                    <w:spacing w:before="0" w:after="60"/>
                                    <w:ind w:left="300" w:right="105" w:hanging="0"/>
                                    <w:rPr/>
                                  </w:pPr>
                                  <w:hyperlink w:anchor="new_id-102">
                                    <w:r>
                                      <w:rPr>
                                        <w:rStyle w:val="InternetLink"/>
                                        <w:rFonts w:ascii="Arial" w:hAnsi="Arial"/>
                                        <w:strike w:val="false"/>
                                        <w:dstrike w:val="false"/>
                                        <w:color w:val="000000"/>
                                        <w:sz w:val="21"/>
                                        <w:u w:val="none"/>
                                        <w:effect w:val="none"/>
                                      </w:rPr>
                                      <w:t>Shareholder Engagement and Feedback</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2">
                                    <w:r>
                                      <w:rPr>
                                        <w:rStyle w:val="InternetLink"/>
                                        <w:rFonts w:ascii="Arial" w:hAnsi="Arial"/>
                                        <w:strike w:val="false"/>
                                        <w:dstrike w:val="false"/>
                                        <w:color w:val="000000"/>
                                        <w:sz w:val="21"/>
                                        <w:u w:val="none"/>
                                        <w:effect w:val="none"/>
                                      </w:rPr>
                                      <w:t>58</w:t>
                                    </w:r>
                                  </w:hyperlink>
                                  <w:r>
                                    <w:rPr>
                                      <w:rFonts w:ascii="Arial" w:hAnsi="Arial"/>
                                      <w:color w:val="000000"/>
                                      <w:sz w:val="21"/>
                                    </w:rPr>
                                    <w:t xml:space="preserve"> </w:t>
                                  </w:r>
                                </w:p>
                              </w:tc>
                            </w:tr>
                          </w:tbl>
                          <w:tbl>
                            <w:tblPr>
                              <w:tblW w:w="3340" w:type="dxa"/>
                              <w:jc w:val="left"/>
                              <w:tblInd w:w="0" w:type="dxa"/>
                              <w:tblCellMar>
                                <w:top w:w="0" w:type="dxa"/>
                                <w:left w:w="0" w:type="dxa"/>
                                <w:bottom w:w="0" w:type="dxa"/>
                                <w:right w:w="0" w:type="dxa"/>
                              </w:tblCellMar>
                            </w:tblPr>
                            <w:tblGrid>
                              <w:gridCol w:w="3005"/>
                              <w:gridCol w:w="335"/>
                            </w:tblGrid>
                            <w:tr>
                              <w:trPr/>
                              <w:tc>
                                <w:tcPr>
                                  <w:tcW w:w="3005" w:type="dxa"/>
                                  <w:tcBorders/>
                                  <w:shd w:fill="auto" w:val="clear"/>
                                  <w:vAlign w:val="center"/>
                                </w:tcPr>
                                <w:p>
                                  <w:pPr>
                                    <w:pStyle w:val="TableContents"/>
                                    <w:pBdr/>
                                    <w:spacing w:before="0" w:after="60"/>
                                    <w:ind w:left="300" w:right="105" w:hanging="0"/>
                                    <w:rPr/>
                                  </w:pPr>
                                  <w:hyperlink w:anchor="new_id-103">
                                    <w:r>
                                      <w:rPr>
                                        <w:rStyle w:val="InternetLink"/>
                                        <w:rFonts w:ascii="Arial" w:hAnsi="Arial"/>
                                        <w:strike w:val="false"/>
                                        <w:dstrike w:val="false"/>
                                        <w:color w:val="000000"/>
                                        <w:sz w:val="21"/>
                                        <w:u w:val="none"/>
                                        <w:effect w:val="none"/>
                                      </w:rPr>
                                      <w:t>How Our Pay Program Works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3">
                                    <w:r>
                                      <w:rPr>
                                        <w:rStyle w:val="InternetLink"/>
                                        <w:rFonts w:ascii="Arial" w:hAnsi="Arial"/>
                                        <w:strike w:val="false"/>
                                        <w:dstrike w:val="false"/>
                                        <w:color w:val="000000"/>
                                        <w:sz w:val="21"/>
                                        <w:u w:val="none"/>
                                        <w:effect w:val="none"/>
                                      </w:rPr>
                                      <w:t>59</w:t>
                                    </w:r>
                                  </w:hyperlink>
                                  <w:r>
                                    <w:rPr>
                                      <w:rFonts w:ascii="Arial" w:hAnsi="Arial"/>
                                      <w:color w:val="000000"/>
                                      <w:sz w:val="21"/>
                                    </w:rPr>
                                    <w:t xml:space="preserve"> </w:t>
                                  </w:r>
                                </w:p>
                              </w:tc>
                            </w:tr>
                          </w:tbl>
                          <w:tbl>
                            <w:tblPr>
                              <w:tblW w:w="3040" w:type="dxa"/>
                              <w:jc w:val="left"/>
                              <w:tblInd w:w="0" w:type="dxa"/>
                              <w:tblCellMar>
                                <w:top w:w="0" w:type="dxa"/>
                                <w:left w:w="0" w:type="dxa"/>
                                <w:bottom w:w="0" w:type="dxa"/>
                                <w:right w:w="0" w:type="dxa"/>
                              </w:tblCellMar>
                            </w:tblPr>
                            <w:tblGrid>
                              <w:gridCol w:w="2705"/>
                              <w:gridCol w:w="335"/>
                            </w:tblGrid>
                            <w:tr>
                              <w:trPr/>
                              <w:tc>
                                <w:tcPr>
                                  <w:tcW w:w="2705" w:type="dxa"/>
                                  <w:tcBorders/>
                                  <w:shd w:fill="auto" w:val="clear"/>
                                  <w:vAlign w:val="center"/>
                                </w:tcPr>
                                <w:p>
                                  <w:pPr>
                                    <w:pStyle w:val="TableContents"/>
                                    <w:pBdr/>
                                    <w:spacing w:before="0" w:after="60"/>
                                    <w:ind w:left="300" w:right="105" w:hanging="0"/>
                                    <w:rPr/>
                                  </w:pPr>
                                  <w:hyperlink w:anchor="new_id-104">
                                    <w:r>
                                      <w:rPr>
                                        <w:rStyle w:val="InternetLink"/>
                                        <w:rFonts w:ascii="Arial" w:hAnsi="Arial"/>
                                        <w:strike w:val="false"/>
                                        <w:dstrike w:val="false"/>
                                        <w:color w:val="000000"/>
                                        <w:sz w:val="21"/>
                                        <w:u w:val="none"/>
                                        <w:effect w:val="none"/>
                                      </w:rPr>
                                      <w:t>Key Governance Features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4">
                                    <w:r>
                                      <w:rPr>
                                        <w:rStyle w:val="InternetLink"/>
                                        <w:rFonts w:ascii="Arial" w:hAnsi="Arial"/>
                                        <w:strike w:val="false"/>
                                        <w:dstrike w:val="false"/>
                                        <w:color w:val="000000"/>
                                        <w:sz w:val="21"/>
                                        <w:u w:val="none"/>
                                        <w:effect w:val="none"/>
                                      </w:rPr>
                                      <w:t>60</w:t>
                                    </w:r>
                                  </w:hyperlink>
                                  <w:r>
                                    <w:rPr>
                                      <w:rFonts w:ascii="Arial" w:hAnsi="Arial"/>
                                      <w:color w:val="000000"/>
                                      <w:sz w:val="21"/>
                                    </w:rPr>
                                    <w:t xml:space="preserve"> </w:t>
                                  </w:r>
                                </w:p>
                              </w:tc>
                            </w:tr>
                          </w:tbl>
                          <w:tbl>
                            <w:tblPr>
                              <w:tblW w:w="4105" w:type="dxa"/>
                              <w:jc w:val="left"/>
                              <w:tblInd w:w="0" w:type="dxa"/>
                              <w:tblCellMar>
                                <w:top w:w="0" w:type="dxa"/>
                                <w:left w:w="0" w:type="dxa"/>
                                <w:bottom w:w="0" w:type="dxa"/>
                                <w:right w:w="0" w:type="dxa"/>
                              </w:tblCellMar>
                            </w:tblPr>
                            <w:tblGrid>
                              <w:gridCol w:w="3770"/>
                              <w:gridCol w:w="335"/>
                            </w:tblGrid>
                            <w:tr>
                              <w:trPr/>
                              <w:tc>
                                <w:tcPr>
                                  <w:tcW w:w="3770" w:type="dxa"/>
                                  <w:tcBorders/>
                                  <w:shd w:fill="auto" w:val="clear"/>
                                  <w:vAlign w:val="center"/>
                                </w:tcPr>
                                <w:p>
                                  <w:pPr>
                                    <w:pStyle w:val="TableContents"/>
                                    <w:pBdr/>
                                    <w:spacing w:before="0" w:after="60"/>
                                    <w:ind w:left="0" w:right="105" w:hanging="0"/>
                                    <w:rPr/>
                                  </w:pPr>
                                  <w:hyperlink w:anchor="new_id-107">
                                    <w:r>
                                      <w:rPr>
                                        <w:rStyle w:val="InternetLink"/>
                                        <w:rFonts w:ascii="Arial" w:hAnsi="Arial"/>
                                        <w:b/>
                                        <w:strike w:val="false"/>
                                        <w:dstrike w:val="false"/>
                                        <w:color w:val="000000"/>
                                        <w:sz w:val="21"/>
                                        <w:u w:val="none"/>
                                        <w:effect w:val="none"/>
                                      </w:rPr>
                                      <w:t>Compensation Program Objectives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7">
                                    <w:r>
                                      <w:rPr>
                                        <w:rStyle w:val="InternetLink"/>
                                        <w:rFonts w:ascii="Arial" w:hAnsi="Arial"/>
                                        <w:b/>
                                        <w:strike w:val="false"/>
                                        <w:dstrike w:val="false"/>
                                        <w:color w:val="000000"/>
                                        <w:sz w:val="21"/>
                                        <w:u w:val="none"/>
                                        <w:effect w:val="none"/>
                                      </w:rPr>
                                      <w:t>61</w:t>
                                    </w:r>
                                  </w:hyperlink>
                                  <w:r>
                                    <w:rPr>
                                      <w:rFonts w:ascii="Arial" w:hAnsi="Arial"/>
                                      <w:b/>
                                      <w:color w:val="000000"/>
                                      <w:sz w:val="21"/>
                                    </w:rPr>
                                    <w:t xml:space="preserve"> </w:t>
                                  </w:r>
                                </w:p>
                              </w:tc>
                            </w:tr>
                          </w:tbl>
                          <w:tbl>
                            <w:tblPr>
                              <w:tblW w:w="3835" w:type="dxa"/>
                              <w:jc w:val="left"/>
                              <w:tblInd w:w="0" w:type="dxa"/>
                              <w:tblCellMar>
                                <w:top w:w="0" w:type="dxa"/>
                                <w:left w:w="0" w:type="dxa"/>
                                <w:bottom w:w="0" w:type="dxa"/>
                                <w:right w:w="0" w:type="dxa"/>
                              </w:tblCellMar>
                            </w:tblPr>
                            <w:tblGrid>
                              <w:gridCol w:w="3500"/>
                              <w:gridCol w:w="335"/>
                            </w:tblGrid>
                            <w:tr>
                              <w:trPr/>
                              <w:tc>
                                <w:tcPr>
                                  <w:tcW w:w="3500" w:type="dxa"/>
                                  <w:tcBorders/>
                                  <w:shd w:fill="auto" w:val="clear"/>
                                  <w:vAlign w:val="center"/>
                                </w:tcPr>
                                <w:p>
                                  <w:pPr>
                                    <w:pStyle w:val="TableContents"/>
                                    <w:pBdr/>
                                    <w:spacing w:before="0" w:after="60"/>
                                    <w:ind w:left="0" w:right="105" w:hanging="0"/>
                                    <w:rPr/>
                                  </w:pPr>
                                  <w:hyperlink w:anchor="new_id-108">
                                    <w:r>
                                      <w:rPr>
                                        <w:rStyle w:val="InternetLink"/>
                                        <w:rFonts w:ascii="Arial" w:hAnsi="Arial"/>
                                        <w:b/>
                                        <w:strike w:val="false"/>
                                        <w:dstrike w:val="false"/>
                                        <w:color w:val="000000"/>
                                        <w:sz w:val="21"/>
                                        <w:u w:val="none"/>
                                        <w:effect w:val="none"/>
                                      </w:rPr>
                                      <w:t>Components of Executive Pay:</w:t>
                                      <w:br/>
                                      <w:t>What We Pay and Why We Pay It</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8">
                                    <w:r>
                                      <w:rPr>
                                        <w:rStyle w:val="InternetLink"/>
                                        <w:rFonts w:ascii="Arial" w:hAnsi="Arial"/>
                                        <w:b/>
                                        <w:strike w:val="false"/>
                                        <w:dstrike w:val="false"/>
                                        <w:color w:val="000000"/>
                                        <w:sz w:val="21"/>
                                        <w:u w:val="none"/>
                                        <w:effect w:val="none"/>
                                      </w:rPr>
                                      <w:t>62</w:t>
                                    </w:r>
                                  </w:hyperlink>
                                  <w:r>
                                    <w:rPr>
                                      <w:rFonts w:ascii="Arial" w:hAnsi="Arial"/>
                                      <w:b/>
                                      <w:color w:val="000000"/>
                                      <w:sz w:val="21"/>
                                    </w:rPr>
                                    <w:t xml:space="preserve"> </w:t>
                                  </w:r>
                                </w:p>
                              </w:tc>
                            </w:tr>
                          </w:tbl>
                          <w:tbl>
                            <w:tblPr>
                              <w:tblW w:w="1840" w:type="dxa"/>
                              <w:jc w:val="left"/>
                              <w:tblInd w:w="0" w:type="dxa"/>
                              <w:tblCellMar>
                                <w:top w:w="0" w:type="dxa"/>
                                <w:left w:w="0" w:type="dxa"/>
                                <w:bottom w:w="0" w:type="dxa"/>
                                <w:right w:w="0" w:type="dxa"/>
                              </w:tblCellMar>
                            </w:tblPr>
                            <w:tblGrid>
                              <w:gridCol w:w="1505"/>
                              <w:gridCol w:w="335"/>
                            </w:tblGrid>
                            <w:tr>
                              <w:trPr/>
                              <w:tc>
                                <w:tcPr>
                                  <w:tcW w:w="1505" w:type="dxa"/>
                                  <w:tcBorders/>
                                  <w:shd w:fill="auto" w:val="clear"/>
                                  <w:vAlign w:val="center"/>
                                </w:tcPr>
                                <w:p>
                                  <w:pPr>
                                    <w:pStyle w:val="TableContents"/>
                                    <w:pBdr/>
                                    <w:spacing w:before="0" w:after="60"/>
                                    <w:ind w:left="300" w:right="105" w:hanging="0"/>
                                    <w:rPr/>
                                  </w:pPr>
                                  <w:hyperlink w:anchor="new_id-111">
                                    <w:r>
                                      <w:rPr>
                                        <w:rStyle w:val="InternetLink"/>
                                        <w:rFonts w:ascii="Arial" w:hAnsi="Arial"/>
                                        <w:strike w:val="false"/>
                                        <w:dstrike w:val="false"/>
                                        <w:color w:val="000000"/>
                                        <w:sz w:val="21"/>
                                        <w:u w:val="none"/>
                                        <w:effect w:val="none"/>
                                      </w:rPr>
                                      <w:t>Base Salaries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11">
                                    <w:r>
                                      <w:rPr>
                                        <w:rStyle w:val="InternetLink"/>
                                        <w:rFonts w:ascii="Arial" w:hAnsi="Arial"/>
                                        <w:strike w:val="false"/>
                                        <w:dstrike w:val="false"/>
                                        <w:color w:val="000000"/>
                                        <w:sz w:val="21"/>
                                        <w:u w:val="none"/>
                                        <w:effect w:val="none"/>
                                      </w:rPr>
                                      <w:t>63</w:t>
                                    </w:r>
                                  </w:hyperlink>
                                  <w:r>
                                    <w:rPr>
                                      <w:rFonts w:ascii="Arial" w:hAnsi="Arial"/>
                                      <w:color w:val="000000"/>
                                      <w:sz w:val="21"/>
                                    </w:rPr>
                                    <w:t xml:space="preserve"> </w:t>
                                  </w:r>
                                </w:p>
                              </w:tc>
                            </w:tr>
                          </w:tbl>
                          <w:tbl>
                            <w:tblPr>
                              <w:tblW w:w="2770" w:type="dxa"/>
                              <w:jc w:val="left"/>
                              <w:tblInd w:w="0" w:type="dxa"/>
                              <w:tblCellMar>
                                <w:top w:w="0" w:type="dxa"/>
                                <w:left w:w="0" w:type="dxa"/>
                                <w:bottom w:w="0" w:type="dxa"/>
                                <w:right w:w="0" w:type="dxa"/>
                              </w:tblCellMar>
                            </w:tblPr>
                            <w:tblGrid>
                              <w:gridCol w:w="2435"/>
                              <w:gridCol w:w="335"/>
                            </w:tblGrid>
                            <w:tr>
                              <w:trPr/>
                              <w:tc>
                                <w:tcPr>
                                  <w:tcW w:w="2435" w:type="dxa"/>
                                  <w:tcBorders/>
                                  <w:shd w:fill="auto" w:val="clear"/>
                                  <w:vAlign w:val="center"/>
                                </w:tcPr>
                                <w:p>
                                  <w:pPr>
                                    <w:pStyle w:val="TableContents"/>
                                    <w:pBdr/>
                                    <w:spacing w:before="0" w:after="60"/>
                                    <w:ind w:left="300" w:right="105" w:hanging="0"/>
                                    <w:rPr/>
                                  </w:pPr>
                                  <w:hyperlink w:anchor="new_id-113">
                                    <w:r>
                                      <w:rPr>
                                        <w:rStyle w:val="InternetLink"/>
                                        <w:rFonts w:ascii="Arial" w:hAnsi="Arial"/>
                                        <w:strike w:val="false"/>
                                        <w:dstrike w:val="false"/>
                                        <w:color w:val="000000"/>
                                        <w:sz w:val="21"/>
                                        <w:u w:val="none"/>
                                        <w:effect w:val="none"/>
                                      </w:rPr>
                                      <w:t>Annual Cash Incentives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13">
                                    <w:r>
                                      <w:rPr>
                                        <w:rStyle w:val="InternetLink"/>
                                        <w:rFonts w:ascii="Arial" w:hAnsi="Arial"/>
                                        <w:strike w:val="false"/>
                                        <w:dstrike w:val="false"/>
                                        <w:color w:val="000000"/>
                                        <w:sz w:val="21"/>
                                        <w:u w:val="none"/>
                                        <w:effect w:val="none"/>
                                      </w:rPr>
                                      <w:t>63</w:t>
                                    </w:r>
                                  </w:hyperlink>
                                  <w:r>
                                    <w:rPr>
                                      <w:rFonts w:ascii="Arial" w:hAnsi="Arial"/>
                                      <w:color w:val="000000"/>
                                      <w:sz w:val="21"/>
                                    </w:rPr>
                                    <w:t xml:space="preserve"> </w:t>
                                  </w:r>
                                </w:p>
                              </w:tc>
                            </w:tr>
                          </w:tbl>
                          <w:tbl>
                            <w:tblPr>
                              <w:tblW w:w="2605" w:type="dxa"/>
                              <w:jc w:val="left"/>
                              <w:tblInd w:w="0" w:type="dxa"/>
                              <w:tblCellMar>
                                <w:top w:w="0" w:type="dxa"/>
                                <w:left w:w="0" w:type="dxa"/>
                                <w:bottom w:w="0" w:type="dxa"/>
                                <w:right w:w="0" w:type="dxa"/>
                              </w:tblCellMar>
                            </w:tblPr>
                            <w:tblGrid>
                              <w:gridCol w:w="2270"/>
                              <w:gridCol w:w="335"/>
                            </w:tblGrid>
                            <w:tr>
                              <w:trPr/>
                              <w:tc>
                                <w:tcPr>
                                  <w:tcW w:w="2270" w:type="dxa"/>
                                  <w:tcBorders/>
                                  <w:shd w:fill="auto" w:val="clear"/>
                                  <w:vAlign w:val="center"/>
                                </w:tcPr>
                                <w:p>
                                  <w:pPr>
                                    <w:pStyle w:val="TableContents"/>
                                    <w:pBdr/>
                                    <w:spacing w:before="0" w:after="60"/>
                                    <w:ind w:left="300" w:right="105" w:hanging="0"/>
                                    <w:rPr/>
                                  </w:pPr>
                                  <w:hyperlink w:anchor="new_id-118">
                                    <w:r>
                                      <w:rPr>
                                        <w:rStyle w:val="InternetLink"/>
                                        <w:rFonts w:ascii="Arial" w:hAnsi="Arial"/>
                                        <w:strike w:val="false"/>
                                        <w:dstrike w:val="false"/>
                                        <w:color w:val="000000"/>
                                        <w:sz w:val="21"/>
                                        <w:u w:val="none"/>
                                        <w:effect w:val="none"/>
                                      </w:rPr>
                                      <w:t>Annual Equity Awards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18">
                                    <w:r>
                                      <w:rPr>
                                        <w:rStyle w:val="InternetLink"/>
                                        <w:rFonts w:ascii="Arial" w:hAnsi="Arial"/>
                                        <w:strike w:val="false"/>
                                        <w:dstrike w:val="false"/>
                                        <w:color w:val="000000"/>
                                        <w:sz w:val="21"/>
                                        <w:u w:val="none"/>
                                        <w:effect w:val="none"/>
                                      </w:rPr>
                                      <w:t>67</w:t>
                                    </w:r>
                                  </w:hyperlink>
                                  <w:r>
                                    <w:rPr>
                                      <w:rFonts w:ascii="Arial" w:hAnsi="Arial"/>
                                      <w:color w:val="000000"/>
                                      <w:sz w:val="21"/>
                                    </w:rPr>
                                    <w:t xml:space="preserve"> </w:t>
                                  </w:r>
                                </w:p>
                              </w:tc>
                            </w:tr>
                          </w:tbl>
                          <w:tbl>
                            <w:tblPr>
                              <w:tblW w:w="3730" w:type="dxa"/>
                              <w:jc w:val="left"/>
                              <w:tblInd w:w="0" w:type="dxa"/>
                              <w:tblCellMar>
                                <w:top w:w="0" w:type="dxa"/>
                                <w:left w:w="0" w:type="dxa"/>
                                <w:bottom w:w="0" w:type="dxa"/>
                                <w:right w:w="0" w:type="dxa"/>
                              </w:tblCellMar>
                            </w:tblPr>
                            <w:tblGrid>
                              <w:gridCol w:w="3395"/>
                              <w:gridCol w:w="335"/>
                            </w:tblGrid>
                            <w:tr>
                              <w:trPr/>
                              <w:tc>
                                <w:tcPr>
                                  <w:tcW w:w="3395" w:type="dxa"/>
                                  <w:tcBorders/>
                                  <w:shd w:fill="auto" w:val="clear"/>
                                  <w:vAlign w:val="center"/>
                                </w:tcPr>
                                <w:p>
                                  <w:pPr>
                                    <w:pStyle w:val="TableContents"/>
                                    <w:pBdr/>
                                    <w:spacing w:before="0" w:after="60"/>
                                    <w:ind w:left="300" w:right="105" w:hanging="0"/>
                                    <w:rPr/>
                                  </w:pPr>
                                  <w:hyperlink w:anchor="new_id-123">
                                    <w:r>
                                      <w:rPr>
                                        <w:rStyle w:val="InternetLink"/>
                                        <w:rFonts w:ascii="Arial" w:hAnsi="Arial"/>
                                        <w:strike w:val="false"/>
                                        <w:dstrike w:val="false"/>
                                        <w:color w:val="000000"/>
                                        <w:sz w:val="21"/>
                                        <w:u w:val="none"/>
                                        <w:effect w:val="none"/>
                                      </w:rPr>
                                      <w:t>Perquisites and Personal Benefits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3">
                                    <w:r>
                                      <w:rPr>
                                        <w:rStyle w:val="InternetLink"/>
                                        <w:rFonts w:ascii="Arial" w:hAnsi="Arial"/>
                                        <w:strike w:val="false"/>
                                        <w:dstrike w:val="false"/>
                                        <w:color w:val="000000"/>
                                        <w:sz w:val="21"/>
                                        <w:u w:val="none"/>
                                        <w:effect w:val="none"/>
                                      </w:rPr>
                                      <w:t>70</w:t>
                                    </w:r>
                                  </w:hyperlink>
                                  <w:r>
                                    <w:rPr>
                                      <w:rFonts w:ascii="Arial" w:hAnsi="Arial"/>
                                      <w:color w:val="000000"/>
                                      <w:sz w:val="21"/>
                                    </w:rPr>
                                    <w:t xml:space="preserve"> </w:t>
                                  </w:r>
                                </w:p>
                              </w:tc>
                            </w:tr>
                          </w:tbl>
                          <w:tbl>
                            <w:tblPr>
                              <w:tblW w:w="3445" w:type="dxa"/>
                              <w:jc w:val="left"/>
                              <w:tblInd w:w="0" w:type="dxa"/>
                              <w:tblCellMar>
                                <w:top w:w="0" w:type="dxa"/>
                                <w:left w:w="0" w:type="dxa"/>
                                <w:bottom w:w="0" w:type="dxa"/>
                                <w:right w:w="0" w:type="dxa"/>
                              </w:tblCellMar>
                            </w:tblPr>
                            <w:tblGrid>
                              <w:gridCol w:w="3110"/>
                              <w:gridCol w:w="335"/>
                            </w:tblGrid>
                            <w:tr>
                              <w:trPr/>
                              <w:tc>
                                <w:tcPr>
                                  <w:tcW w:w="3110" w:type="dxa"/>
                                  <w:tcBorders/>
                                  <w:shd w:fill="auto" w:val="clear"/>
                                  <w:vAlign w:val="center"/>
                                </w:tcPr>
                                <w:p>
                                  <w:pPr>
                                    <w:pStyle w:val="TableContents"/>
                                    <w:pBdr/>
                                    <w:spacing w:before="0" w:after="60"/>
                                    <w:ind w:left="300" w:right="105" w:hanging="0"/>
                                    <w:rPr/>
                                  </w:pPr>
                                  <w:hyperlink w:anchor="new_id-124">
                                    <w:r>
                                      <w:rPr>
                                        <w:rStyle w:val="InternetLink"/>
                                        <w:rFonts w:ascii="Arial" w:hAnsi="Arial"/>
                                        <w:strike w:val="false"/>
                                        <w:dstrike w:val="false"/>
                                        <w:color w:val="000000"/>
                                        <w:sz w:val="21"/>
                                        <w:u w:val="none"/>
                                        <w:effect w:val="none"/>
                                      </w:rPr>
                                      <w:t>Potential Severance Payments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4">
                                    <w:r>
                                      <w:rPr>
                                        <w:rStyle w:val="InternetLink"/>
                                        <w:rFonts w:ascii="Arial" w:hAnsi="Arial"/>
                                        <w:strike w:val="false"/>
                                        <w:dstrike w:val="false"/>
                                        <w:color w:val="000000"/>
                                        <w:sz w:val="21"/>
                                        <w:u w:val="none"/>
                                        <w:effect w:val="none"/>
                                      </w:rPr>
                                      <w:t>70</w:t>
                                    </w:r>
                                  </w:hyperlink>
                                  <w:r>
                                    <w:rPr>
                                      <w:rFonts w:ascii="Arial" w:hAnsi="Arial"/>
                                      <w:color w:val="000000"/>
                                      <w:sz w:val="21"/>
                                    </w:rPr>
                                    <w:t xml:space="preserve"> </w:t>
                                  </w:r>
                                </w:p>
                              </w:tc>
                            </w:tr>
                          </w:tbl>
                          <w:tbl>
                            <w:tblPr>
                              <w:tblW w:w="3160" w:type="dxa"/>
                              <w:jc w:val="left"/>
                              <w:tblInd w:w="0" w:type="dxa"/>
                              <w:tblCellMar>
                                <w:top w:w="0" w:type="dxa"/>
                                <w:left w:w="0" w:type="dxa"/>
                                <w:bottom w:w="0" w:type="dxa"/>
                                <w:right w:w="0" w:type="dxa"/>
                              </w:tblCellMar>
                            </w:tblPr>
                            <w:tblGrid>
                              <w:gridCol w:w="2825"/>
                              <w:gridCol w:w="335"/>
                            </w:tblGrid>
                            <w:tr>
                              <w:trPr/>
                              <w:tc>
                                <w:tcPr>
                                  <w:tcW w:w="2825" w:type="dxa"/>
                                  <w:tcBorders/>
                                  <w:shd w:fill="auto" w:val="clear"/>
                                  <w:vAlign w:val="center"/>
                                </w:tcPr>
                                <w:p>
                                  <w:pPr>
                                    <w:pStyle w:val="TableContents"/>
                                    <w:pBdr/>
                                    <w:spacing w:before="0" w:after="60"/>
                                    <w:ind w:left="0" w:right="105" w:hanging="0"/>
                                    <w:rPr/>
                                  </w:pPr>
                                  <w:hyperlink w:anchor="new_id-125">
                                    <w:r>
                                      <w:rPr>
                                        <w:rStyle w:val="InternetLink"/>
                                        <w:rFonts w:ascii="Arial" w:hAnsi="Arial"/>
                                        <w:b/>
                                        <w:strike w:val="false"/>
                                        <w:dstrike w:val="false"/>
                                        <w:color w:val="000000"/>
                                        <w:sz w:val="21"/>
                                        <w:u w:val="none"/>
                                        <w:effect w:val="none"/>
                                      </w:rPr>
                                      <w:t>Compensation Processes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5">
                                    <w:r>
                                      <w:rPr>
                                        <w:rStyle w:val="InternetLink"/>
                                        <w:rFonts w:ascii="Arial" w:hAnsi="Arial"/>
                                        <w:b/>
                                        <w:strike w:val="false"/>
                                        <w:dstrike w:val="false"/>
                                        <w:color w:val="000000"/>
                                        <w:sz w:val="21"/>
                                        <w:u w:val="none"/>
                                        <w:effect w:val="none"/>
                                      </w:rPr>
                                      <w:t>71</w:t>
                                    </w:r>
                                  </w:hyperlink>
                                  <w:r>
                                    <w:rPr>
                                      <w:rFonts w:ascii="Arial" w:hAnsi="Arial"/>
                                      <w:b/>
                                      <w:color w:val="000000"/>
                                      <w:sz w:val="21"/>
                                    </w:rPr>
                                    <w:t xml:space="preserve"> </w:t>
                                  </w:r>
                                </w:p>
                              </w:tc>
                            </w:tr>
                          </w:tbl>
                          <w:tbl>
                            <w:tblPr>
                              <w:tblW w:w="3010" w:type="dxa"/>
                              <w:jc w:val="left"/>
                              <w:tblInd w:w="0" w:type="dxa"/>
                              <w:tblCellMar>
                                <w:top w:w="0" w:type="dxa"/>
                                <w:left w:w="0" w:type="dxa"/>
                                <w:bottom w:w="0" w:type="dxa"/>
                                <w:right w:w="0" w:type="dxa"/>
                              </w:tblCellMar>
                            </w:tblPr>
                            <w:tblGrid>
                              <w:gridCol w:w="2675"/>
                              <w:gridCol w:w="335"/>
                            </w:tblGrid>
                            <w:tr>
                              <w:trPr/>
                              <w:tc>
                                <w:tcPr>
                                  <w:tcW w:w="2675" w:type="dxa"/>
                                  <w:tcBorders/>
                                  <w:shd w:fill="auto" w:val="clear"/>
                                  <w:vAlign w:val="center"/>
                                </w:tcPr>
                                <w:p>
                                  <w:pPr>
                                    <w:pStyle w:val="TableContents"/>
                                    <w:pBdr/>
                                    <w:spacing w:before="0" w:after="60"/>
                                    <w:ind w:left="300" w:right="105" w:hanging="0"/>
                                    <w:rPr/>
                                  </w:pPr>
                                  <w:hyperlink w:anchor="new_id-126">
                                    <w:r>
                                      <w:rPr>
                                        <w:rStyle w:val="InternetLink"/>
                                        <w:rFonts w:ascii="Arial" w:hAnsi="Arial"/>
                                        <w:strike w:val="false"/>
                                        <w:dstrike w:val="false"/>
                                        <w:color w:val="000000"/>
                                        <w:sz w:val="21"/>
                                        <w:u w:val="none"/>
                                        <w:effect w:val="none"/>
                                      </w:rPr>
                                      <w:t>Compensation Committee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6">
                                    <w:r>
                                      <w:rPr>
                                        <w:rStyle w:val="InternetLink"/>
                                        <w:rFonts w:ascii="Arial" w:hAnsi="Arial"/>
                                        <w:strike w:val="false"/>
                                        <w:dstrike w:val="false"/>
                                        <w:color w:val="000000"/>
                                        <w:sz w:val="21"/>
                                        <w:u w:val="none"/>
                                        <w:effect w:val="none"/>
                                      </w:rPr>
                                      <w:t>71</w:t>
                                    </w:r>
                                  </w:hyperlink>
                                  <w:r>
                                    <w:rPr>
                                      <w:rFonts w:ascii="Arial" w:hAnsi="Arial"/>
                                      <w:color w:val="000000"/>
                                      <w:sz w:val="21"/>
                                    </w:rPr>
                                    <w:t xml:space="preserve"> </w:t>
                                  </w:r>
                                </w:p>
                              </w:tc>
                            </w:tr>
                          </w:tbl>
                          <w:tbl>
                            <w:tblPr>
                              <w:tblW w:w="1795" w:type="dxa"/>
                              <w:jc w:val="left"/>
                              <w:tblInd w:w="0" w:type="dxa"/>
                              <w:tblCellMar>
                                <w:top w:w="0" w:type="dxa"/>
                                <w:left w:w="0" w:type="dxa"/>
                                <w:bottom w:w="0" w:type="dxa"/>
                                <w:right w:w="0" w:type="dxa"/>
                              </w:tblCellMar>
                            </w:tblPr>
                            <w:tblGrid>
                              <w:gridCol w:w="1460"/>
                              <w:gridCol w:w="335"/>
                            </w:tblGrid>
                            <w:tr>
                              <w:trPr/>
                              <w:tc>
                                <w:tcPr>
                                  <w:tcW w:w="1460" w:type="dxa"/>
                                  <w:tcBorders/>
                                  <w:shd w:fill="auto" w:val="clear"/>
                                  <w:vAlign w:val="center"/>
                                </w:tcPr>
                                <w:p>
                                  <w:pPr>
                                    <w:pStyle w:val="TableContents"/>
                                    <w:pBdr/>
                                    <w:spacing w:before="0" w:after="60"/>
                                    <w:ind w:left="300" w:right="105" w:hanging="0"/>
                                    <w:rPr/>
                                  </w:pPr>
                                  <w:hyperlink w:anchor="new_id-127">
                                    <w:r>
                                      <w:rPr>
                                        <w:rStyle w:val="InternetLink"/>
                                        <w:rFonts w:ascii="Arial" w:hAnsi="Arial"/>
                                        <w:strike w:val="false"/>
                                        <w:dstrike w:val="false"/>
                                        <w:color w:val="000000"/>
                                        <w:sz w:val="21"/>
                                        <w:u w:val="none"/>
                                        <w:effect w:val="none"/>
                                      </w:rPr>
                                      <w:t>Management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7">
                                    <w:r>
                                      <w:rPr>
                                        <w:rStyle w:val="InternetLink"/>
                                        <w:rFonts w:ascii="Arial" w:hAnsi="Arial"/>
                                        <w:strike w:val="false"/>
                                        <w:dstrike w:val="false"/>
                                        <w:color w:val="000000"/>
                                        <w:sz w:val="21"/>
                                        <w:u w:val="none"/>
                                        <w:effect w:val="none"/>
                                      </w:rPr>
                                      <w:t>71</w:t>
                                    </w:r>
                                  </w:hyperlink>
                                  <w:r>
                                    <w:rPr>
                                      <w:rFonts w:ascii="Arial" w:hAnsi="Arial"/>
                                      <w:color w:val="000000"/>
                                      <w:sz w:val="21"/>
                                    </w:rPr>
                                    <w:t xml:space="preserve"> </w:t>
                                  </w:r>
                                </w:p>
                              </w:tc>
                            </w:tr>
                          </w:tbl>
                          <w:tbl>
                            <w:tblPr>
                              <w:tblW w:w="7255" w:type="dxa"/>
                              <w:jc w:val="left"/>
                              <w:tblInd w:w="0" w:type="dxa"/>
                              <w:tblCellMar>
                                <w:top w:w="0" w:type="dxa"/>
                                <w:left w:w="0" w:type="dxa"/>
                                <w:bottom w:w="0" w:type="dxa"/>
                                <w:right w:w="0" w:type="dxa"/>
                              </w:tblCellMar>
                            </w:tblPr>
                            <w:tblGrid>
                              <w:gridCol w:w="6920"/>
                              <w:gridCol w:w="335"/>
                            </w:tblGrid>
                            <w:tr>
                              <w:trPr/>
                              <w:tc>
                                <w:tcPr>
                                  <w:tcW w:w="6920" w:type="dxa"/>
                                  <w:tcBorders/>
                                  <w:shd w:fill="auto" w:val="clear"/>
                                  <w:vAlign w:val="center"/>
                                </w:tcPr>
                                <w:p>
                                  <w:pPr>
                                    <w:pStyle w:val="TableContents"/>
                                    <w:pBdr/>
                                    <w:spacing w:before="0" w:after="60"/>
                                    <w:ind w:left="300" w:right="105" w:hanging="0"/>
                                    <w:rPr/>
                                  </w:pPr>
                                  <w:hyperlink w:anchor="new_id-128">
                                    <w:r>
                                      <w:rPr>
                                        <w:rStyle w:val="InternetLink"/>
                                        <w:rFonts w:ascii="Arial" w:hAnsi="Arial"/>
                                        <w:strike w:val="false"/>
                                        <w:dstrike w:val="false"/>
                                        <w:color w:val="000000"/>
                                        <w:sz w:val="21"/>
                                        <w:u w:val="none"/>
                                        <w:effect w:val="none"/>
                                      </w:rPr>
                                      <w:t>Shareholder Input and Outreach and the 2022 Say-on-Pay Vote Result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8">
                                    <w:r>
                                      <w:rPr>
                                        <w:rStyle w:val="InternetLink"/>
                                        <w:rFonts w:ascii="Arial" w:hAnsi="Arial"/>
                                        <w:strike w:val="false"/>
                                        <w:dstrike w:val="false"/>
                                        <w:color w:val="000000"/>
                                        <w:sz w:val="21"/>
                                        <w:u w:val="none"/>
                                        <w:effect w:val="none"/>
                                      </w:rPr>
                                      <w:t>72</w:t>
                                    </w:r>
                                  </w:hyperlink>
                                  <w:r>
                                    <w:rPr>
                                      <w:rFonts w:ascii="Arial" w:hAnsi="Arial"/>
                                      <w:color w:val="000000"/>
                                      <w:sz w:val="21"/>
                                    </w:rPr>
                                    <w:t xml:space="preserve"> </w:t>
                                  </w:r>
                                </w:p>
                              </w:tc>
                            </w:tr>
                          </w:tbl>
                          <w:tbl>
                            <w:tblPr>
                              <w:tblW w:w="4255" w:type="dxa"/>
                              <w:jc w:val="left"/>
                              <w:tblInd w:w="0" w:type="dxa"/>
                              <w:tblCellMar>
                                <w:top w:w="0" w:type="dxa"/>
                                <w:left w:w="0" w:type="dxa"/>
                                <w:bottom w:w="0" w:type="dxa"/>
                                <w:right w:w="0" w:type="dxa"/>
                              </w:tblCellMar>
                            </w:tblPr>
                            <w:tblGrid>
                              <w:gridCol w:w="3920"/>
                              <w:gridCol w:w="335"/>
                            </w:tblGrid>
                            <w:tr>
                              <w:trPr/>
                              <w:tc>
                                <w:tcPr>
                                  <w:tcW w:w="3920" w:type="dxa"/>
                                  <w:tcBorders/>
                                  <w:shd w:fill="auto" w:val="clear"/>
                                  <w:vAlign w:val="center"/>
                                </w:tcPr>
                                <w:p>
                                  <w:pPr>
                                    <w:pStyle w:val="TableContents"/>
                                    <w:pBdr/>
                                    <w:spacing w:before="0" w:after="60"/>
                                    <w:ind w:left="300" w:right="105" w:hanging="0"/>
                                    <w:rPr/>
                                  </w:pPr>
                                  <w:hyperlink w:anchor="new_id-130">
                                    <w:r>
                                      <w:rPr>
                                        <w:rStyle w:val="InternetLink"/>
                                        <w:rFonts w:ascii="Arial" w:hAnsi="Arial"/>
                                        <w:strike w:val="false"/>
                                        <w:dstrike w:val="false"/>
                                        <w:color w:val="000000"/>
                                        <w:sz w:val="21"/>
                                        <w:u w:val="none"/>
                                        <w:effect w:val="none"/>
                                      </w:rPr>
                                      <w:t>Independent Compensation Consultant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0">
                                    <w:r>
                                      <w:rPr>
                                        <w:rStyle w:val="InternetLink"/>
                                        <w:rFonts w:ascii="Arial" w:hAnsi="Arial"/>
                                        <w:strike w:val="false"/>
                                        <w:dstrike w:val="false"/>
                                        <w:color w:val="000000"/>
                                        <w:sz w:val="21"/>
                                        <w:u w:val="none"/>
                                        <w:effect w:val="none"/>
                                      </w:rPr>
                                      <w:t>74</w:t>
                                    </w:r>
                                  </w:hyperlink>
                                  <w:r>
                                    <w:rPr>
                                      <w:rFonts w:ascii="Arial" w:hAnsi="Arial"/>
                                      <w:color w:val="000000"/>
                                      <w:sz w:val="21"/>
                                    </w:rPr>
                                    <w:t xml:space="preserve"> </w:t>
                                  </w:r>
                                </w:p>
                              </w:tc>
                            </w:tr>
                          </w:tbl>
                          <w:tbl>
                            <w:tblPr>
                              <w:tblW w:w="1495" w:type="dxa"/>
                              <w:jc w:val="left"/>
                              <w:tblInd w:w="0" w:type="dxa"/>
                              <w:tblCellMar>
                                <w:top w:w="0" w:type="dxa"/>
                                <w:left w:w="0" w:type="dxa"/>
                                <w:bottom w:w="0" w:type="dxa"/>
                                <w:right w:w="0" w:type="dxa"/>
                              </w:tblCellMar>
                            </w:tblPr>
                            <w:tblGrid>
                              <w:gridCol w:w="1160"/>
                              <w:gridCol w:w="335"/>
                            </w:tblGrid>
                            <w:tr>
                              <w:trPr/>
                              <w:tc>
                                <w:tcPr>
                                  <w:tcW w:w="1160" w:type="dxa"/>
                                  <w:tcBorders/>
                                  <w:shd w:fill="auto" w:val="clear"/>
                                  <w:vAlign w:val="center"/>
                                </w:tcPr>
                                <w:p>
                                  <w:pPr>
                                    <w:pStyle w:val="TableContents"/>
                                    <w:pBdr/>
                                    <w:spacing w:before="0" w:after="60"/>
                                    <w:ind w:left="300" w:right="105" w:hanging="0"/>
                                    <w:rPr/>
                                  </w:pPr>
                                  <w:hyperlink w:anchor="new_id-131">
                                    <w:r>
                                      <w:rPr>
                                        <w:rStyle w:val="InternetLink"/>
                                        <w:rFonts w:ascii="Arial" w:hAnsi="Arial"/>
                                        <w:strike w:val="false"/>
                                        <w:dstrike w:val="false"/>
                                        <w:color w:val="000000"/>
                                        <w:sz w:val="21"/>
                                        <w:u w:val="none"/>
                                        <w:effect w:val="none"/>
                                      </w:rPr>
                                      <w:t>Peer Data</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1">
                                    <w:r>
                                      <w:rPr>
                                        <w:rStyle w:val="InternetLink"/>
                                        <w:rFonts w:ascii="Arial" w:hAnsi="Arial"/>
                                        <w:strike w:val="false"/>
                                        <w:dstrike w:val="false"/>
                                        <w:color w:val="000000"/>
                                        <w:sz w:val="21"/>
                                        <w:u w:val="none"/>
                                        <w:effect w:val="none"/>
                                      </w:rPr>
                                      <w:t>74</w:t>
                                    </w:r>
                                  </w:hyperlink>
                                  <w:r>
                                    <w:rPr>
                                      <w:rFonts w:ascii="Arial" w:hAnsi="Arial"/>
                                      <w:color w:val="000000"/>
                                      <w:sz w:val="21"/>
                                    </w:rPr>
                                    <w:t xml:space="preserve"> </w:t>
                                  </w:r>
                                </w:p>
                              </w:tc>
                            </w:tr>
                          </w:tbl>
                          <w:tbl>
                            <w:tblPr>
                              <w:tblW w:w="2155" w:type="dxa"/>
                              <w:jc w:val="left"/>
                              <w:tblInd w:w="0" w:type="dxa"/>
                              <w:tblCellMar>
                                <w:top w:w="0" w:type="dxa"/>
                                <w:left w:w="0" w:type="dxa"/>
                                <w:bottom w:w="0" w:type="dxa"/>
                                <w:right w:w="0" w:type="dxa"/>
                              </w:tblCellMar>
                            </w:tblPr>
                            <w:tblGrid>
                              <w:gridCol w:w="1820"/>
                              <w:gridCol w:w="335"/>
                            </w:tblGrid>
                            <w:tr>
                              <w:trPr/>
                              <w:tc>
                                <w:tcPr>
                                  <w:tcW w:w="1820" w:type="dxa"/>
                                  <w:tcBorders/>
                                  <w:shd w:fill="auto" w:val="clear"/>
                                  <w:vAlign w:val="center"/>
                                </w:tcPr>
                                <w:p>
                                  <w:pPr>
                                    <w:pStyle w:val="TableContents"/>
                                    <w:pBdr/>
                                    <w:spacing w:before="0" w:after="60"/>
                                    <w:ind w:left="300" w:right="105" w:hanging="0"/>
                                    <w:rPr/>
                                  </w:pPr>
                                  <w:hyperlink w:anchor="new_id-133">
                                    <w:r>
                                      <w:rPr>
                                        <w:rStyle w:val="InternetLink"/>
                                        <w:rFonts w:ascii="Arial" w:hAnsi="Arial"/>
                                        <w:strike w:val="false"/>
                                        <w:dstrike w:val="false"/>
                                        <w:color w:val="000000"/>
                                        <w:sz w:val="21"/>
                                        <w:u w:val="none"/>
                                        <w:effect w:val="none"/>
                                      </w:rPr>
                                      <w:t>Risk Assessment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3">
                                    <w:r>
                                      <w:rPr>
                                        <w:rStyle w:val="InternetLink"/>
                                        <w:rFonts w:ascii="Arial" w:hAnsi="Arial"/>
                                        <w:strike w:val="false"/>
                                        <w:dstrike w:val="false"/>
                                        <w:color w:val="000000"/>
                                        <w:sz w:val="21"/>
                                        <w:u w:val="none"/>
                                        <w:effect w:val="none"/>
                                      </w:rPr>
                                      <w:t>76</w:t>
                                    </w:r>
                                  </w:hyperlink>
                                  <w:r>
                                    <w:rPr>
                                      <w:rFonts w:ascii="Arial" w:hAnsi="Arial"/>
                                      <w:color w:val="000000"/>
                                      <w:sz w:val="21"/>
                                    </w:rPr>
                                    <w:t xml:space="preserve"> </w:t>
                                  </w:r>
                                </w:p>
                              </w:tc>
                            </w:tr>
                          </w:tbl>
                          <w:tbl>
                            <w:tblPr>
                              <w:tblW w:w="2080" w:type="dxa"/>
                              <w:jc w:val="left"/>
                              <w:tblInd w:w="0" w:type="dxa"/>
                              <w:tblCellMar>
                                <w:top w:w="0" w:type="dxa"/>
                                <w:left w:w="0" w:type="dxa"/>
                                <w:bottom w:w="0" w:type="dxa"/>
                                <w:right w:w="0" w:type="dxa"/>
                              </w:tblCellMar>
                            </w:tblPr>
                            <w:tblGrid>
                              <w:gridCol w:w="1745"/>
                              <w:gridCol w:w="335"/>
                            </w:tblGrid>
                            <w:tr>
                              <w:trPr/>
                              <w:tc>
                                <w:tcPr>
                                  <w:tcW w:w="1745" w:type="dxa"/>
                                  <w:tcBorders/>
                                  <w:shd w:fill="auto" w:val="clear"/>
                                  <w:vAlign w:val="center"/>
                                </w:tcPr>
                                <w:p>
                                  <w:pPr>
                                    <w:pStyle w:val="TableContents"/>
                                    <w:pBdr/>
                                    <w:spacing w:before="0" w:after="60"/>
                                    <w:ind w:left="300" w:right="105" w:hanging="0"/>
                                    <w:rPr/>
                                  </w:pPr>
                                  <w:hyperlink w:anchor="new_id-134">
                                    <w:r>
                                      <w:rPr>
                                        <w:rStyle w:val="InternetLink"/>
                                        <w:rFonts w:ascii="Arial" w:hAnsi="Arial"/>
                                        <w:strike w:val="false"/>
                                        <w:dstrike w:val="false"/>
                                        <w:color w:val="000000"/>
                                        <w:sz w:val="21"/>
                                        <w:u w:val="none"/>
                                        <w:effect w:val="none"/>
                                      </w:rPr>
                                      <w:t>Tax Implications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4">
                                    <w:r>
                                      <w:rPr>
                                        <w:rStyle w:val="InternetLink"/>
                                        <w:rFonts w:ascii="Arial" w:hAnsi="Arial"/>
                                        <w:strike w:val="false"/>
                                        <w:dstrike w:val="false"/>
                                        <w:color w:val="000000"/>
                                        <w:sz w:val="21"/>
                                        <w:u w:val="none"/>
                                        <w:effect w:val="none"/>
                                      </w:rPr>
                                      <w:t>76</w:t>
                                    </w:r>
                                  </w:hyperlink>
                                  <w:r>
                                    <w:rPr>
                                      <w:rFonts w:ascii="Arial" w:hAnsi="Arial"/>
                                      <w:color w:val="000000"/>
                                      <w:sz w:val="21"/>
                                    </w:rPr>
                                    <w:t xml:space="preserve"> </w:t>
                                  </w:r>
                                </w:p>
                              </w:tc>
                            </w:tr>
                          </w:tbl>
                          <w:tbl>
                            <w:tblPr>
                              <w:tblW w:w="5320" w:type="dxa"/>
                              <w:jc w:val="left"/>
                              <w:tblInd w:w="0" w:type="dxa"/>
                              <w:tblCellMar>
                                <w:top w:w="0" w:type="dxa"/>
                                <w:left w:w="0" w:type="dxa"/>
                                <w:bottom w:w="0" w:type="dxa"/>
                                <w:right w:w="0" w:type="dxa"/>
                              </w:tblCellMar>
                            </w:tblPr>
                            <w:tblGrid>
                              <w:gridCol w:w="4940"/>
                              <w:gridCol w:w="380"/>
                            </w:tblGrid>
                            <w:tr>
                              <w:trPr/>
                              <w:tc>
                                <w:tcPr>
                                  <w:tcW w:w="4940" w:type="dxa"/>
                                  <w:tcBorders/>
                                  <w:shd w:fill="auto" w:val="clear"/>
                                  <w:vAlign w:val="center"/>
                                </w:tcPr>
                                <w:p>
                                  <w:pPr>
                                    <w:pStyle w:val="TableContents"/>
                                    <w:pBdr/>
                                    <w:spacing w:before="0" w:after="15"/>
                                    <w:ind w:left="0" w:right="105" w:hanging="0"/>
                                    <w:rPr/>
                                  </w:pPr>
                                  <w:hyperlink w:anchor="new_id-135">
                                    <w:r>
                                      <w:rPr>
                                        <w:rStyle w:val="InternetLink"/>
                                        <w:rFonts w:ascii="Arial" w:hAnsi="Arial"/>
                                        <w:b/>
                                        <w:strike w:val="false"/>
                                        <w:dstrike w:val="false"/>
                                        <w:color w:val="245BA7"/>
                                        <w:sz w:val="26"/>
                                        <w:u w:val="none"/>
                                        <w:effect w:val="none"/>
                                      </w:rPr>
                                      <w:t>COMPENSATION COMMITTEE REPORT</w:t>
                                    </w:r>
                                  </w:hyperlink>
                                  <w:r>
                                    <w:rPr>
                                      <w:rFonts w:ascii="Arial" w:hAnsi="Arial"/>
                                      <w:b/>
                                      <w:color w:val="245BA7"/>
                                      <w:sz w:val="26"/>
                                    </w:rPr>
                                    <w:t xml:space="preserve"> </w:t>
                                  </w:r>
                                </w:p>
                              </w:tc>
                              <w:tc>
                                <w:tcPr>
                                  <w:tcW w:w="380" w:type="dxa"/>
                                  <w:tcBorders/>
                                  <w:shd w:fill="auto" w:val="clear"/>
                                  <w:vAlign w:val="center"/>
                                </w:tcPr>
                                <w:p>
                                  <w:pPr>
                                    <w:pStyle w:val="TableContents"/>
                                    <w:pBdr/>
                                    <w:spacing w:before="0" w:after="15"/>
                                    <w:ind w:left="0" w:right="0" w:hanging="0"/>
                                    <w:jc w:val="right"/>
                                    <w:rPr/>
                                  </w:pPr>
                                  <w:hyperlink w:anchor="new_id-135">
                                    <w:r>
                                      <w:rPr>
                                        <w:rStyle w:val="InternetLink"/>
                                        <w:rFonts w:ascii="Arial" w:hAnsi="Arial"/>
                                        <w:b/>
                                        <w:strike w:val="false"/>
                                        <w:dstrike w:val="false"/>
                                        <w:color w:val="245BA7"/>
                                        <w:sz w:val="26"/>
                                        <w:u w:val="none"/>
                                        <w:effect w:val="none"/>
                                      </w:rPr>
                                      <w:t>78</w:t>
                                    </w:r>
                                  </w:hyperlink>
                                  <w:r>
                                    <w:rPr>
                                      <w:rFonts w:ascii="Arial" w:hAnsi="Arial"/>
                                      <w:b/>
                                      <w:color w:val="245BA7"/>
                                      <w:sz w:val="26"/>
                                    </w:rPr>
                                    <w:t xml:space="preserve"> </w:t>
                                  </w:r>
                                </w:p>
                              </w:tc>
                            </w:tr>
                          </w:tbl>
                          <w:tbl>
                            <w:tblPr>
                              <w:tblW w:w="9640" w:type="dxa"/>
                              <w:jc w:val="left"/>
                              <w:tblInd w:w="0" w:type="dxa"/>
                              <w:tblCellMar>
                                <w:top w:w="0" w:type="dxa"/>
                                <w:left w:w="0" w:type="dxa"/>
                                <w:bottom w:w="0" w:type="dxa"/>
                                <w:right w:w="0" w:type="dxa"/>
                              </w:tblCellMar>
                            </w:tblPr>
                            <w:tblGrid>
                              <w:gridCol w:w="9260"/>
                              <w:gridCol w:w="380"/>
                            </w:tblGrid>
                            <w:tr>
                              <w:trPr/>
                              <w:tc>
                                <w:tcPr>
                                  <w:tcW w:w="9260" w:type="dxa"/>
                                  <w:tcBorders/>
                                  <w:shd w:fill="auto" w:val="clear"/>
                                  <w:vAlign w:val="center"/>
                                </w:tcPr>
                                <w:p>
                                  <w:pPr>
                                    <w:pStyle w:val="TableContents"/>
                                    <w:pBdr/>
                                    <w:spacing w:before="0" w:after="15"/>
                                    <w:ind w:left="0" w:right="105" w:hanging="0"/>
                                    <w:rPr/>
                                  </w:pPr>
                                  <w:hyperlink w:anchor="new_id-137">
                                    <w:r>
                                      <w:rPr>
                                        <w:rStyle w:val="InternetLink"/>
                                        <w:rFonts w:ascii="Arial" w:hAnsi="Arial"/>
                                        <w:b/>
                                        <w:strike w:val="false"/>
                                        <w:dstrike w:val="false"/>
                                        <w:color w:val="245BA7"/>
                                        <w:sz w:val="26"/>
                                        <w:u w:val="none"/>
                                        <w:effect w:val="none"/>
                                      </w:rPr>
                                      <w:t>COMPENSATION COMMITTEE INTERLOCKS AND INSIDER PARTICIPATION</w:t>
                                    </w:r>
                                  </w:hyperlink>
                                  <w:r>
                                    <w:rPr>
                                      <w:rFonts w:ascii="Arial" w:hAnsi="Arial"/>
                                      <w:b/>
                                      <w:color w:val="245BA7"/>
                                      <w:sz w:val="26"/>
                                    </w:rPr>
                                    <w:t xml:space="preserve"> </w:t>
                                  </w:r>
                                </w:p>
                              </w:tc>
                              <w:tc>
                                <w:tcPr>
                                  <w:tcW w:w="380" w:type="dxa"/>
                                  <w:tcBorders/>
                                  <w:shd w:fill="auto" w:val="clear"/>
                                  <w:vAlign w:val="center"/>
                                </w:tcPr>
                                <w:p>
                                  <w:pPr>
                                    <w:pStyle w:val="TableContents"/>
                                    <w:pBdr/>
                                    <w:spacing w:before="0" w:after="15"/>
                                    <w:ind w:left="0" w:right="0" w:hanging="0"/>
                                    <w:jc w:val="right"/>
                                    <w:rPr/>
                                  </w:pPr>
                                  <w:hyperlink w:anchor="new_id-137">
                                    <w:r>
                                      <w:rPr>
                                        <w:rStyle w:val="InternetLink"/>
                                        <w:rFonts w:ascii="Arial" w:hAnsi="Arial"/>
                                        <w:b/>
                                        <w:strike w:val="false"/>
                                        <w:dstrike w:val="false"/>
                                        <w:color w:val="245BA7"/>
                                        <w:sz w:val="26"/>
                                        <w:u w:val="none"/>
                                        <w:effect w:val="none"/>
                                      </w:rPr>
                                      <w:t>78</w:t>
                                    </w:r>
                                  </w:hyperlink>
                                  <w:r>
                                    <w:rPr>
                                      <w:rFonts w:ascii="Arial" w:hAnsi="Arial"/>
                                      <w:b/>
                                      <w:color w:val="245BA7"/>
                                      <w:sz w:val="26"/>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67.25pt;mso-wrap-distance-left:0pt;mso-wrap-distance-right:0pt;mso-wrap-distance-top:0pt;mso-wrap-distance-bottom:0pt;margin-top:0pt;mso-position-vertical:top;mso-position-vertical-relative:text;margin-left:0pt;mso-position-horizontal:left;mso-position-horizontal-relative:text">
                <v:textbox>
                  <w:txbxContent>
                    <w:tbl>
                      <w:tblPr>
                        <w:tblW w:w="2515" w:type="dxa"/>
                        <w:jc w:val="left"/>
                        <w:tblInd w:w="0" w:type="dxa"/>
                        <w:tblCellMar>
                          <w:top w:w="0" w:type="dxa"/>
                          <w:left w:w="0" w:type="dxa"/>
                          <w:bottom w:w="0" w:type="dxa"/>
                          <w:right w:w="0" w:type="dxa"/>
                        </w:tblCellMar>
                      </w:tblPr>
                      <w:tblGrid>
                        <w:gridCol w:w="2135"/>
                        <w:gridCol w:w="380"/>
                      </w:tblGrid>
                      <w:tr>
                        <w:trPr/>
                        <w:tc>
                          <w:tcPr>
                            <w:tcW w:w="2135" w:type="dxa"/>
                            <w:tcBorders/>
                            <w:shd w:fill="auto" w:val="clear"/>
                            <w:vAlign w:val="center"/>
                          </w:tcPr>
                          <w:p>
                            <w:pPr>
                              <w:pStyle w:val="TableContents"/>
                              <w:pBdr/>
                              <w:spacing w:before="0" w:after="15"/>
                              <w:ind w:left="0" w:right="105" w:hanging="0"/>
                              <w:rPr/>
                            </w:pPr>
                            <w:hyperlink w:anchor="new_id-93">
                              <w:r>
                                <w:rPr>
                                  <w:rStyle w:val="InternetLink"/>
                                  <w:rFonts w:ascii="Arial" w:hAnsi="Arial"/>
                                  <w:b/>
                                  <w:i w:val="false"/>
                                  <w:caps w:val="false"/>
                                  <w:smallCaps w:val="false"/>
                                  <w:strike w:val="false"/>
                                  <w:dstrike w:val="false"/>
                                  <w:color w:val="245BA7"/>
                                  <w:sz w:val="26"/>
                                  <w:u w:val="none"/>
                                  <w:effect w:val="none"/>
                                </w:rPr>
                                <w:t>INTRODUCTION</w:t>
                              </w:r>
                            </w:hyperlink>
                            <w:r>
                              <w:rPr>
                                <w:rFonts w:ascii="Arial" w:hAnsi="Arial"/>
                                <w:b/>
                                <w:color w:val="245BA7"/>
                                <w:sz w:val="26"/>
                              </w:rPr>
                              <w:t xml:space="preserve"> </w:t>
                            </w:r>
                          </w:p>
                        </w:tc>
                        <w:tc>
                          <w:tcPr>
                            <w:tcW w:w="380" w:type="dxa"/>
                            <w:tcBorders/>
                            <w:shd w:fill="auto" w:val="clear"/>
                            <w:vAlign w:val="center"/>
                          </w:tcPr>
                          <w:p>
                            <w:pPr>
                              <w:pStyle w:val="TableContents"/>
                              <w:pBdr/>
                              <w:spacing w:before="0" w:after="15"/>
                              <w:ind w:left="0" w:right="0" w:hanging="0"/>
                              <w:jc w:val="right"/>
                              <w:rPr/>
                            </w:pPr>
                            <w:hyperlink w:anchor="new_id-93">
                              <w:r>
                                <w:rPr>
                                  <w:rStyle w:val="InternetLink"/>
                                  <w:rFonts w:ascii="Arial" w:hAnsi="Arial"/>
                                  <w:b/>
                                  <w:strike w:val="false"/>
                                  <w:dstrike w:val="false"/>
                                  <w:color w:val="245BA7"/>
                                  <w:sz w:val="26"/>
                                  <w:u w:val="none"/>
                                  <w:effect w:val="none"/>
                                </w:rPr>
                                <w:t>52</w:t>
                              </w:r>
                            </w:hyperlink>
                            <w:r>
                              <w:rPr>
                                <w:rFonts w:ascii="Arial" w:hAnsi="Arial"/>
                                <w:b/>
                                <w:color w:val="245BA7"/>
                                <w:sz w:val="26"/>
                              </w:rPr>
                              <w:t xml:space="preserve"> </w:t>
                            </w:r>
                          </w:p>
                        </w:tc>
                      </w:tr>
                    </w:tbl>
                    <w:tbl>
                      <w:tblPr>
                        <w:tblW w:w="6220" w:type="dxa"/>
                        <w:jc w:val="left"/>
                        <w:tblInd w:w="0" w:type="dxa"/>
                        <w:tblCellMar>
                          <w:top w:w="0" w:type="dxa"/>
                          <w:left w:w="0" w:type="dxa"/>
                          <w:bottom w:w="0" w:type="dxa"/>
                          <w:right w:w="0" w:type="dxa"/>
                        </w:tblCellMar>
                      </w:tblPr>
                      <w:tblGrid>
                        <w:gridCol w:w="5840"/>
                        <w:gridCol w:w="380"/>
                      </w:tblGrid>
                      <w:tr>
                        <w:trPr/>
                        <w:tc>
                          <w:tcPr>
                            <w:tcW w:w="5840" w:type="dxa"/>
                            <w:tcBorders/>
                            <w:shd w:fill="auto" w:val="clear"/>
                            <w:vAlign w:val="center"/>
                          </w:tcPr>
                          <w:p>
                            <w:pPr>
                              <w:pStyle w:val="TableContents"/>
                              <w:pBdr/>
                              <w:spacing w:before="0" w:after="15"/>
                              <w:ind w:left="0" w:right="105" w:hanging="0"/>
                              <w:rPr/>
                            </w:pPr>
                            <w:hyperlink w:anchor="new_id-94">
                              <w:r>
                                <w:rPr>
                                  <w:rStyle w:val="InternetLink"/>
                                  <w:rFonts w:ascii="Arial" w:hAnsi="Arial"/>
                                  <w:b/>
                                  <w:i w:val="false"/>
                                  <w:caps w:val="false"/>
                                  <w:smallCaps w:val="false"/>
                                  <w:strike w:val="false"/>
                                  <w:dstrike w:val="false"/>
                                  <w:color w:val="245BA7"/>
                                  <w:sz w:val="26"/>
                                  <w:u w:val="none"/>
                                  <w:effect w:val="none"/>
                                </w:rPr>
                                <w:t>COMPENSATION DISCUSSION AND ANALYSIS</w:t>
                              </w:r>
                            </w:hyperlink>
                            <w:r>
                              <w:rPr>
                                <w:rFonts w:ascii="Arial" w:hAnsi="Arial"/>
                                <w:b/>
                                <w:color w:val="245BA7"/>
                                <w:sz w:val="26"/>
                              </w:rPr>
                              <w:t xml:space="preserve"> </w:t>
                            </w:r>
                          </w:p>
                        </w:tc>
                        <w:tc>
                          <w:tcPr>
                            <w:tcW w:w="380" w:type="dxa"/>
                            <w:tcBorders/>
                            <w:shd w:fill="auto" w:val="clear"/>
                            <w:vAlign w:val="center"/>
                          </w:tcPr>
                          <w:p>
                            <w:pPr>
                              <w:pStyle w:val="TableContents"/>
                              <w:pBdr/>
                              <w:spacing w:before="0" w:after="15"/>
                              <w:ind w:left="0" w:right="0" w:hanging="0"/>
                              <w:jc w:val="right"/>
                              <w:rPr/>
                            </w:pPr>
                            <w:hyperlink w:anchor="new_id-94">
                              <w:r>
                                <w:rPr>
                                  <w:rStyle w:val="InternetLink"/>
                                  <w:rFonts w:ascii="Arial" w:hAnsi="Arial"/>
                                  <w:b/>
                                  <w:strike w:val="false"/>
                                  <w:dstrike w:val="false"/>
                                  <w:color w:val="245BA7"/>
                                  <w:sz w:val="26"/>
                                  <w:u w:val="none"/>
                                  <w:effect w:val="none"/>
                                </w:rPr>
                                <w:t>53</w:t>
                              </w:r>
                            </w:hyperlink>
                            <w:r>
                              <w:rPr>
                                <w:rFonts w:ascii="Arial" w:hAnsi="Arial"/>
                                <w:b/>
                                <w:color w:val="245BA7"/>
                                <w:sz w:val="26"/>
                              </w:rPr>
                              <w:t xml:space="preserve"> </w:t>
                            </w:r>
                          </w:p>
                        </w:tc>
                      </w:tr>
                    </w:tbl>
                    <w:tbl>
                      <w:tblPr>
                        <w:tblW w:w="2545" w:type="dxa"/>
                        <w:jc w:val="left"/>
                        <w:tblInd w:w="0" w:type="dxa"/>
                        <w:tblCellMar>
                          <w:top w:w="0" w:type="dxa"/>
                          <w:left w:w="0" w:type="dxa"/>
                          <w:bottom w:w="0" w:type="dxa"/>
                          <w:right w:w="0" w:type="dxa"/>
                        </w:tblCellMar>
                      </w:tblPr>
                      <w:tblGrid>
                        <w:gridCol w:w="2210"/>
                        <w:gridCol w:w="335"/>
                      </w:tblGrid>
                      <w:tr>
                        <w:trPr/>
                        <w:tc>
                          <w:tcPr>
                            <w:tcW w:w="2210" w:type="dxa"/>
                            <w:tcBorders/>
                            <w:shd w:fill="auto" w:val="clear"/>
                            <w:vAlign w:val="center"/>
                          </w:tcPr>
                          <w:p>
                            <w:pPr>
                              <w:pStyle w:val="TableContents"/>
                              <w:pBdr/>
                              <w:spacing w:before="0" w:after="60"/>
                              <w:ind w:left="0" w:right="105" w:hanging="0"/>
                              <w:rPr/>
                            </w:pPr>
                            <w:hyperlink w:anchor="new_id-95">
                              <w:r>
                                <w:rPr>
                                  <w:rStyle w:val="InternetLink"/>
                                  <w:rFonts w:ascii="Arial" w:hAnsi="Arial"/>
                                  <w:b/>
                                  <w:strike w:val="false"/>
                                  <w:dstrike w:val="false"/>
                                  <w:color w:val="000000"/>
                                  <w:sz w:val="21"/>
                                  <w:u w:val="none"/>
                                  <w:effect w:val="none"/>
                                </w:rPr>
                                <w:t>Executive Summary</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5">
                              <w:r>
                                <w:rPr>
                                  <w:rStyle w:val="InternetLink"/>
                                  <w:rFonts w:ascii="Arial" w:hAnsi="Arial"/>
                                  <w:b/>
                                  <w:strike w:val="false"/>
                                  <w:dstrike w:val="false"/>
                                  <w:color w:val="000000"/>
                                  <w:sz w:val="21"/>
                                  <w:u w:val="none"/>
                                  <w:effect w:val="none"/>
                                </w:rPr>
                                <w:t>54</w:t>
                              </w:r>
                            </w:hyperlink>
                            <w:r>
                              <w:rPr>
                                <w:rFonts w:ascii="Arial" w:hAnsi="Arial"/>
                                <w:b/>
                                <w:color w:val="000000"/>
                                <w:sz w:val="21"/>
                              </w:rPr>
                              <w:t xml:space="preserve"> </w:t>
                            </w:r>
                          </w:p>
                        </w:tc>
                      </w:tr>
                    </w:tbl>
                    <w:tbl>
                      <w:tblPr>
                        <w:tblW w:w="3955" w:type="dxa"/>
                        <w:jc w:val="left"/>
                        <w:tblInd w:w="0" w:type="dxa"/>
                        <w:tblCellMar>
                          <w:top w:w="0" w:type="dxa"/>
                          <w:left w:w="0" w:type="dxa"/>
                          <w:bottom w:w="0" w:type="dxa"/>
                          <w:right w:w="0" w:type="dxa"/>
                        </w:tblCellMar>
                      </w:tblPr>
                      <w:tblGrid>
                        <w:gridCol w:w="3620"/>
                        <w:gridCol w:w="335"/>
                      </w:tblGrid>
                      <w:tr>
                        <w:trPr/>
                        <w:tc>
                          <w:tcPr>
                            <w:tcW w:w="3620" w:type="dxa"/>
                            <w:tcBorders/>
                            <w:shd w:fill="auto" w:val="clear"/>
                            <w:vAlign w:val="center"/>
                          </w:tcPr>
                          <w:p>
                            <w:pPr>
                              <w:pStyle w:val="TableContents"/>
                              <w:pBdr/>
                              <w:spacing w:before="0" w:after="60"/>
                              <w:ind w:left="0" w:right="105" w:hanging="0"/>
                              <w:rPr/>
                            </w:pPr>
                            <w:hyperlink w:anchor="new_id-96">
                              <w:r>
                                <w:rPr>
                                  <w:rStyle w:val="InternetLink"/>
                                  <w:rFonts w:ascii="Arial" w:hAnsi="Arial"/>
                                  <w:b/>
                                  <w:strike w:val="false"/>
                                  <w:dstrike w:val="false"/>
                                  <w:color w:val="000000"/>
                                  <w:sz w:val="21"/>
                                  <w:u w:val="none"/>
                                  <w:effect w:val="none"/>
                                </w:rPr>
                                <w:t>Compensation Program Overview</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6">
                              <w:r>
                                <w:rPr>
                                  <w:rStyle w:val="InternetLink"/>
                                  <w:rFonts w:ascii="Arial" w:hAnsi="Arial"/>
                                  <w:b/>
                                  <w:strike w:val="false"/>
                                  <w:dstrike w:val="false"/>
                                  <w:color w:val="000000"/>
                                  <w:sz w:val="21"/>
                                  <w:u w:val="none"/>
                                  <w:effect w:val="none"/>
                                </w:rPr>
                                <w:t>55</w:t>
                              </w:r>
                            </w:hyperlink>
                            <w:r>
                              <w:rPr>
                                <w:rFonts w:ascii="Arial" w:hAnsi="Arial"/>
                                <w:b/>
                                <w:color w:val="000000"/>
                                <w:sz w:val="21"/>
                              </w:rPr>
                              <w:t xml:space="preserve"> </w:t>
                            </w:r>
                          </w:p>
                        </w:tc>
                      </w:tr>
                    </w:tbl>
                    <w:tbl>
                      <w:tblPr>
                        <w:tblW w:w="4600" w:type="dxa"/>
                        <w:jc w:val="left"/>
                        <w:tblInd w:w="0" w:type="dxa"/>
                        <w:tblCellMar>
                          <w:top w:w="0" w:type="dxa"/>
                          <w:left w:w="0" w:type="dxa"/>
                          <w:bottom w:w="0" w:type="dxa"/>
                          <w:right w:w="0" w:type="dxa"/>
                        </w:tblCellMar>
                      </w:tblPr>
                      <w:tblGrid>
                        <w:gridCol w:w="4265"/>
                        <w:gridCol w:w="335"/>
                      </w:tblGrid>
                      <w:tr>
                        <w:trPr/>
                        <w:tc>
                          <w:tcPr>
                            <w:tcW w:w="4265" w:type="dxa"/>
                            <w:tcBorders/>
                            <w:shd w:fill="auto" w:val="clear"/>
                            <w:vAlign w:val="center"/>
                          </w:tcPr>
                          <w:p>
                            <w:pPr>
                              <w:pStyle w:val="TableContents"/>
                              <w:pBdr/>
                              <w:spacing w:before="0" w:after="60"/>
                              <w:ind w:left="300" w:right="105" w:hanging="0"/>
                              <w:rPr/>
                            </w:pPr>
                            <w:hyperlink w:anchor="new_id-97">
                              <w:r>
                                <w:rPr>
                                  <w:rStyle w:val="InternetLink"/>
                                  <w:rFonts w:ascii="Arial" w:hAnsi="Arial"/>
                                  <w:strike w:val="false"/>
                                  <w:dstrike w:val="false"/>
                                  <w:color w:val="000000"/>
                                  <w:sz w:val="21"/>
                                  <w:u w:val="none"/>
                                  <w:effect w:val="none"/>
                                </w:rPr>
                                <w:t>Our Corporate Culture and Pay Philosophy</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7">
                              <w:r>
                                <w:rPr>
                                  <w:rStyle w:val="InternetLink"/>
                                  <w:rFonts w:ascii="Arial" w:hAnsi="Arial"/>
                                  <w:strike w:val="false"/>
                                  <w:dstrike w:val="false"/>
                                  <w:color w:val="000000"/>
                                  <w:sz w:val="21"/>
                                  <w:u w:val="none"/>
                                  <w:effect w:val="none"/>
                                </w:rPr>
                                <w:t>55</w:t>
                              </w:r>
                            </w:hyperlink>
                            <w:r>
                              <w:rPr>
                                <w:rFonts w:ascii="Arial" w:hAnsi="Arial"/>
                                <w:color w:val="000000"/>
                                <w:sz w:val="21"/>
                              </w:rPr>
                              <w:t xml:space="preserve"> </w:t>
                            </w:r>
                          </w:p>
                        </w:tc>
                      </w:tr>
                    </w:tbl>
                    <w:tbl>
                      <w:tblPr>
                        <w:tblW w:w="2920" w:type="dxa"/>
                        <w:jc w:val="left"/>
                        <w:tblInd w:w="0" w:type="dxa"/>
                        <w:tblCellMar>
                          <w:top w:w="0" w:type="dxa"/>
                          <w:left w:w="0" w:type="dxa"/>
                          <w:bottom w:w="0" w:type="dxa"/>
                          <w:right w:w="0" w:type="dxa"/>
                        </w:tblCellMar>
                      </w:tblPr>
                      <w:tblGrid>
                        <w:gridCol w:w="2585"/>
                        <w:gridCol w:w="335"/>
                      </w:tblGrid>
                      <w:tr>
                        <w:trPr/>
                        <w:tc>
                          <w:tcPr>
                            <w:tcW w:w="2585" w:type="dxa"/>
                            <w:tcBorders/>
                            <w:shd w:fill="auto" w:val="clear"/>
                            <w:vAlign w:val="center"/>
                          </w:tcPr>
                          <w:p>
                            <w:pPr>
                              <w:pStyle w:val="TableContents"/>
                              <w:pBdr/>
                              <w:spacing w:before="0" w:after="60"/>
                              <w:ind w:left="300" w:right="105" w:hanging="0"/>
                              <w:rPr/>
                            </w:pPr>
                            <w:hyperlink w:anchor="new_id-98">
                              <w:r>
                                <w:rPr>
                                  <w:rStyle w:val="InternetLink"/>
                                  <w:rFonts w:ascii="Arial" w:hAnsi="Arial"/>
                                  <w:strike w:val="false"/>
                                  <w:dstrike w:val="false"/>
                                  <w:color w:val="000000"/>
                                  <w:sz w:val="21"/>
                                  <w:u w:val="none"/>
                                  <w:effect w:val="none"/>
                                </w:rPr>
                                <w:t>2022 Business Highlights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98">
                              <w:r>
                                <w:rPr>
                                  <w:rStyle w:val="InternetLink"/>
                                  <w:rFonts w:ascii="Arial" w:hAnsi="Arial"/>
                                  <w:strike w:val="false"/>
                                  <w:dstrike w:val="false"/>
                                  <w:color w:val="000000"/>
                                  <w:sz w:val="21"/>
                                  <w:u w:val="none"/>
                                  <w:effect w:val="none"/>
                                </w:rPr>
                                <w:t>56</w:t>
                              </w:r>
                            </w:hyperlink>
                            <w:r>
                              <w:rPr>
                                <w:rFonts w:ascii="Arial" w:hAnsi="Arial"/>
                                <w:color w:val="000000"/>
                                <w:sz w:val="21"/>
                              </w:rPr>
                              <w:t xml:space="preserve"> </w:t>
                            </w:r>
                          </w:p>
                        </w:tc>
                      </w:tr>
                    </w:tbl>
                    <w:tbl>
                      <w:tblPr>
                        <w:tblW w:w="3445" w:type="dxa"/>
                        <w:jc w:val="left"/>
                        <w:tblInd w:w="0" w:type="dxa"/>
                        <w:tblCellMar>
                          <w:top w:w="0" w:type="dxa"/>
                          <w:left w:w="0" w:type="dxa"/>
                          <w:bottom w:w="0" w:type="dxa"/>
                          <w:right w:w="0" w:type="dxa"/>
                        </w:tblCellMar>
                      </w:tblPr>
                      <w:tblGrid>
                        <w:gridCol w:w="3110"/>
                        <w:gridCol w:w="335"/>
                      </w:tblGrid>
                      <w:tr>
                        <w:trPr/>
                        <w:tc>
                          <w:tcPr>
                            <w:tcW w:w="3110" w:type="dxa"/>
                            <w:tcBorders/>
                            <w:shd w:fill="auto" w:val="clear"/>
                            <w:vAlign w:val="center"/>
                          </w:tcPr>
                          <w:p>
                            <w:pPr>
                              <w:pStyle w:val="TableContents"/>
                              <w:pBdr/>
                              <w:spacing w:before="0" w:after="60"/>
                              <w:ind w:left="300" w:right="105" w:hanging="0"/>
                              <w:rPr/>
                            </w:pPr>
                            <w:hyperlink w:anchor="new_id-100">
                              <w:r>
                                <w:rPr>
                                  <w:rStyle w:val="InternetLink"/>
                                  <w:rFonts w:ascii="Arial" w:hAnsi="Arial"/>
                                  <w:strike w:val="false"/>
                                  <w:dstrike w:val="false"/>
                                  <w:color w:val="000000"/>
                                  <w:sz w:val="21"/>
                                  <w:u w:val="none"/>
                                  <w:effect w:val="none"/>
                                </w:rPr>
                                <w:t>2022 Compensation Highlights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0">
                              <w:r>
                                <w:rPr>
                                  <w:rStyle w:val="InternetLink"/>
                                  <w:rFonts w:ascii="Arial" w:hAnsi="Arial"/>
                                  <w:strike w:val="false"/>
                                  <w:dstrike w:val="false"/>
                                  <w:color w:val="000000"/>
                                  <w:sz w:val="21"/>
                                  <w:u w:val="none"/>
                                  <w:effect w:val="none"/>
                                </w:rPr>
                                <w:t>57</w:t>
                              </w:r>
                            </w:hyperlink>
                            <w:r>
                              <w:rPr>
                                <w:rFonts w:ascii="Arial" w:hAnsi="Arial"/>
                                <w:color w:val="000000"/>
                                <w:sz w:val="21"/>
                              </w:rPr>
                              <w:t xml:space="preserve"> </w:t>
                            </w:r>
                          </w:p>
                        </w:tc>
                      </w:tr>
                    </w:tbl>
                    <w:tbl>
                      <w:tblPr>
                        <w:tblW w:w="4405" w:type="dxa"/>
                        <w:jc w:val="left"/>
                        <w:tblInd w:w="0" w:type="dxa"/>
                        <w:tblCellMar>
                          <w:top w:w="0" w:type="dxa"/>
                          <w:left w:w="0" w:type="dxa"/>
                          <w:bottom w:w="0" w:type="dxa"/>
                          <w:right w:w="0" w:type="dxa"/>
                        </w:tblCellMar>
                      </w:tblPr>
                      <w:tblGrid>
                        <w:gridCol w:w="4070"/>
                        <w:gridCol w:w="335"/>
                      </w:tblGrid>
                      <w:tr>
                        <w:trPr/>
                        <w:tc>
                          <w:tcPr>
                            <w:tcW w:w="4070" w:type="dxa"/>
                            <w:tcBorders/>
                            <w:shd w:fill="auto" w:val="clear"/>
                            <w:vAlign w:val="center"/>
                          </w:tcPr>
                          <w:p>
                            <w:pPr>
                              <w:pStyle w:val="TableContents"/>
                              <w:pBdr/>
                              <w:spacing w:before="0" w:after="60"/>
                              <w:ind w:left="300" w:right="105" w:hanging="0"/>
                              <w:rPr/>
                            </w:pPr>
                            <w:hyperlink w:anchor="new_id-102">
                              <w:r>
                                <w:rPr>
                                  <w:rStyle w:val="InternetLink"/>
                                  <w:rFonts w:ascii="Arial" w:hAnsi="Arial"/>
                                  <w:strike w:val="false"/>
                                  <w:dstrike w:val="false"/>
                                  <w:color w:val="000000"/>
                                  <w:sz w:val="21"/>
                                  <w:u w:val="none"/>
                                  <w:effect w:val="none"/>
                                </w:rPr>
                                <w:t>Shareholder Engagement and Feedback</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2">
                              <w:r>
                                <w:rPr>
                                  <w:rStyle w:val="InternetLink"/>
                                  <w:rFonts w:ascii="Arial" w:hAnsi="Arial"/>
                                  <w:strike w:val="false"/>
                                  <w:dstrike w:val="false"/>
                                  <w:color w:val="000000"/>
                                  <w:sz w:val="21"/>
                                  <w:u w:val="none"/>
                                  <w:effect w:val="none"/>
                                </w:rPr>
                                <w:t>58</w:t>
                              </w:r>
                            </w:hyperlink>
                            <w:r>
                              <w:rPr>
                                <w:rFonts w:ascii="Arial" w:hAnsi="Arial"/>
                                <w:color w:val="000000"/>
                                <w:sz w:val="21"/>
                              </w:rPr>
                              <w:t xml:space="preserve"> </w:t>
                            </w:r>
                          </w:p>
                        </w:tc>
                      </w:tr>
                    </w:tbl>
                    <w:tbl>
                      <w:tblPr>
                        <w:tblW w:w="3340" w:type="dxa"/>
                        <w:jc w:val="left"/>
                        <w:tblInd w:w="0" w:type="dxa"/>
                        <w:tblCellMar>
                          <w:top w:w="0" w:type="dxa"/>
                          <w:left w:w="0" w:type="dxa"/>
                          <w:bottom w:w="0" w:type="dxa"/>
                          <w:right w:w="0" w:type="dxa"/>
                        </w:tblCellMar>
                      </w:tblPr>
                      <w:tblGrid>
                        <w:gridCol w:w="3005"/>
                        <w:gridCol w:w="335"/>
                      </w:tblGrid>
                      <w:tr>
                        <w:trPr/>
                        <w:tc>
                          <w:tcPr>
                            <w:tcW w:w="3005" w:type="dxa"/>
                            <w:tcBorders/>
                            <w:shd w:fill="auto" w:val="clear"/>
                            <w:vAlign w:val="center"/>
                          </w:tcPr>
                          <w:p>
                            <w:pPr>
                              <w:pStyle w:val="TableContents"/>
                              <w:pBdr/>
                              <w:spacing w:before="0" w:after="60"/>
                              <w:ind w:left="300" w:right="105" w:hanging="0"/>
                              <w:rPr/>
                            </w:pPr>
                            <w:hyperlink w:anchor="new_id-103">
                              <w:r>
                                <w:rPr>
                                  <w:rStyle w:val="InternetLink"/>
                                  <w:rFonts w:ascii="Arial" w:hAnsi="Arial"/>
                                  <w:strike w:val="false"/>
                                  <w:dstrike w:val="false"/>
                                  <w:color w:val="000000"/>
                                  <w:sz w:val="21"/>
                                  <w:u w:val="none"/>
                                  <w:effect w:val="none"/>
                                </w:rPr>
                                <w:t>How Our Pay Program Works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3">
                              <w:r>
                                <w:rPr>
                                  <w:rStyle w:val="InternetLink"/>
                                  <w:rFonts w:ascii="Arial" w:hAnsi="Arial"/>
                                  <w:strike w:val="false"/>
                                  <w:dstrike w:val="false"/>
                                  <w:color w:val="000000"/>
                                  <w:sz w:val="21"/>
                                  <w:u w:val="none"/>
                                  <w:effect w:val="none"/>
                                </w:rPr>
                                <w:t>59</w:t>
                              </w:r>
                            </w:hyperlink>
                            <w:r>
                              <w:rPr>
                                <w:rFonts w:ascii="Arial" w:hAnsi="Arial"/>
                                <w:color w:val="000000"/>
                                <w:sz w:val="21"/>
                              </w:rPr>
                              <w:t xml:space="preserve"> </w:t>
                            </w:r>
                          </w:p>
                        </w:tc>
                      </w:tr>
                    </w:tbl>
                    <w:tbl>
                      <w:tblPr>
                        <w:tblW w:w="3040" w:type="dxa"/>
                        <w:jc w:val="left"/>
                        <w:tblInd w:w="0" w:type="dxa"/>
                        <w:tblCellMar>
                          <w:top w:w="0" w:type="dxa"/>
                          <w:left w:w="0" w:type="dxa"/>
                          <w:bottom w:w="0" w:type="dxa"/>
                          <w:right w:w="0" w:type="dxa"/>
                        </w:tblCellMar>
                      </w:tblPr>
                      <w:tblGrid>
                        <w:gridCol w:w="2705"/>
                        <w:gridCol w:w="335"/>
                      </w:tblGrid>
                      <w:tr>
                        <w:trPr/>
                        <w:tc>
                          <w:tcPr>
                            <w:tcW w:w="2705" w:type="dxa"/>
                            <w:tcBorders/>
                            <w:shd w:fill="auto" w:val="clear"/>
                            <w:vAlign w:val="center"/>
                          </w:tcPr>
                          <w:p>
                            <w:pPr>
                              <w:pStyle w:val="TableContents"/>
                              <w:pBdr/>
                              <w:spacing w:before="0" w:after="60"/>
                              <w:ind w:left="300" w:right="105" w:hanging="0"/>
                              <w:rPr/>
                            </w:pPr>
                            <w:hyperlink w:anchor="new_id-104">
                              <w:r>
                                <w:rPr>
                                  <w:rStyle w:val="InternetLink"/>
                                  <w:rFonts w:ascii="Arial" w:hAnsi="Arial"/>
                                  <w:strike w:val="false"/>
                                  <w:dstrike w:val="false"/>
                                  <w:color w:val="000000"/>
                                  <w:sz w:val="21"/>
                                  <w:u w:val="none"/>
                                  <w:effect w:val="none"/>
                                </w:rPr>
                                <w:t>Key Governance Features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4">
                              <w:r>
                                <w:rPr>
                                  <w:rStyle w:val="InternetLink"/>
                                  <w:rFonts w:ascii="Arial" w:hAnsi="Arial"/>
                                  <w:strike w:val="false"/>
                                  <w:dstrike w:val="false"/>
                                  <w:color w:val="000000"/>
                                  <w:sz w:val="21"/>
                                  <w:u w:val="none"/>
                                  <w:effect w:val="none"/>
                                </w:rPr>
                                <w:t>60</w:t>
                              </w:r>
                            </w:hyperlink>
                            <w:r>
                              <w:rPr>
                                <w:rFonts w:ascii="Arial" w:hAnsi="Arial"/>
                                <w:color w:val="000000"/>
                                <w:sz w:val="21"/>
                              </w:rPr>
                              <w:t xml:space="preserve"> </w:t>
                            </w:r>
                          </w:p>
                        </w:tc>
                      </w:tr>
                    </w:tbl>
                    <w:tbl>
                      <w:tblPr>
                        <w:tblW w:w="4105" w:type="dxa"/>
                        <w:jc w:val="left"/>
                        <w:tblInd w:w="0" w:type="dxa"/>
                        <w:tblCellMar>
                          <w:top w:w="0" w:type="dxa"/>
                          <w:left w:w="0" w:type="dxa"/>
                          <w:bottom w:w="0" w:type="dxa"/>
                          <w:right w:w="0" w:type="dxa"/>
                        </w:tblCellMar>
                      </w:tblPr>
                      <w:tblGrid>
                        <w:gridCol w:w="3770"/>
                        <w:gridCol w:w="335"/>
                      </w:tblGrid>
                      <w:tr>
                        <w:trPr/>
                        <w:tc>
                          <w:tcPr>
                            <w:tcW w:w="3770" w:type="dxa"/>
                            <w:tcBorders/>
                            <w:shd w:fill="auto" w:val="clear"/>
                            <w:vAlign w:val="center"/>
                          </w:tcPr>
                          <w:p>
                            <w:pPr>
                              <w:pStyle w:val="TableContents"/>
                              <w:pBdr/>
                              <w:spacing w:before="0" w:after="60"/>
                              <w:ind w:left="0" w:right="105" w:hanging="0"/>
                              <w:rPr/>
                            </w:pPr>
                            <w:hyperlink w:anchor="new_id-107">
                              <w:r>
                                <w:rPr>
                                  <w:rStyle w:val="InternetLink"/>
                                  <w:rFonts w:ascii="Arial" w:hAnsi="Arial"/>
                                  <w:b/>
                                  <w:strike w:val="false"/>
                                  <w:dstrike w:val="false"/>
                                  <w:color w:val="000000"/>
                                  <w:sz w:val="21"/>
                                  <w:u w:val="none"/>
                                  <w:effect w:val="none"/>
                                </w:rPr>
                                <w:t>Compensation Program Objectives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7">
                              <w:r>
                                <w:rPr>
                                  <w:rStyle w:val="InternetLink"/>
                                  <w:rFonts w:ascii="Arial" w:hAnsi="Arial"/>
                                  <w:b/>
                                  <w:strike w:val="false"/>
                                  <w:dstrike w:val="false"/>
                                  <w:color w:val="000000"/>
                                  <w:sz w:val="21"/>
                                  <w:u w:val="none"/>
                                  <w:effect w:val="none"/>
                                </w:rPr>
                                <w:t>61</w:t>
                              </w:r>
                            </w:hyperlink>
                            <w:r>
                              <w:rPr>
                                <w:rFonts w:ascii="Arial" w:hAnsi="Arial"/>
                                <w:b/>
                                <w:color w:val="000000"/>
                                <w:sz w:val="21"/>
                              </w:rPr>
                              <w:t xml:space="preserve"> </w:t>
                            </w:r>
                          </w:p>
                        </w:tc>
                      </w:tr>
                    </w:tbl>
                    <w:tbl>
                      <w:tblPr>
                        <w:tblW w:w="3835" w:type="dxa"/>
                        <w:jc w:val="left"/>
                        <w:tblInd w:w="0" w:type="dxa"/>
                        <w:tblCellMar>
                          <w:top w:w="0" w:type="dxa"/>
                          <w:left w:w="0" w:type="dxa"/>
                          <w:bottom w:w="0" w:type="dxa"/>
                          <w:right w:w="0" w:type="dxa"/>
                        </w:tblCellMar>
                      </w:tblPr>
                      <w:tblGrid>
                        <w:gridCol w:w="3500"/>
                        <w:gridCol w:w="335"/>
                      </w:tblGrid>
                      <w:tr>
                        <w:trPr/>
                        <w:tc>
                          <w:tcPr>
                            <w:tcW w:w="3500" w:type="dxa"/>
                            <w:tcBorders/>
                            <w:shd w:fill="auto" w:val="clear"/>
                            <w:vAlign w:val="center"/>
                          </w:tcPr>
                          <w:p>
                            <w:pPr>
                              <w:pStyle w:val="TableContents"/>
                              <w:pBdr/>
                              <w:spacing w:before="0" w:after="60"/>
                              <w:ind w:left="0" w:right="105" w:hanging="0"/>
                              <w:rPr/>
                            </w:pPr>
                            <w:hyperlink w:anchor="new_id-108">
                              <w:r>
                                <w:rPr>
                                  <w:rStyle w:val="InternetLink"/>
                                  <w:rFonts w:ascii="Arial" w:hAnsi="Arial"/>
                                  <w:b/>
                                  <w:strike w:val="false"/>
                                  <w:dstrike w:val="false"/>
                                  <w:color w:val="000000"/>
                                  <w:sz w:val="21"/>
                                  <w:u w:val="none"/>
                                  <w:effect w:val="none"/>
                                </w:rPr>
                                <w:t>Components of Executive Pay:</w:t>
                                <w:br/>
                                <w:t>What We Pay and Why We Pay It</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08">
                              <w:r>
                                <w:rPr>
                                  <w:rStyle w:val="InternetLink"/>
                                  <w:rFonts w:ascii="Arial" w:hAnsi="Arial"/>
                                  <w:b/>
                                  <w:strike w:val="false"/>
                                  <w:dstrike w:val="false"/>
                                  <w:color w:val="000000"/>
                                  <w:sz w:val="21"/>
                                  <w:u w:val="none"/>
                                  <w:effect w:val="none"/>
                                </w:rPr>
                                <w:t>62</w:t>
                              </w:r>
                            </w:hyperlink>
                            <w:r>
                              <w:rPr>
                                <w:rFonts w:ascii="Arial" w:hAnsi="Arial"/>
                                <w:b/>
                                <w:color w:val="000000"/>
                                <w:sz w:val="21"/>
                              </w:rPr>
                              <w:t xml:space="preserve"> </w:t>
                            </w:r>
                          </w:p>
                        </w:tc>
                      </w:tr>
                    </w:tbl>
                    <w:tbl>
                      <w:tblPr>
                        <w:tblW w:w="1840" w:type="dxa"/>
                        <w:jc w:val="left"/>
                        <w:tblInd w:w="0" w:type="dxa"/>
                        <w:tblCellMar>
                          <w:top w:w="0" w:type="dxa"/>
                          <w:left w:w="0" w:type="dxa"/>
                          <w:bottom w:w="0" w:type="dxa"/>
                          <w:right w:w="0" w:type="dxa"/>
                        </w:tblCellMar>
                      </w:tblPr>
                      <w:tblGrid>
                        <w:gridCol w:w="1505"/>
                        <w:gridCol w:w="335"/>
                      </w:tblGrid>
                      <w:tr>
                        <w:trPr/>
                        <w:tc>
                          <w:tcPr>
                            <w:tcW w:w="1505" w:type="dxa"/>
                            <w:tcBorders/>
                            <w:shd w:fill="auto" w:val="clear"/>
                            <w:vAlign w:val="center"/>
                          </w:tcPr>
                          <w:p>
                            <w:pPr>
                              <w:pStyle w:val="TableContents"/>
                              <w:pBdr/>
                              <w:spacing w:before="0" w:after="60"/>
                              <w:ind w:left="300" w:right="105" w:hanging="0"/>
                              <w:rPr/>
                            </w:pPr>
                            <w:hyperlink w:anchor="new_id-111">
                              <w:r>
                                <w:rPr>
                                  <w:rStyle w:val="InternetLink"/>
                                  <w:rFonts w:ascii="Arial" w:hAnsi="Arial"/>
                                  <w:strike w:val="false"/>
                                  <w:dstrike w:val="false"/>
                                  <w:color w:val="000000"/>
                                  <w:sz w:val="21"/>
                                  <w:u w:val="none"/>
                                  <w:effect w:val="none"/>
                                </w:rPr>
                                <w:t>Base Salaries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11">
                              <w:r>
                                <w:rPr>
                                  <w:rStyle w:val="InternetLink"/>
                                  <w:rFonts w:ascii="Arial" w:hAnsi="Arial"/>
                                  <w:strike w:val="false"/>
                                  <w:dstrike w:val="false"/>
                                  <w:color w:val="000000"/>
                                  <w:sz w:val="21"/>
                                  <w:u w:val="none"/>
                                  <w:effect w:val="none"/>
                                </w:rPr>
                                <w:t>63</w:t>
                              </w:r>
                            </w:hyperlink>
                            <w:r>
                              <w:rPr>
                                <w:rFonts w:ascii="Arial" w:hAnsi="Arial"/>
                                <w:color w:val="000000"/>
                                <w:sz w:val="21"/>
                              </w:rPr>
                              <w:t xml:space="preserve"> </w:t>
                            </w:r>
                          </w:p>
                        </w:tc>
                      </w:tr>
                    </w:tbl>
                    <w:tbl>
                      <w:tblPr>
                        <w:tblW w:w="2770" w:type="dxa"/>
                        <w:jc w:val="left"/>
                        <w:tblInd w:w="0" w:type="dxa"/>
                        <w:tblCellMar>
                          <w:top w:w="0" w:type="dxa"/>
                          <w:left w:w="0" w:type="dxa"/>
                          <w:bottom w:w="0" w:type="dxa"/>
                          <w:right w:w="0" w:type="dxa"/>
                        </w:tblCellMar>
                      </w:tblPr>
                      <w:tblGrid>
                        <w:gridCol w:w="2435"/>
                        <w:gridCol w:w="335"/>
                      </w:tblGrid>
                      <w:tr>
                        <w:trPr/>
                        <w:tc>
                          <w:tcPr>
                            <w:tcW w:w="2435" w:type="dxa"/>
                            <w:tcBorders/>
                            <w:shd w:fill="auto" w:val="clear"/>
                            <w:vAlign w:val="center"/>
                          </w:tcPr>
                          <w:p>
                            <w:pPr>
                              <w:pStyle w:val="TableContents"/>
                              <w:pBdr/>
                              <w:spacing w:before="0" w:after="60"/>
                              <w:ind w:left="300" w:right="105" w:hanging="0"/>
                              <w:rPr/>
                            </w:pPr>
                            <w:hyperlink w:anchor="new_id-113">
                              <w:r>
                                <w:rPr>
                                  <w:rStyle w:val="InternetLink"/>
                                  <w:rFonts w:ascii="Arial" w:hAnsi="Arial"/>
                                  <w:strike w:val="false"/>
                                  <w:dstrike w:val="false"/>
                                  <w:color w:val="000000"/>
                                  <w:sz w:val="21"/>
                                  <w:u w:val="none"/>
                                  <w:effect w:val="none"/>
                                </w:rPr>
                                <w:t>Annual Cash Incentives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13">
                              <w:r>
                                <w:rPr>
                                  <w:rStyle w:val="InternetLink"/>
                                  <w:rFonts w:ascii="Arial" w:hAnsi="Arial"/>
                                  <w:strike w:val="false"/>
                                  <w:dstrike w:val="false"/>
                                  <w:color w:val="000000"/>
                                  <w:sz w:val="21"/>
                                  <w:u w:val="none"/>
                                  <w:effect w:val="none"/>
                                </w:rPr>
                                <w:t>63</w:t>
                              </w:r>
                            </w:hyperlink>
                            <w:r>
                              <w:rPr>
                                <w:rFonts w:ascii="Arial" w:hAnsi="Arial"/>
                                <w:color w:val="000000"/>
                                <w:sz w:val="21"/>
                              </w:rPr>
                              <w:t xml:space="preserve"> </w:t>
                            </w:r>
                          </w:p>
                        </w:tc>
                      </w:tr>
                    </w:tbl>
                    <w:tbl>
                      <w:tblPr>
                        <w:tblW w:w="2605" w:type="dxa"/>
                        <w:jc w:val="left"/>
                        <w:tblInd w:w="0" w:type="dxa"/>
                        <w:tblCellMar>
                          <w:top w:w="0" w:type="dxa"/>
                          <w:left w:w="0" w:type="dxa"/>
                          <w:bottom w:w="0" w:type="dxa"/>
                          <w:right w:w="0" w:type="dxa"/>
                        </w:tblCellMar>
                      </w:tblPr>
                      <w:tblGrid>
                        <w:gridCol w:w="2270"/>
                        <w:gridCol w:w="335"/>
                      </w:tblGrid>
                      <w:tr>
                        <w:trPr/>
                        <w:tc>
                          <w:tcPr>
                            <w:tcW w:w="2270" w:type="dxa"/>
                            <w:tcBorders/>
                            <w:shd w:fill="auto" w:val="clear"/>
                            <w:vAlign w:val="center"/>
                          </w:tcPr>
                          <w:p>
                            <w:pPr>
                              <w:pStyle w:val="TableContents"/>
                              <w:pBdr/>
                              <w:spacing w:before="0" w:after="60"/>
                              <w:ind w:left="300" w:right="105" w:hanging="0"/>
                              <w:rPr/>
                            </w:pPr>
                            <w:hyperlink w:anchor="new_id-118">
                              <w:r>
                                <w:rPr>
                                  <w:rStyle w:val="InternetLink"/>
                                  <w:rFonts w:ascii="Arial" w:hAnsi="Arial"/>
                                  <w:strike w:val="false"/>
                                  <w:dstrike w:val="false"/>
                                  <w:color w:val="000000"/>
                                  <w:sz w:val="21"/>
                                  <w:u w:val="none"/>
                                  <w:effect w:val="none"/>
                                </w:rPr>
                                <w:t>Annual Equity Awards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18">
                              <w:r>
                                <w:rPr>
                                  <w:rStyle w:val="InternetLink"/>
                                  <w:rFonts w:ascii="Arial" w:hAnsi="Arial"/>
                                  <w:strike w:val="false"/>
                                  <w:dstrike w:val="false"/>
                                  <w:color w:val="000000"/>
                                  <w:sz w:val="21"/>
                                  <w:u w:val="none"/>
                                  <w:effect w:val="none"/>
                                </w:rPr>
                                <w:t>67</w:t>
                              </w:r>
                            </w:hyperlink>
                            <w:r>
                              <w:rPr>
                                <w:rFonts w:ascii="Arial" w:hAnsi="Arial"/>
                                <w:color w:val="000000"/>
                                <w:sz w:val="21"/>
                              </w:rPr>
                              <w:t xml:space="preserve"> </w:t>
                            </w:r>
                          </w:p>
                        </w:tc>
                      </w:tr>
                    </w:tbl>
                    <w:tbl>
                      <w:tblPr>
                        <w:tblW w:w="3730" w:type="dxa"/>
                        <w:jc w:val="left"/>
                        <w:tblInd w:w="0" w:type="dxa"/>
                        <w:tblCellMar>
                          <w:top w:w="0" w:type="dxa"/>
                          <w:left w:w="0" w:type="dxa"/>
                          <w:bottom w:w="0" w:type="dxa"/>
                          <w:right w:w="0" w:type="dxa"/>
                        </w:tblCellMar>
                      </w:tblPr>
                      <w:tblGrid>
                        <w:gridCol w:w="3395"/>
                        <w:gridCol w:w="335"/>
                      </w:tblGrid>
                      <w:tr>
                        <w:trPr/>
                        <w:tc>
                          <w:tcPr>
                            <w:tcW w:w="3395" w:type="dxa"/>
                            <w:tcBorders/>
                            <w:shd w:fill="auto" w:val="clear"/>
                            <w:vAlign w:val="center"/>
                          </w:tcPr>
                          <w:p>
                            <w:pPr>
                              <w:pStyle w:val="TableContents"/>
                              <w:pBdr/>
                              <w:spacing w:before="0" w:after="60"/>
                              <w:ind w:left="300" w:right="105" w:hanging="0"/>
                              <w:rPr/>
                            </w:pPr>
                            <w:hyperlink w:anchor="new_id-123">
                              <w:r>
                                <w:rPr>
                                  <w:rStyle w:val="InternetLink"/>
                                  <w:rFonts w:ascii="Arial" w:hAnsi="Arial"/>
                                  <w:strike w:val="false"/>
                                  <w:dstrike w:val="false"/>
                                  <w:color w:val="000000"/>
                                  <w:sz w:val="21"/>
                                  <w:u w:val="none"/>
                                  <w:effect w:val="none"/>
                                </w:rPr>
                                <w:t>Perquisites and Personal Benefits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3">
                              <w:r>
                                <w:rPr>
                                  <w:rStyle w:val="InternetLink"/>
                                  <w:rFonts w:ascii="Arial" w:hAnsi="Arial"/>
                                  <w:strike w:val="false"/>
                                  <w:dstrike w:val="false"/>
                                  <w:color w:val="000000"/>
                                  <w:sz w:val="21"/>
                                  <w:u w:val="none"/>
                                  <w:effect w:val="none"/>
                                </w:rPr>
                                <w:t>70</w:t>
                              </w:r>
                            </w:hyperlink>
                            <w:r>
                              <w:rPr>
                                <w:rFonts w:ascii="Arial" w:hAnsi="Arial"/>
                                <w:color w:val="000000"/>
                                <w:sz w:val="21"/>
                              </w:rPr>
                              <w:t xml:space="preserve"> </w:t>
                            </w:r>
                          </w:p>
                        </w:tc>
                      </w:tr>
                    </w:tbl>
                    <w:tbl>
                      <w:tblPr>
                        <w:tblW w:w="3445" w:type="dxa"/>
                        <w:jc w:val="left"/>
                        <w:tblInd w:w="0" w:type="dxa"/>
                        <w:tblCellMar>
                          <w:top w:w="0" w:type="dxa"/>
                          <w:left w:w="0" w:type="dxa"/>
                          <w:bottom w:w="0" w:type="dxa"/>
                          <w:right w:w="0" w:type="dxa"/>
                        </w:tblCellMar>
                      </w:tblPr>
                      <w:tblGrid>
                        <w:gridCol w:w="3110"/>
                        <w:gridCol w:w="335"/>
                      </w:tblGrid>
                      <w:tr>
                        <w:trPr/>
                        <w:tc>
                          <w:tcPr>
                            <w:tcW w:w="3110" w:type="dxa"/>
                            <w:tcBorders/>
                            <w:shd w:fill="auto" w:val="clear"/>
                            <w:vAlign w:val="center"/>
                          </w:tcPr>
                          <w:p>
                            <w:pPr>
                              <w:pStyle w:val="TableContents"/>
                              <w:pBdr/>
                              <w:spacing w:before="0" w:after="60"/>
                              <w:ind w:left="300" w:right="105" w:hanging="0"/>
                              <w:rPr/>
                            </w:pPr>
                            <w:hyperlink w:anchor="new_id-124">
                              <w:r>
                                <w:rPr>
                                  <w:rStyle w:val="InternetLink"/>
                                  <w:rFonts w:ascii="Arial" w:hAnsi="Arial"/>
                                  <w:strike w:val="false"/>
                                  <w:dstrike w:val="false"/>
                                  <w:color w:val="000000"/>
                                  <w:sz w:val="21"/>
                                  <w:u w:val="none"/>
                                  <w:effect w:val="none"/>
                                </w:rPr>
                                <w:t>Potential Severance Payments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4">
                              <w:r>
                                <w:rPr>
                                  <w:rStyle w:val="InternetLink"/>
                                  <w:rFonts w:ascii="Arial" w:hAnsi="Arial"/>
                                  <w:strike w:val="false"/>
                                  <w:dstrike w:val="false"/>
                                  <w:color w:val="000000"/>
                                  <w:sz w:val="21"/>
                                  <w:u w:val="none"/>
                                  <w:effect w:val="none"/>
                                </w:rPr>
                                <w:t>70</w:t>
                              </w:r>
                            </w:hyperlink>
                            <w:r>
                              <w:rPr>
                                <w:rFonts w:ascii="Arial" w:hAnsi="Arial"/>
                                <w:color w:val="000000"/>
                                <w:sz w:val="21"/>
                              </w:rPr>
                              <w:t xml:space="preserve"> </w:t>
                            </w:r>
                          </w:p>
                        </w:tc>
                      </w:tr>
                    </w:tbl>
                    <w:tbl>
                      <w:tblPr>
                        <w:tblW w:w="3160" w:type="dxa"/>
                        <w:jc w:val="left"/>
                        <w:tblInd w:w="0" w:type="dxa"/>
                        <w:tblCellMar>
                          <w:top w:w="0" w:type="dxa"/>
                          <w:left w:w="0" w:type="dxa"/>
                          <w:bottom w:w="0" w:type="dxa"/>
                          <w:right w:w="0" w:type="dxa"/>
                        </w:tblCellMar>
                      </w:tblPr>
                      <w:tblGrid>
                        <w:gridCol w:w="2825"/>
                        <w:gridCol w:w="335"/>
                      </w:tblGrid>
                      <w:tr>
                        <w:trPr/>
                        <w:tc>
                          <w:tcPr>
                            <w:tcW w:w="2825" w:type="dxa"/>
                            <w:tcBorders/>
                            <w:shd w:fill="auto" w:val="clear"/>
                            <w:vAlign w:val="center"/>
                          </w:tcPr>
                          <w:p>
                            <w:pPr>
                              <w:pStyle w:val="TableContents"/>
                              <w:pBdr/>
                              <w:spacing w:before="0" w:after="60"/>
                              <w:ind w:left="0" w:right="105" w:hanging="0"/>
                              <w:rPr/>
                            </w:pPr>
                            <w:hyperlink w:anchor="new_id-125">
                              <w:r>
                                <w:rPr>
                                  <w:rStyle w:val="InternetLink"/>
                                  <w:rFonts w:ascii="Arial" w:hAnsi="Arial"/>
                                  <w:b/>
                                  <w:strike w:val="false"/>
                                  <w:dstrike w:val="false"/>
                                  <w:color w:val="000000"/>
                                  <w:sz w:val="21"/>
                                  <w:u w:val="none"/>
                                  <w:effect w:val="none"/>
                                </w:rPr>
                                <w:t>Compensation Processes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5">
                              <w:r>
                                <w:rPr>
                                  <w:rStyle w:val="InternetLink"/>
                                  <w:rFonts w:ascii="Arial" w:hAnsi="Arial"/>
                                  <w:b/>
                                  <w:strike w:val="false"/>
                                  <w:dstrike w:val="false"/>
                                  <w:color w:val="000000"/>
                                  <w:sz w:val="21"/>
                                  <w:u w:val="none"/>
                                  <w:effect w:val="none"/>
                                </w:rPr>
                                <w:t>71</w:t>
                              </w:r>
                            </w:hyperlink>
                            <w:r>
                              <w:rPr>
                                <w:rFonts w:ascii="Arial" w:hAnsi="Arial"/>
                                <w:b/>
                                <w:color w:val="000000"/>
                                <w:sz w:val="21"/>
                              </w:rPr>
                              <w:t xml:space="preserve"> </w:t>
                            </w:r>
                          </w:p>
                        </w:tc>
                      </w:tr>
                    </w:tbl>
                    <w:tbl>
                      <w:tblPr>
                        <w:tblW w:w="3010" w:type="dxa"/>
                        <w:jc w:val="left"/>
                        <w:tblInd w:w="0" w:type="dxa"/>
                        <w:tblCellMar>
                          <w:top w:w="0" w:type="dxa"/>
                          <w:left w:w="0" w:type="dxa"/>
                          <w:bottom w:w="0" w:type="dxa"/>
                          <w:right w:w="0" w:type="dxa"/>
                        </w:tblCellMar>
                      </w:tblPr>
                      <w:tblGrid>
                        <w:gridCol w:w="2675"/>
                        <w:gridCol w:w="335"/>
                      </w:tblGrid>
                      <w:tr>
                        <w:trPr/>
                        <w:tc>
                          <w:tcPr>
                            <w:tcW w:w="2675" w:type="dxa"/>
                            <w:tcBorders/>
                            <w:shd w:fill="auto" w:val="clear"/>
                            <w:vAlign w:val="center"/>
                          </w:tcPr>
                          <w:p>
                            <w:pPr>
                              <w:pStyle w:val="TableContents"/>
                              <w:pBdr/>
                              <w:spacing w:before="0" w:after="60"/>
                              <w:ind w:left="300" w:right="105" w:hanging="0"/>
                              <w:rPr/>
                            </w:pPr>
                            <w:hyperlink w:anchor="new_id-126">
                              <w:r>
                                <w:rPr>
                                  <w:rStyle w:val="InternetLink"/>
                                  <w:rFonts w:ascii="Arial" w:hAnsi="Arial"/>
                                  <w:strike w:val="false"/>
                                  <w:dstrike w:val="false"/>
                                  <w:color w:val="000000"/>
                                  <w:sz w:val="21"/>
                                  <w:u w:val="none"/>
                                  <w:effect w:val="none"/>
                                </w:rPr>
                                <w:t>Compensation Committee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6">
                              <w:r>
                                <w:rPr>
                                  <w:rStyle w:val="InternetLink"/>
                                  <w:rFonts w:ascii="Arial" w:hAnsi="Arial"/>
                                  <w:strike w:val="false"/>
                                  <w:dstrike w:val="false"/>
                                  <w:color w:val="000000"/>
                                  <w:sz w:val="21"/>
                                  <w:u w:val="none"/>
                                  <w:effect w:val="none"/>
                                </w:rPr>
                                <w:t>71</w:t>
                              </w:r>
                            </w:hyperlink>
                            <w:r>
                              <w:rPr>
                                <w:rFonts w:ascii="Arial" w:hAnsi="Arial"/>
                                <w:color w:val="000000"/>
                                <w:sz w:val="21"/>
                              </w:rPr>
                              <w:t xml:space="preserve"> </w:t>
                            </w:r>
                          </w:p>
                        </w:tc>
                      </w:tr>
                    </w:tbl>
                    <w:tbl>
                      <w:tblPr>
                        <w:tblW w:w="1795" w:type="dxa"/>
                        <w:jc w:val="left"/>
                        <w:tblInd w:w="0" w:type="dxa"/>
                        <w:tblCellMar>
                          <w:top w:w="0" w:type="dxa"/>
                          <w:left w:w="0" w:type="dxa"/>
                          <w:bottom w:w="0" w:type="dxa"/>
                          <w:right w:w="0" w:type="dxa"/>
                        </w:tblCellMar>
                      </w:tblPr>
                      <w:tblGrid>
                        <w:gridCol w:w="1460"/>
                        <w:gridCol w:w="335"/>
                      </w:tblGrid>
                      <w:tr>
                        <w:trPr/>
                        <w:tc>
                          <w:tcPr>
                            <w:tcW w:w="1460" w:type="dxa"/>
                            <w:tcBorders/>
                            <w:shd w:fill="auto" w:val="clear"/>
                            <w:vAlign w:val="center"/>
                          </w:tcPr>
                          <w:p>
                            <w:pPr>
                              <w:pStyle w:val="TableContents"/>
                              <w:pBdr/>
                              <w:spacing w:before="0" w:after="60"/>
                              <w:ind w:left="300" w:right="105" w:hanging="0"/>
                              <w:rPr/>
                            </w:pPr>
                            <w:hyperlink w:anchor="new_id-127">
                              <w:r>
                                <w:rPr>
                                  <w:rStyle w:val="InternetLink"/>
                                  <w:rFonts w:ascii="Arial" w:hAnsi="Arial"/>
                                  <w:strike w:val="false"/>
                                  <w:dstrike w:val="false"/>
                                  <w:color w:val="000000"/>
                                  <w:sz w:val="21"/>
                                  <w:u w:val="none"/>
                                  <w:effect w:val="none"/>
                                </w:rPr>
                                <w:t>Management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7">
                              <w:r>
                                <w:rPr>
                                  <w:rStyle w:val="InternetLink"/>
                                  <w:rFonts w:ascii="Arial" w:hAnsi="Arial"/>
                                  <w:strike w:val="false"/>
                                  <w:dstrike w:val="false"/>
                                  <w:color w:val="000000"/>
                                  <w:sz w:val="21"/>
                                  <w:u w:val="none"/>
                                  <w:effect w:val="none"/>
                                </w:rPr>
                                <w:t>71</w:t>
                              </w:r>
                            </w:hyperlink>
                            <w:r>
                              <w:rPr>
                                <w:rFonts w:ascii="Arial" w:hAnsi="Arial"/>
                                <w:color w:val="000000"/>
                                <w:sz w:val="21"/>
                              </w:rPr>
                              <w:t xml:space="preserve"> </w:t>
                            </w:r>
                          </w:p>
                        </w:tc>
                      </w:tr>
                    </w:tbl>
                    <w:tbl>
                      <w:tblPr>
                        <w:tblW w:w="7255" w:type="dxa"/>
                        <w:jc w:val="left"/>
                        <w:tblInd w:w="0" w:type="dxa"/>
                        <w:tblCellMar>
                          <w:top w:w="0" w:type="dxa"/>
                          <w:left w:w="0" w:type="dxa"/>
                          <w:bottom w:w="0" w:type="dxa"/>
                          <w:right w:w="0" w:type="dxa"/>
                        </w:tblCellMar>
                      </w:tblPr>
                      <w:tblGrid>
                        <w:gridCol w:w="6920"/>
                        <w:gridCol w:w="335"/>
                      </w:tblGrid>
                      <w:tr>
                        <w:trPr/>
                        <w:tc>
                          <w:tcPr>
                            <w:tcW w:w="6920" w:type="dxa"/>
                            <w:tcBorders/>
                            <w:shd w:fill="auto" w:val="clear"/>
                            <w:vAlign w:val="center"/>
                          </w:tcPr>
                          <w:p>
                            <w:pPr>
                              <w:pStyle w:val="TableContents"/>
                              <w:pBdr/>
                              <w:spacing w:before="0" w:after="60"/>
                              <w:ind w:left="300" w:right="105" w:hanging="0"/>
                              <w:rPr/>
                            </w:pPr>
                            <w:hyperlink w:anchor="new_id-128">
                              <w:r>
                                <w:rPr>
                                  <w:rStyle w:val="InternetLink"/>
                                  <w:rFonts w:ascii="Arial" w:hAnsi="Arial"/>
                                  <w:strike w:val="false"/>
                                  <w:dstrike w:val="false"/>
                                  <w:color w:val="000000"/>
                                  <w:sz w:val="21"/>
                                  <w:u w:val="none"/>
                                  <w:effect w:val="none"/>
                                </w:rPr>
                                <w:t>Shareholder Input and Outreach and the 2022 Say-on-Pay Vote Result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28">
                              <w:r>
                                <w:rPr>
                                  <w:rStyle w:val="InternetLink"/>
                                  <w:rFonts w:ascii="Arial" w:hAnsi="Arial"/>
                                  <w:strike w:val="false"/>
                                  <w:dstrike w:val="false"/>
                                  <w:color w:val="000000"/>
                                  <w:sz w:val="21"/>
                                  <w:u w:val="none"/>
                                  <w:effect w:val="none"/>
                                </w:rPr>
                                <w:t>72</w:t>
                              </w:r>
                            </w:hyperlink>
                            <w:r>
                              <w:rPr>
                                <w:rFonts w:ascii="Arial" w:hAnsi="Arial"/>
                                <w:color w:val="000000"/>
                                <w:sz w:val="21"/>
                              </w:rPr>
                              <w:t xml:space="preserve"> </w:t>
                            </w:r>
                          </w:p>
                        </w:tc>
                      </w:tr>
                    </w:tbl>
                    <w:tbl>
                      <w:tblPr>
                        <w:tblW w:w="4255" w:type="dxa"/>
                        <w:jc w:val="left"/>
                        <w:tblInd w:w="0" w:type="dxa"/>
                        <w:tblCellMar>
                          <w:top w:w="0" w:type="dxa"/>
                          <w:left w:w="0" w:type="dxa"/>
                          <w:bottom w:w="0" w:type="dxa"/>
                          <w:right w:w="0" w:type="dxa"/>
                        </w:tblCellMar>
                      </w:tblPr>
                      <w:tblGrid>
                        <w:gridCol w:w="3920"/>
                        <w:gridCol w:w="335"/>
                      </w:tblGrid>
                      <w:tr>
                        <w:trPr/>
                        <w:tc>
                          <w:tcPr>
                            <w:tcW w:w="3920" w:type="dxa"/>
                            <w:tcBorders/>
                            <w:shd w:fill="auto" w:val="clear"/>
                            <w:vAlign w:val="center"/>
                          </w:tcPr>
                          <w:p>
                            <w:pPr>
                              <w:pStyle w:val="TableContents"/>
                              <w:pBdr/>
                              <w:spacing w:before="0" w:after="60"/>
                              <w:ind w:left="300" w:right="105" w:hanging="0"/>
                              <w:rPr/>
                            </w:pPr>
                            <w:hyperlink w:anchor="new_id-130">
                              <w:r>
                                <w:rPr>
                                  <w:rStyle w:val="InternetLink"/>
                                  <w:rFonts w:ascii="Arial" w:hAnsi="Arial"/>
                                  <w:strike w:val="false"/>
                                  <w:dstrike w:val="false"/>
                                  <w:color w:val="000000"/>
                                  <w:sz w:val="21"/>
                                  <w:u w:val="none"/>
                                  <w:effect w:val="none"/>
                                </w:rPr>
                                <w:t>Independent Compensation Consultant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0">
                              <w:r>
                                <w:rPr>
                                  <w:rStyle w:val="InternetLink"/>
                                  <w:rFonts w:ascii="Arial" w:hAnsi="Arial"/>
                                  <w:strike w:val="false"/>
                                  <w:dstrike w:val="false"/>
                                  <w:color w:val="000000"/>
                                  <w:sz w:val="21"/>
                                  <w:u w:val="none"/>
                                  <w:effect w:val="none"/>
                                </w:rPr>
                                <w:t>74</w:t>
                              </w:r>
                            </w:hyperlink>
                            <w:r>
                              <w:rPr>
                                <w:rFonts w:ascii="Arial" w:hAnsi="Arial"/>
                                <w:color w:val="000000"/>
                                <w:sz w:val="21"/>
                              </w:rPr>
                              <w:t xml:space="preserve"> </w:t>
                            </w:r>
                          </w:p>
                        </w:tc>
                      </w:tr>
                    </w:tbl>
                    <w:tbl>
                      <w:tblPr>
                        <w:tblW w:w="1495" w:type="dxa"/>
                        <w:jc w:val="left"/>
                        <w:tblInd w:w="0" w:type="dxa"/>
                        <w:tblCellMar>
                          <w:top w:w="0" w:type="dxa"/>
                          <w:left w:w="0" w:type="dxa"/>
                          <w:bottom w:w="0" w:type="dxa"/>
                          <w:right w:w="0" w:type="dxa"/>
                        </w:tblCellMar>
                      </w:tblPr>
                      <w:tblGrid>
                        <w:gridCol w:w="1160"/>
                        <w:gridCol w:w="335"/>
                      </w:tblGrid>
                      <w:tr>
                        <w:trPr/>
                        <w:tc>
                          <w:tcPr>
                            <w:tcW w:w="1160" w:type="dxa"/>
                            <w:tcBorders/>
                            <w:shd w:fill="auto" w:val="clear"/>
                            <w:vAlign w:val="center"/>
                          </w:tcPr>
                          <w:p>
                            <w:pPr>
                              <w:pStyle w:val="TableContents"/>
                              <w:pBdr/>
                              <w:spacing w:before="0" w:after="60"/>
                              <w:ind w:left="300" w:right="105" w:hanging="0"/>
                              <w:rPr/>
                            </w:pPr>
                            <w:hyperlink w:anchor="new_id-131">
                              <w:r>
                                <w:rPr>
                                  <w:rStyle w:val="InternetLink"/>
                                  <w:rFonts w:ascii="Arial" w:hAnsi="Arial"/>
                                  <w:strike w:val="false"/>
                                  <w:dstrike w:val="false"/>
                                  <w:color w:val="000000"/>
                                  <w:sz w:val="21"/>
                                  <w:u w:val="none"/>
                                  <w:effect w:val="none"/>
                                </w:rPr>
                                <w:t>Peer Data</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1">
                              <w:r>
                                <w:rPr>
                                  <w:rStyle w:val="InternetLink"/>
                                  <w:rFonts w:ascii="Arial" w:hAnsi="Arial"/>
                                  <w:strike w:val="false"/>
                                  <w:dstrike w:val="false"/>
                                  <w:color w:val="000000"/>
                                  <w:sz w:val="21"/>
                                  <w:u w:val="none"/>
                                  <w:effect w:val="none"/>
                                </w:rPr>
                                <w:t>74</w:t>
                              </w:r>
                            </w:hyperlink>
                            <w:r>
                              <w:rPr>
                                <w:rFonts w:ascii="Arial" w:hAnsi="Arial"/>
                                <w:color w:val="000000"/>
                                <w:sz w:val="21"/>
                              </w:rPr>
                              <w:t xml:space="preserve"> </w:t>
                            </w:r>
                          </w:p>
                        </w:tc>
                      </w:tr>
                    </w:tbl>
                    <w:tbl>
                      <w:tblPr>
                        <w:tblW w:w="2155" w:type="dxa"/>
                        <w:jc w:val="left"/>
                        <w:tblInd w:w="0" w:type="dxa"/>
                        <w:tblCellMar>
                          <w:top w:w="0" w:type="dxa"/>
                          <w:left w:w="0" w:type="dxa"/>
                          <w:bottom w:w="0" w:type="dxa"/>
                          <w:right w:w="0" w:type="dxa"/>
                        </w:tblCellMar>
                      </w:tblPr>
                      <w:tblGrid>
                        <w:gridCol w:w="1820"/>
                        <w:gridCol w:w="335"/>
                      </w:tblGrid>
                      <w:tr>
                        <w:trPr/>
                        <w:tc>
                          <w:tcPr>
                            <w:tcW w:w="1820" w:type="dxa"/>
                            <w:tcBorders/>
                            <w:shd w:fill="auto" w:val="clear"/>
                            <w:vAlign w:val="center"/>
                          </w:tcPr>
                          <w:p>
                            <w:pPr>
                              <w:pStyle w:val="TableContents"/>
                              <w:pBdr/>
                              <w:spacing w:before="0" w:after="60"/>
                              <w:ind w:left="300" w:right="105" w:hanging="0"/>
                              <w:rPr/>
                            </w:pPr>
                            <w:hyperlink w:anchor="new_id-133">
                              <w:r>
                                <w:rPr>
                                  <w:rStyle w:val="InternetLink"/>
                                  <w:rFonts w:ascii="Arial" w:hAnsi="Arial"/>
                                  <w:strike w:val="false"/>
                                  <w:dstrike w:val="false"/>
                                  <w:color w:val="000000"/>
                                  <w:sz w:val="21"/>
                                  <w:u w:val="none"/>
                                  <w:effect w:val="none"/>
                                </w:rPr>
                                <w:t>Risk Assessment</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3">
                              <w:r>
                                <w:rPr>
                                  <w:rStyle w:val="InternetLink"/>
                                  <w:rFonts w:ascii="Arial" w:hAnsi="Arial"/>
                                  <w:strike w:val="false"/>
                                  <w:dstrike w:val="false"/>
                                  <w:color w:val="000000"/>
                                  <w:sz w:val="21"/>
                                  <w:u w:val="none"/>
                                  <w:effect w:val="none"/>
                                </w:rPr>
                                <w:t>76</w:t>
                              </w:r>
                            </w:hyperlink>
                            <w:r>
                              <w:rPr>
                                <w:rFonts w:ascii="Arial" w:hAnsi="Arial"/>
                                <w:color w:val="000000"/>
                                <w:sz w:val="21"/>
                              </w:rPr>
                              <w:t xml:space="preserve"> </w:t>
                            </w:r>
                          </w:p>
                        </w:tc>
                      </w:tr>
                    </w:tbl>
                    <w:tbl>
                      <w:tblPr>
                        <w:tblW w:w="2080" w:type="dxa"/>
                        <w:jc w:val="left"/>
                        <w:tblInd w:w="0" w:type="dxa"/>
                        <w:tblCellMar>
                          <w:top w:w="0" w:type="dxa"/>
                          <w:left w:w="0" w:type="dxa"/>
                          <w:bottom w:w="0" w:type="dxa"/>
                          <w:right w:w="0" w:type="dxa"/>
                        </w:tblCellMar>
                      </w:tblPr>
                      <w:tblGrid>
                        <w:gridCol w:w="1745"/>
                        <w:gridCol w:w="335"/>
                      </w:tblGrid>
                      <w:tr>
                        <w:trPr/>
                        <w:tc>
                          <w:tcPr>
                            <w:tcW w:w="1745" w:type="dxa"/>
                            <w:tcBorders/>
                            <w:shd w:fill="auto" w:val="clear"/>
                            <w:vAlign w:val="center"/>
                          </w:tcPr>
                          <w:p>
                            <w:pPr>
                              <w:pStyle w:val="TableContents"/>
                              <w:pBdr/>
                              <w:spacing w:before="0" w:after="60"/>
                              <w:ind w:left="300" w:right="105" w:hanging="0"/>
                              <w:rPr/>
                            </w:pPr>
                            <w:hyperlink w:anchor="new_id-134">
                              <w:r>
                                <w:rPr>
                                  <w:rStyle w:val="InternetLink"/>
                                  <w:rFonts w:ascii="Arial" w:hAnsi="Arial"/>
                                  <w:strike w:val="false"/>
                                  <w:dstrike w:val="false"/>
                                  <w:color w:val="000000"/>
                                  <w:sz w:val="21"/>
                                  <w:u w:val="none"/>
                                  <w:effect w:val="none"/>
                                </w:rPr>
                                <w:t>Tax Implications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4">
                              <w:r>
                                <w:rPr>
                                  <w:rStyle w:val="InternetLink"/>
                                  <w:rFonts w:ascii="Arial" w:hAnsi="Arial"/>
                                  <w:strike w:val="false"/>
                                  <w:dstrike w:val="false"/>
                                  <w:color w:val="000000"/>
                                  <w:sz w:val="21"/>
                                  <w:u w:val="none"/>
                                  <w:effect w:val="none"/>
                                </w:rPr>
                                <w:t>76</w:t>
                              </w:r>
                            </w:hyperlink>
                            <w:r>
                              <w:rPr>
                                <w:rFonts w:ascii="Arial" w:hAnsi="Arial"/>
                                <w:color w:val="000000"/>
                                <w:sz w:val="21"/>
                              </w:rPr>
                              <w:t xml:space="preserve"> </w:t>
                            </w:r>
                          </w:p>
                        </w:tc>
                      </w:tr>
                    </w:tbl>
                    <w:tbl>
                      <w:tblPr>
                        <w:tblW w:w="5320" w:type="dxa"/>
                        <w:jc w:val="left"/>
                        <w:tblInd w:w="0" w:type="dxa"/>
                        <w:tblCellMar>
                          <w:top w:w="0" w:type="dxa"/>
                          <w:left w:w="0" w:type="dxa"/>
                          <w:bottom w:w="0" w:type="dxa"/>
                          <w:right w:w="0" w:type="dxa"/>
                        </w:tblCellMar>
                      </w:tblPr>
                      <w:tblGrid>
                        <w:gridCol w:w="4940"/>
                        <w:gridCol w:w="380"/>
                      </w:tblGrid>
                      <w:tr>
                        <w:trPr/>
                        <w:tc>
                          <w:tcPr>
                            <w:tcW w:w="4940" w:type="dxa"/>
                            <w:tcBorders/>
                            <w:shd w:fill="auto" w:val="clear"/>
                            <w:vAlign w:val="center"/>
                          </w:tcPr>
                          <w:p>
                            <w:pPr>
                              <w:pStyle w:val="TableContents"/>
                              <w:pBdr/>
                              <w:spacing w:before="0" w:after="15"/>
                              <w:ind w:left="0" w:right="105" w:hanging="0"/>
                              <w:rPr/>
                            </w:pPr>
                            <w:hyperlink w:anchor="new_id-135">
                              <w:r>
                                <w:rPr>
                                  <w:rStyle w:val="InternetLink"/>
                                  <w:rFonts w:ascii="Arial" w:hAnsi="Arial"/>
                                  <w:b/>
                                  <w:strike w:val="false"/>
                                  <w:dstrike w:val="false"/>
                                  <w:color w:val="245BA7"/>
                                  <w:sz w:val="26"/>
                                  <w:u w:val="none"/>
                                  <w:effect w:val="none"/>
                                </w:rPr>
                                <w:t>COMPENSATION COMMITTEE REPORT</w:t>
                              </w:r>
                            </w:hyperlink>
                            <w:r>
                              <w:rPr>
                                <w:rFonts w:ascii="Arial" w:hAnsi="Arial"/>
                                <w:b/>
                                <w:color w:val="245BA7"/>
                                <w:sz w:val="26"/>
                              </w:rPr>
                              <w:t xml:space="preserve"> </w:t>
                            </w:r>
                          </w:p>
                        </w:tc>
                        <w:tc>
                          <w:tcPr>
                            <w:tcW w:w="380" w:type="dxa"/>
                            <w:tcBorders/>
                            <w:shd w:fill="auto" w:val="clear"/>
                            <w:vAlign w:val="center"/>
                          </w:tcPr>
                          <w:p>
                            <w:pPr>
                              <w:pStyle w:val="TableContents"/>
                              <w:pBdr/>
                              <w:spacing w:before="0" w:after="15"/>
                              <w:ind w:left="0" w:right="0" w:hanging="0"/>
                              <w:jc w:val="right"/>
                              <w:rPr/>
                            </w:pPr>
                            <w:hyperlink w:anchor="new_id-135">
                              <w:r>
                                <w:rPr>
                                  <w:rStyle w:val="InternetLink"/>
                                  <w:rFonts w:ascii="Arial" w:hAnsi="Arial"/>
                                  <w:b/>
                                  <w:strike w:val="false"/>
                                  <w:dstrike w:val="false"/>
                                  <w:color w:val="245BA7"/>
                                  <w:sz w:val="26"/>
                                  <w:u w:val="none"/>
                                  <w:effect w:val="none"/>
                                </w:rPr>
                                <w:t>78</w:t>
                              </w:r>
                            </w:hyperlink>
                            <w:r>
                              <w:rPr>
                                <w:rFonts w:ascii="Arial" w:hAnsi="Arial"/>
                                <w:b/>
                                <w:color w:val="245BA7"/>
                                <w:sz w:val="26"/>
                              </w:rPr>
                              <w:t xml:space="preserve"> </w:t>
                            </w:r>
                          </w:p>
                        </w:tc>
                      </w:tr>
                    </w:tbl>
                    <w:tbl>
                      <w:tblPr>
                        <w:tblW w:w="9640" w:type="dxa"/>
                        <w:jc w:val="left"/>
                        <w:tblInd w:w="0" w:type="dxa"/>
                        <w:tblCellMar>
                          <w:top w:w="0" w:type="dxa"/>
                          <w:left w:w="0" w:type="dxa"/>
                          <w:bottom w:w="0" w:type="dxa"/>
                          <w:right w:w="0" w:type="dxa"/>
                        </w:tblCellMar>
                      </w:tblPr>
                      <w:tblGrid>
                        <w:gridCol w:w="9260"/>
                        <w:gridCol w:w="380"/>
                      </w:tblGrid>
                      <w:tr>
                        <w:trPr/>
                        <w:tc>
                          <w:tcPr>
                            <w:tcW w:w="9260" w:type="dxa"/>
                            <w:tcBorders/>
                            <w:shd w:fill="auto" w:val="clear"/>
                            <w:vAlign w:val="center"/>
                          </w:tcPr>
                          <w:p>
                            <w:pPr>
                              <w:pStyle w:val="TableContents"/>
                              <w:pBdr/>
                              <w:spacing w:before="0" w:after="15"/>
                              <w:ind w:left="0" w:right="105" w:hanging="0"/>
                              <w:rPr/>
                            </w:pPr>
                            <w:hyperlink w:anchor="new_id-137">
                              <w:r>
                                <w:rPr>
                                  <w:rStyle w:val="InternetLink"/>
                                  <w:rFonts w:ascii="Arial" w:hAnsi="Arial"/>
                                  <w:b/>
                                  <w:strike w:val="false"/>
                                  <w:dstrike w:val="false"/>
                                  <w:color w:val="245BA7"/>
                                  <w:sz w:val="26"/>
                                  <w:u w:val="none"/>
                                  <w:effect w:val="none"/>
                                </w:rPr>
                                <w:t>COMPENSATION COMMITTEE INTERLOCKS AND INSIDER PARTICIPATION</w:t>
                              </w:r>
                            </w:hyperlink>
                            <w:r>
                              <w:rPr>
                                <w:rFonts w:ascii="Arial" w:hAnsi="Arial"/>
                                <w:b/>
                                <w:color w:val="245BA7"/>
                                <w:sz w:val="26"/>
                              </w:rPr>
                              <w:t xml:space="preserve"> </w:t>
                            </w:r>
                          </w:p>
                        </w:tc>
                        <w:tc>
                          <w:tcPr>
                            <w:tcW w:w="380" w:type="dxa"/>
                            <w:tcBorders/>
                            <w:shd w:fill="auto" w:val="clear"/>
                            <w:vAlign w:val="center"/>
                          </w:tcPr>
                          <w:p>
                            <w:pPr>
                              <w:pStyle w:val="TableContents"/>
                              <w:pBdr/>
                              <w:spacing w:before="0" w:after="15"/>
                              <w:ind w:left="0" w:right="0" w:hanging="0"/>
                              <w:jc w:val="right"/>
                              <w:rPr/>
                            </w:pPr>
                            <w:hyperlink w:anchor="new_id-137">
                              <w:r>
                                <w:rPr>
                                  <w:rStyle w:val="InternetLink"/>
                                  <w:rFonts w:ascii="Arial" w:hAnsi="Arial"/>
                                  <w:b/>
                                  <w:strike w:val="false"/>
                                  <w:dstrike w:val="false"/>
                                  <w:color w:val="245BA7"/>
                                  <w:sz w:val="26"/>
                                  <w:u w:val="none"/>
                                  <w:effect w:val="none"/>
                                </w:rPr>
                                <w:t>78</w:t>
                              </w:r>
                            </w:hyperlink>
                            <w:r>
                              <w:rPr>
                                <w:rFonts w:ascii="Arial" w:hAnsi="Arial"/>
                                <w:b/>
                                <w:color w:val="245BA7"/>
                                <w:sz w:val="26"/>
                              </w:rPr>
                              <w:t xml:space="preserve">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91">
                <wp:simplePos x="0" y="0"/>
                <wp:positionH relativeFrom="column">
                  <wp:align>right</wp:align>
                </wp:positionH>
                <wp:positionV relativeFrom="line">
                  <wp:posOffset>635</wp:posOffset>
                </wp:positionV>
                <wp:extent cx="3110230" cy="6353810"/>
                <wp:effectExtent l="0" t="0" r="0" b="0"/>
                <wp:wrapSquare wrapText="largest"/>
                <wp:docPr id="184" name="Frame30"/>
                <a:graphic xmlns:a="http://schemas.openxmlformats.org/drawingml/2006/main">
                  <a:graphicData uri="http://schemas.microsoft.com/office/word/2010/wordprocessingShape">
                    <wps:wsp>
                      <wps:cNvSpPr txBox="1"/>
                      <wps:spPr>
                        <a:xfrm>
                          <a:off x="0" y="0"/>
                          <a:ext cx="3110230" cy="6353810"/>
                        </a:xfrm>
                        <a:prstGeom prst="rect"/>
                      </wps:spPr>
                      <wps:txbx>
                        <w:txbxContent>
                          <w:tbl>
                            <w:tblPr>
                              <w:tblW w:w="4330" w:type="dxa"/>
                              <w:jc w:val="left"/>
                              <w:tblInd w:w="0" w:type="dxa"/>
                              <w:tblCellMar>
                                <w:top w:w="0" w:type="dxa"/>
                                <w:left w:w="0" w:type="dxa"/>
                                <w:bottom w:w="0" w:type="dxa"/>
                                <w:right w:w="0" w:type="dxa"/>
                              </w:tblCellMar>
                            </w:tblPr>
                            <w:tblGrid>
                              <w:gridCol w:w="3950"/>
                              <w:gridCol w:w="380"/>
                            </w:tblGrid>
                            <w:tr>
                              <w:trPr/>
                              <w:tc>
                                <w:tcPr>
                                  <w:tcW w:w="3950" w:type="dxa"/>
                                  <w:tcBorders/>
                                  <w:shd w:fill="auto" w:val="clear"/>
                                  <w:vAlign w:val="center"/>
                                </w:tcPr>
                                <w:p>
                                  <w:pPr>
                                    <w:pStyle w:val="TableContents"/>
                                    <w:pBdr/>
                                    <w:spacing w:before="0" w:after="15"/>
                                    <w:ind w:left="0" w:right="105" w:hanging="0"/>
                                    <w:rPr/>
                                  </w:pPr>
                                  <w:hyperlink w:anchor="new_id-138">
                                    <w:r>
                                      <w:rPr>
                                        <w:rStyle w:val="InternetLink"/>
                                        <w:rFonts w:ascii="Arial" w:hAnsi="Arial"/>
                                        <w:b/>
                                        <w:strike w:val="false"/>
                                        <w:dstrike w:val="false"/>
                                        <w:color w:val="245BA7"/>
                                        <w:sz w:val="26"/>
                                        <w:u w:val="none"/>
                                        <w:effect w:val="none"/>
                                      </w:rPr>
                                      <w:t>COMPENSATION DASHBOARD</w:t>
                                    </w:r>
                                  </w:hyperlink>
                                  <w:r>
                                    <w:rPr>
                                      <w:rFonts w:ascii="Arial" w:hAnsi="Arial"/>
                                      <w:b/>
                                      <w:color w:val="245BA7"/>
                                      <w:sz w:val="26"/>
                                    </w:rPr>
                                    <w:t xml:space="preserve"> </w:t>
                                  </w:r>
                                </w:p>
                              </w:tc>
                              <w:tc>
                                <w:tcPr>
                                  <w:tcW w:w="380" w:type="dxa"/>
                                  <w:tcBorders/>
                                  <w:shd w:fill="auto" w:val="clear"/>
                                  <w:vAlign w:val="center"/>
                                </w:tcPr>
                                <w:p>
                                  <w:pPr>
                                    <w:pStyle w:val="TableContents"/>
                                    <w:pBdr/>
                                    <w:spacing w:before="0" w:after="15"/>
                                    <w:ind w:left="0" w:right="0" w:hanging="0"/>
                                    <w:jc w:val="right"/>
                                    <w:rPr/>
                                  </w:pPr>
                                  <w:hyperlink w:anchor="new_id-138">
                                    <w:r>
                                      <w:rPr>
                                        <w:rStyle w:val="InternetLink"/>
                                        <w:rFonts w:ascii="Arial" w:hAnsi="Arial"/>
                                        <w:b/>
                                        <w:strike w:val="false"/>
                                        <w:dstrike w:val="false"/>
                                        <w:color w:val="245BA7"/>
                                        <w:sz w:val="26"/>
                                        <w:u w:val="none"/>
                                        <w:effect w:val="none"/>
                                      </w:rPr>
                                      <w:t>79</w:t>
                                    </w:r>
                                  </w:hyperlink>
                                  <w:r>
                                    <w:rPr>
                                      <w:rFonts w:ascii="Arial" w:hAnsi="Arial"/>
                                      <w:b/>
                                      <w:color w:val="245BA7"/>
                                      <w:sz w:val="26"/>
                                    </w:rPr>
                                    <w:t xml:space="preserve"> </w:t>
                                  </w:r>
                                </w:p>
                              </w:tc>
                            </w:tr>
                          </w:tbl>
                          <w:tbl>
                            <w:tblPr>
                              <w:tblW w:w="4390" w:type="dxa"/>
                              <w:jc w:val="left"/>
                              <w:tblInd w:w="0" w:type="dxa"/>
                              <w:tblCellMar>
                                <w:top w:w="0" w:type="dxa"/>
                                <w:left w:w="0" w:type="dxa"/>
                                <w:bottom w:w="0" w:type="dxa"/>
                                <w:right w:w="0" w:type="dxa"/>
                              </w:tblCellMar>
                            </w:tblPr>
                            <w:tblGrid>
                              <w:gridCol w:w="4055"/>
                              <w:gridCol w:w="335"/>
                            </w:tblGrid>
                            <w:tr>
                              <w:trPr/>
                              <w:tc>
                                <w:tcPr>
                                  <w:tcW w:w="4055" w:type="dxa"/>
                                  <w:tcBorders/>
                                  <w:shd w:fill="auto" w:val="clear"/>
                                  <w:vAlign w:val="center"/>
                                </w:tcPr>
                                <w:p>
                                  <w:pPr>
                                    <w:pStyle w:val="TableContents"/>
                                    <w:pBdr/>
                                    <w:spacing w:before="0" w:after="60"/>
                                    <w:ind w:left="0" w:right="105" w:hanging="0"/>
                                    <w:rPr/>
                                  </w:pPr>
                                  <w:hyperlink w:anchor="new_id-139">
                                    <w:r>
                                      <w:rPr>
                                        <w:rStyle w:val="InternetLink"/>
                                        <w:rFonts w:ascii="Arial" w:hAnsi="Arial"/>
                                        <w:b/>
                                        <w:strike w:val="false"/>
                                        <w:dstrike w:val="false"/>
                                        <w:color w:val="000000"/>
                                        <w:sz w:val="21"/>
                                        <w:u w:val="none"/>
                                        <w:effect w:val="none"/>
                                      </w:rPr>
                                      <w:t>2022 Executive Compensation Tables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9">
                                    <w:r>
                                      <w:rPr>
                                        <w:rStyle w:val="InternetLink"/>
                                        <w:rFonts w:ascii="Arial" w:hAnsi="Arial"/>
                                        <w:b/>
                                        <w:strike w:val="false"/>
                                        <w:dstrike w:val="false"/>
                                        <w:color w:val="000000"/>
                                        <w:sz w:val="21"/>
                                        <w:u w:val="none"/>
                                        <w:effect w:val="none"/>
                                      </w:rPr>
                                      <w:t>79</w:t>
                                    </w:r>
                                  </w:hyperlink>
                                  <w:r>
                                    <w:rPr>
                                      <w:rFonts w:ascii="Arial" w:hAnsi="Arial"/>
                                      <w:b/>
                                      <w:color w:val="000000"/>
                                      <w:sz w:val="21"/>
                                    </w:rPr>
                                    <w:t xml:space="preserve"> </w:t>
                                  </w:r>
                                </w:p>
                              </w:tc>
                            </w:tr>
                          </w:tbl>
                          <w:tbl>
                            <w:tblPr>
                              <w:tblW w:w="4030" w:type="dxa"/>
                              <w:jc w:val="left"/>
                              <w:tblInd w:w="0" w:type="dxa"/>
                              <w:tblCellMar>
                                <w:top w:w="0" w:type="dxa"/>
                                <w:left w:w="0" w:type="dxa"/>
                                <w:bottom w:w="0" w:type="dxa"/>
                                <w:right w:w="0" w:type="dxa"/>
                              </w:tblCellMar>
                            </w:tblPr>
                            <w:tblGrid>
                              <w:gridCol w:w="3695"/>
                              <w:gridCol w:w="335"/>
                            </w:tblGrid>
                            <w:tr>
                              <w:trPr/>
                              <w:tc>
                                <w:tcPr>
                                  <w:tcW w:w="3695" w:type="dxa"/>
                                  <w:tcBorders/>
                                  <w:shd w:fill="auto" w:val="clear"/>
                                  <w:vAlign w:val="center"/>
                                </w:tcPr>
                                <w:p>
                                  <w:pPr>
                                    <w:pStyle w:val="TableContents"/>
                                    <w:pBdr/>
                                    <w:spacing w:before="0" w:after="60"/>
                                    <w:ind w:left="300" w:right="105" w:hanging="0"/>
                                    <w:rPr/>
                                  </w:pPr>
                                  <w:hyperlink w:anchor="new_id-140">
                                    <w:r>
                                      <w:rPr>
                                        <w:rStyle w:val="InternetLink"/>
                                        <w:rFonts w:ascii="Arial" w:hAnsi="Arial"/>
                                        <w:strike w:val="false"/>
                                        <w:dstrike w:val="false"/>
                                        <w:color w:val="000000"/>
                                        <w:sz w:val="21"/>
                                        <w:u w:val="none"/>
                                        <w:effect w:val="none"/>
                                      </w:rPr>
                                      <w:t>2022 Summary Compensation Table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40">
                                    <w:r>
                                      <w:rPr>
                                        <w:rStyle w:val="InternetLink"/>
                                        <w:rFonts w:ascii="Arial" w:hAnsi="Arial"/>
                                        <w:strike w:val="false"/>
                                        <w:dstrike w:val="false"/>
                                        <w:color w:val="000000"/>
                                        <w:sz w:val="21"/>
                                        <w:u w:val="none"/>
                                        <w:effect w:val="none"/>
                                      </w:rPr>
                                      <w:t>79</w:t>
                                    </w:r>
                                  </w:hyperlink>
                                  <w:r>
                                    <w:rPr>
                                      <w:rFonts w:ascii="Arial" w:hAnsi="Arial"/>
                                      <w:color w:val="000000"/>
                                      <w:sz w:val="21"/>
                                    </w:rPr>
                                    <w:t xml:space="preserve"> </w:t>
                                  </w:r>
                                </w:p>
                              </w:tc>
                            </w:tr>
                          </w:tbl>
                          <w:tbl>
                            <w:tblPr>
                              <w:tblW w:w="3880" w:type="dxa"/>
                              <w:jc w:val="left"/>
                              <w:tblInd w:w="0" w:type="dxa"/>
                              <w:tblCellMar>
                                <w:top w:w="0" w:type="dxa"/>
                                <w:left w:w="0" w:type="dxa"/>
                                <w:bottom w:w="0" w:type="dxa"/>
                                <w:right w:w="0" w:type="dxa"/>
                              </w:tblCellMar>
                            </w:tblPr>
                            <w:tblGrid>
                              <w:gridCol w:w="3545"/>
                              <w:gridCol w:w="335"/>
                            </w:tblGrid>
                            <w:tr>
                              <w:trPr/>
                              <w:tc>
                                <w:tcPr>
                                  <w:tcW w:w="3545" w:type="dxa"/>
                                  <w:tcBorders/>
                                  <w:shd w:fill="auto" w:val="clear"/>
                                  <w:vAlign w:val="center"/>
                                </w:tcPr>
                                <w:p>
                                  <w:pPr>
                                    <w:pStyle w:val="TableContents"/>
                                    <w:pBdr/>
                                    <w:spacing w:before="0" w:after="60"/>
                                    <w:ind w:left="300" w:right="105" w:hanging="0"/>
                                    <w:rPr/>
                                  </w:pPr>
                                  <w:hyperlink w:anchor="new_id-141">
                                    <w:r>
                                      <w:rPr>
                                        <w:rStyle w:val="InternetLink"/>
                                        <w:rFonts w:ascii="Arial" w:hAnsi="Arial"/>
                                        <w:strike w:val="false"/>
                                        <w:dstrike w:val="false"/>
                                        <w:color w:val="000000"/>
                                        <w:sz w:val="21"/>
                                        <w:u w:val="none"/>
                                        <w:effect w:val="none"/>
                                      </w:rPr>
                                      <w:t xml:space="preserve">2022 Grants of Plan-Based Awards </w:t>
                                    </w:r>
                                  </w:hyperlink>
                                </w:p>
                              </w:tc>
                              <w:tc>
                                <w:tcPr>
                                  <w:tcW w:w="335" w:type="dxa"/>
                                  <w:tcBorders/>
                                  <w:shd w:fill="auto" w:val="clear"/>
                                  <w:vAlign w:val="center"/>
                                </w:tcPr>
                                <w:p>
                                  <w:pPr>
                                    <w:pStyle w:val="TableContents"/>
                                    <w:pBdr/>
                                    <w:spacing w:before="0" w:after="60"/>
                                    <w:ind w:left="0" w:right="0" w:hanging="0"/>
                                    <w:jc w:val="right"/>
                                    <w:rPr/>
                                  </w:pPr>
                                  <w:hyperlink w:anchor="new_id-141">
                                    <w:r>
                                      <w:rPr>
                                        <w:rStyle w:val="InternetLink"/>
                                        <w:rFonts w:ascii="Arial" w:hAnsi="Arial"/>
                                        <w:strike w:val="false"/>
                                        <w:dstrike w:val="false"/>
                                        <w:color w:val="000000"/>
                                        <w:sz w:val="21"/>
                                        <w:u w:val="none"/>
                                        <w:effect w:val="none"/>
                                      </w:rPr>
                                      <w:t>80</w:t>
                                    </w:r>
                                  </w:hyperlink>
                                  <w:r>
                                    <w:rPr>
                                      <w:rFonts w:ascii="Arial" w:hAnsi="Arial"/>
                                      <w:color w:val="000000"/>
                                      <w:sz w:val="21"/>
                                    </w:rPr>
                                    <w:t xml:space="preserve"> </w:t>
                                  </w:r>
                                </w:p>
                              </w:tc>
                            </w:tr>
                          </w:tbl>
                          <w:tbl>
                            <w:tblPr>
                              <w:tblW w:w="5455" w:type="dxa"/>
                              <w:jc w:val="left"/>
                              <w:tblInd w:w="0" w:type="dxa"/>
                              <w:tblCellMar>
                                <w:top w:w="0" w:type="dxa"/>
                                <w:left w:w="0" w:type="dxa"/>
                                <w:bottom w:w="0" w:type="dxa"/>
                                <w:right w:w="0" w:type="dxa"/>
                              </w:tblCellMar>
                            </w:tblPr>
                            <w:tblGrid>
                              <w:gridCol w:w="5120"/>
                              <w:gridCol w:w="335"/>
                            </w:tblGrid>
                            <w:tr>
                              <w:trPr/>
                              <w:tc>
                                <w:tcPr>
                                  <w:tcW w:w="5120" w:type="dxa"/>
                                  <w:tcBorders/>
                                  <w:shd w:fill="auto" w:val="clear"/>
                                  <w:vAlign w:val="center"/>
                                </w:tcPr>
                                <w:p>
                                  <w:pPr>
                                    <w:pStyle w:val="TableContents"/>
                                    <w:pBdr/>
                                    <w:spacing w:before="0" w:after="60"/>
                                    <w:ind w:left="300" w:right="105" w:hanging="0"/>
                                    <w:rPr/>
                                  </w:pPr>
                                  <w:hyperlink w:anchor="new_id-142">
                                    <w:r>
                                      <w:rPr>
                                        <w:rStyle w:val="InternetLink"/>
                                        <w:rFonts w:ascii="Arial" w:hAnsi="Arial"/>
                                        <w:strike w:val="false"/>
                                        <w:dstrike w:val="false"/>
                                        <w:color w:val="000000"/>
                                        <w:sz w:val="21"/>
                                        <w:u w:val="none"/>
                                        <w:effect w:val="none"/>
                                      </w:rPr>
                                      <w:t>Outstanding Equity Awards at 2022 Fiscal Year-End</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42">
                                    <w:r>
                                      <w:rPr>
                                        <w:rStyle w:val="InternetLink"/>
                                        <w:rFonts w:ascii="Arial" w:hAnsi="Arial"/>
                                        <w:strike w:val="false"/>
                                        <w:dstrike w:val="false"/>
                                        <w:color w:val="000000"/>
                                        <w:sz w:val="21"/>
                                        <w:u w:val="none"/>
                                        <w:effect w:val="none"/>
                                      </w:rPr>
                                      <w:t>81</w:t>
                                    </w:r>
                                  </w:hyperlink>
                                  <w:r>
                                    <w:rPr>
                                      <w:rFonts w:ascii="Arial" w:hAnsi="Arial"/>
                                      <w:color w:val="000000"/>
                                      <w:sz w:val="21"/>
                                    </w:rPr>
                                    <w:t xml:space="preserve"> </w:t>
                                  </w:r>
                                </w:p>
                              </w:tc>
                            </w:tr>
                          </w:tbl>
                          <w:tbl>
                            <w:tblPr>
                              <w:tblW w:w="4405" w:type="dxa"/>
                              <w:jc w:val="left"/>
                              <w:tblInd w:w="0" w:type="dxa"/>
                              <w:tblCellMar>
                                <w:top w:w="0" w:type="dxa"/>
                                <w:left w:w="0" w:type="dxa"/>
                                <w:bottom w:w="0" w:type="dxa"/>
                                <w:right w:w="0" w:type="dxa"/>
                              </w:tblCellMar>
                            </w:tblPr>
                            <w:tblGrid>
                              <w:gridCol w:w="4070"/>
                              <w:gridCol w:w="335"/>
                            </w:tblGrid>
                            <w:tr>
                              <w:trPr/>
                              <w:tc>
                                <w:tcPr>
                                  <w:tcW w:w="4070" w:type="dxa"/>
                                  <w:tcBorders/>
                                  <w:shd w:fill="auto" w:val="clear"/>
                                  <w:vAlign w:val="center"/>
                                </w:tcPr>
                                <w:p>
                                  <w:pPr>
                                    <w:pStyle w:val="TableContents"/>
                                    <w:pBdr/>
                                    <w:spacing w:before="0" w:after="60"/>
                                    <w:ind w:left="300" w:right="105" w:hanging="0"/>
                                    <w:rPr/>
                                  </w:pPr>
                                  <w:hyperlink w:anchor="new_id-143">
                                    <w:r>
                                      <w:rPr>
                                        <w:rStyle w:val="InternetLink"/>
                                        <w:rFonts w:ascii="Arial" w:hAnsi="Arial"/>
                                        <w:strike w:val="false"/>
                                        <w:dstrike w:val="false"/>
                                        <w:color w:val="000000"/>
                                        <w:sz w:val="21"/>
                                        <w:u w:val="none"/>
                                        <w:effect w:val="none"/>
                                      </w:rPr>
                                      <w:t xml:space="preserve">2022 Option Exercises and Stock Vested </w:t>
                                    </w:r>
                                  </w:hyperlink>
                                </w:p>
                              </w:tc>
                              <w:tc>
                                <w:tcPr>
                                  <w:tcW w:w="335" w:type="dxa"/>
                                  <w:tcBorders/>
                                  <w:shd w:fill="auto" w:val="clear"/>
                                  <w:vAlign w:val="center"/>
                                </w:tcPr>
                                <w:p>
                                  <w:pPr>
                                    <w:pStyle w:val="TableContents"/>
                                    <w:pBdr/>
                                    <w:spacing w:before="0" w:after="60"/>
                                    <w:ind w:left="0" w:right="0" w:hanging="0"/>
                                    <w:jc w:val="right"/>
                                    <w:rPr/>
                                  </w:pPr>
                                  <w:hyperlink w:anchor="new_id-143">
                                    <w:r>
                                      <w:rPr>
                                        <w:rStyle w:val="InternetLink"/>
                                        <w:rFonts w:ascii="Arial" w:hAnsi="Arial"/>
                                        <w:strike w:val="false"/>
                                        <w:dstrike w:val="false"/>
                                        <w:color w:val="000000"/>
                                        <w:sz w:val="21"/>
                                        <w:u w:val="none"/>
                                        <w:effect w:val="none"/>
                                      </w:rPr>
                                      <w:t>84</w:t>
                                    </w:r>
                                  </w:hyperlink>
                                  <w:r>
                                    <w:rPr>
                                      <w:rFonts w:ascii="Arial" w:hAnsi="Arial"/>
                                      <w:color w:val="000000"/>
                                      <w:sz w:val="21"/>
                                    </w:rPr>
                                    <w:t xml:space="preserve"> </w:t>
                                  </w:r>
                                </w:p>
                              </w:tc>
                            </w:tr>
                          </w:tbl>
                          <w:tbl>
                            <w:tblPr>
                              <w:tblW w:w="3655" w:type="dxa"/>
                              <w:jc w:val="left"/>
                              <w:tblInd w:w="0" w:type="dxa"/>
                              <w:tblCellMar>
                                <w:top w:w="0" w:type="dxa"/>
                                <w:left w:w="0" w:type="dxa"/>
                                <w:bottom w:w="0" w:type="dxa"/>
                                <w:right w:w="0" w:type="dxa"/>
                              </w:tblCellMar>
                            </w:tblPr>
                            <w:tblGrid>
                              <w:gridCol w:w="3320"/>
                              <w:gridCol w:w="335"/>
                            </w:tblGrid>
                            <w:tr>
                              <w:trPr/>
                              <w:tc>
                                <w:tcPr>
                                  <w:tcW w:w="3320" w:type="dxa"/>
                                  <w:tcBorders/>
                                  <w:shd w:fill="auto" w:val="clear"/>
                                  <w:vAlign w:val="center"/>
                                </w:tcPr>
                                <w:p>
                                  <w:pPr>
                                    <w:pStyle w:val="TableContents"/>
                                    <w:pBdr/>
                                    <w:spacing w:before="0" w:after="60"/>
                                    <w:ind w:left="300" w:right="105" w:hanging="0"/>
                                    <w:rPr/>
                                  </w:pPr>
                                  <w:hyperlink w:anchor="new_id-144">
                                    <w:r>
                                      <w:rPr>
                                        <w:rStyle w:val="InternetLink"/>
                                        <w:rFonts w:ascii="Arial" w:hAnsi="Arial"/>
                                        <w:strike w:val="false"/>
                                        <w:dstrike w:val="false"/>
                                        <w:color w:val="000000"/>
                                        <w:sz w:val="21"/>
                                        <w:u w:val="none"/>
                                        <w:effect w:val="none"/>
                                      </w:rPr>
                                      <w:t xml:space="preserve">Post-Employment Compensation </w:t>
                                    </w:r>
                                  </w:hyperlink>
                                </w:p>
                              </w:tc>
                              <w:tc>
                                <w:tcPr>
                                  <w:tcW w:w="335" w:type="dxa"/>
                                  <w:tcBorders/>
                                  <w:shd w:fill="auto" w:val="clear"/>
                                  <w:vAlign w:val="center"/>
                                </w:tcPr>
                                <w:p>
                                  <w:pPr>
                                    <w:pStyle w:val="TableContents"/>
                                    <w:pBdr/>
                                    <w:spacing w:before="0" w:after="60"/>
                                    <w:ind w:left="0" w:right="0" w:hanging="0"/>
                                    <w:jc w:val="right"/>
                                    <w:rPr/>
                                  </w:pPr>
                                  <w:hyperlink w:anchor="new_id-144">
                                    <w:r>
                                      <w:rPr>
                                        <w:rStyle w:val="InternetLink"/>
                                        <w:rFonts w:ascii="Arial" w:hAnsi="Arial"/>
                                        <w:strike w:val="false"/>
                                        <w:dstrike w:val="false"/>
                                        <w:color w:val="000000"/>
                                        <w:sz w:val="21"/>
                                        <w:u w:val="none"/>
                                        <w:effect w:val="none"/>
                                      </w:rPr>
                                      <w:t>84</w:t>
                                    </w:r>
                                  </w:hyperlink>
                                  <w:r>
                                    <w:rPr>
                                      <w:rFonts w:ascii="Arial" w:hAnsi="Arial"/>
                                      <w:color w:val="000000"/>
                                      <w:sz w:val="21"/>
                                    </w:rPr>
                                    <w:t xml:space="preserve"> </w:t>
                                  </w:r>
                                </w:p>
                              </w:tc>
                            </w:tr>
                          </w:tbl>
                          <w:tbl>
                            <w:tblPr>
                              <w:tblW w:w="4405" w:type="dxa"/>
                              <w:jc w:val="left"/>
                              <w:tblInd w:w="0" w:type="dxa"/>
                              <w:tblCellMar>
                                <w:top w:w="0" w:type="dxa"/>
                                <w:left w:w="0" w:type="dxa"/>
                                <w:bottom w:w="0" w:type="dxa"/>
                                <w:right w:w="0" w:type="dxa"/>
                              </w:tblCellMar>
                            </w:tblPr>
                            <w:tblGrid>
                              <w:gridCol w:w="4070"/>
                              <w:gridCol w:w="335"/>
                            </w:tblGrid>
                            <w:tr>
                              <w:trPr/>
                              <w:tc>
                                <w:tcPr>
                                  <w:tcW w:w="4070" w:type="dxa"/>
                                  <w:tcBorders/>
                                  <w:shd w:fill="auto" w:val="clear"/>
                                  <w:vAlign w:val="center"/>
                                </w:tcPr>
                                <w:p>
                                  <w:pPr>
                                    <w:pStyle w:val="TableContents"/>
                                    <w:pBdr/>
                                    <w:spacing w:before="0" w:after="60"/>
                                    <w:ind w:left="0" w:right="105" w:hanging="0"/>
                                    <w:rPr/>
                                  </w:pPr>
                                  <w:hyperlink w:anchor="new_id-149">
                                    <w:r>
                                      <w:rPr>
                                        <w:rStyle w:val="InternetLink"/>
                                        <w:rFonts w:ascii="Arial" w:hAnsi="Arial"/>
                                        <w:b/>
                                        <w:strike w:val="false"/>
                                        <w:dstrike w:val="false"/>
                                        <w:color w:val="000000"/>
                                        <w:sz w:val="21"/>
                                        <w:u w:val="none"/>
                                        <w:effect w:val="none"/>
                                      </w:rPr>
                                      <w:t>Additional Compensation Information</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49">
                                    <w:r>
                                      <w:rPr>
                                        <w:rStyle w:val="InternetLink"/>
                                        <w:rFonts w:ascii="Arial" w:hAnsi="Arial"/>
                                        <w:b/>
                                        <w:strike w:val="false"/>
                                        <w:dstrike w:val="false"/>
                                        <w:color w:val="000000"/>
                                        <w:sz w:val="21"/>
                                        <w:u w:val="none"/>
                                        <w:effect w:val="none"/>
                                      </w:rPr>
                                      <w:t>88</w:t>
                                    </w:r>
                                  </w:hyperlink>
                                  <w:r>
                                    <w:rPr>
                                      <w:rFonts w:ascii="Arial" w:hAnsi="Arial"/>
                                      <w:b/>
                                      <w:color w:val="000000"/>
                                      <w:sz w:val="21"/>
                                    </w:rPr>
                                    <w:t xml:space="preserve"> </w:t>
                                  </w:r>
                                </w:p>
                              </w:tc>
                            </w:tr>
                          </w:tbl>
                          <w:tbl>
                            <w:tblPr>
                              <w:tblW w:w="2770" w:type="dxa"/>
                              <w:jc w:val="left"/>
                              <w:tblInd w:w="0" w:type="dxa"/>
                              <w:tblCellMar>
                                <w:top w:w="0" w:type="dxa"/>
                                <w:left w:w="0" w:type="dxa"/>
                                <w:bottom w:w="0" w:type="dxa"/>
                                <w:right w:w="0" w:type="dxa"/>
                              </w:tblCellMar>
                            </w:tblPr>
                            <w:tblGrid>
                              <w:gridCol w:w="2435"/>
                              <w:gridCol w:w="335"/>
                            </w:tblGrid>
                            <w:tr>
                              <w:trPr/>
                              <w:tc>
                                <w:tcPr>
                                  <w:tcW w:w="2435" w:type="dxa"/>
                                  <w:tcBorders/>
                                  <w:shd w:fill="auto" w:val="clear"/>
                                  <w:vAlign w:val="center"/>
                                </w:tcPr>
                                <w:p>
                                  <w:pPr>
                                    <w:pStyle w:val="TableContents"/>
                                    <w:pBdr/>
                                    <w:spacing w:before="0" w:after="60"/>
                                    <w:ind w:left="300" w:right="105" w:hanging="0"/>
                                    <w:rPr/>
                                  </w:pPr>
                                  <w:hyperlink w:anchor="new_id-150">
                                    <w:r>
                                      <w:rPr>
                                        <w:rStyle w:val="InternetLink"/>
                                        <w:rFonts w:ascii="Arial" w:hAnsi="Arial"/>
                                        <w:strike w:val="false"/>
                                        <w:dstrike w:val="false"/>
                                        <w:color w:val="000000"/>
                                        <w:sz w:val="21"/>
                                        <w:u w:val="none"/>
                                        <w:effect w:val="none"/>
                                      </w:rPr>
                                      <w:t xml:space="preserve">Annual Cash Incentives </w:t>
                                    </w:r>
                                  </w:hyperlink>
                                </w:p>
                              </w:tc>
                              <w:tc>
                                <w:tcPr>
                                  <w:tcW w:w="335" w:type="dxa"/>
                                  <w:tcBorders/>
                                  <w:shd w:fill="auto" w:val="clear"/>
                                  <w:vAlign w:val="center"/>
                                </w:tcPr>
                                <w:p>
                                  <w:pPr>
                                    <w:pStyle w:val="TableContents"/>
                                    <w:pBdr/>
                                    <w:spacing w:before="0" w:after="60"/>
                                    <w:ind w:left="0" w:right="0" w:hanging="0"/>
                                    <w:jc w:val="right"/>
                                    <w:rPr/>
                                  </w:pPr>
                                  <w:hyperlink w:anchor="new_id-150">
                                    <w:r>
                                      <w:rPr>
                                        <w:rStyle w:val="InternetLink"/>
                                        <w:rFonts w:ascii="Arial" w:hAnsi="Arial"/>
                                        <w:strike w:val="false"/>
                                        <w:dstrike w:val="false"/>
                                        <w:color w:val="000000"/>
                                        <w:sz w:val="21"/>
                                        <w:u w:val="none"/>
                                        <w:effect w:val="none"/>
                                      </w:rPr>
                                      <w:t>88</w:t>
                                    </w:r>
                                  </w:hyperlink>
                                  <w:r>
                                    <w:rPr>
                                      <w:rFonts w:ascii="Arial" w:hAnsi="Arial"/>
                                      <w:color w:val="000000"/>
                                      <w:sz w:val="21"/>
                                    </w:rPr>
                                    <w:t xml:space="preserve"> </w:t>
                                  </w:r>
                                </w:p>
                              </w:tc>
                            </w:tr>
                          </w:tbl>
                          <w:tbl>
                            <w:tblPr>
                              <w:tblW w:w="3730" w:type="dxa"/>
                              <w:jc w:val="left"/>
                              <w:tblInd w:w="0" w:type="dxa"/>
                              <w:tblCellMar>
                                <w:top w:w="0" w:type="dxa"/>
                                <w:left w:w="0" w:type="dxa"/>
                                <w:bottom w:w="0" w:type="dxa"/>
                                <w:right w:w="0" w:type="dxa"/>
                              </w:tblCellMar>
                            </w:tblPr>
                            <w:tblGrid>
                              <w:gridCol w:w="3395"/>
                              <w:gridCol w:w="335"/>
                            </w:tblGrid>
                            <w:tr>
                              <w:trPr/>
                              <w:tc>
                                <w:tcPr>
                                  <w:tcW w:w="3395" w:type="dxa"/>
                                  <w:tcBorders/>
                                  <w:shd w:fill="auto" w:val="clear"/>
                                  <w:vAlign w:val="center"/>
                                </w:tcPr>
                                <w:p>
                                  <w:pPr>
                                    <w:pStyle w:val="TableContents"/>
                                    <w:pBdr/>
                                    <w:spacing w:before="0" w:after="60"/>
                                    <w:ind w:left="300" w:right="105" w:hanging="0"/>
                                    <w:rPr/>
                                  </w:pPr>
                                  <w:hyperlink w:anchor="new_id-151">
                                    <w:r>
                                      <w:rPr>
                                        <w:rStyle w:val="InternetLink"/>
                                        <w:rFonts w:ascii="Arial" w:hAnsi="Arial"/>
                                        <w:strike w:val="false"/>
                                        <w:dstrike w:val="false"/>
                                        <w:color w:val="000000"/>
                                        <w:sz w:val="21"/>
                                        <w:u w:val="none"/>
                                        <w:effect w:val="none"/>
                                      </w:rPr>
                                      <w:t>Perquisites and Personal Benefits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51">
                                    <w:r>
                                      <w:rPr>
                                        <w:rStyle w:val="InternetLink"/>
                                        <w:rFonts w:ascii="Arial" w:hAnsi="Arial"/>
                                        <w:strike w:val="false"/>
                                        <w:dstrike w:val="false"/>
                                        <w:color w:val="000000"/>
                                        <w:sz w:val="21"/>
                                        <w:u w:val="none"/>
                                        <w:effect w:val="none"/>
                                      </w:rPr>
                                      <w:t>93</w:t>
                                    </w:r>
                                  </w:hyperlink>
                                  <w:r>
                                    <w:rPr>
                                      <w:rFonts w:ascii="Arial" w:hAnsi="Arial"/>
                                      <w:color w:val="000000"/>
                                      <w:sz w:val="21"/>
                                    </w:rPr>
                                    <w:t xml:space="preserve"> </w:t>
                                  </w:r>
                                </w:p>
                              </w:tc>
                            </w:tr>
                          </w:tbl>
                          <w:tbl>
                            <w:tblPr>
                              <w:tblW w:w="3445" w:type="dxa"/>
                              <w:jc w:val="left"/>
                              <w:tblInd w:w="0" w:type="dxa"/>
                              <w:tblCellMar>
                                <w:top w:w="0" w:type="dxa"/>
                                <w:left w:w="0" w:type="dxa"/>
                                <w:bottom w:w="0" w:type="dxa"/>
                                <w:right w:w="0" w:type="dxa"/>
                              </w:tblCellMar>
                            </w:tblPr>
                            <w:tblGrid>
                              <w:gridCol w:w="3110"/>
                              <w:gridCol w:w="335"/>
                            </w:tblGrid>
                            <w:tr>
                              <w:trPr/>
                              <w:tc>
                                <w:tcPr>
                                  <w:tcW w:w="3110" w:type="dxa"/>
                                  <w:tcBorders/>
                                  <w:shd w:fill="auto" w:val="clear"/>
                                  <w:vAlign w:val="center"/>
                                </w:tcPr>
                                <w:p>
                                  <w:pPr>
                                    <w:pStyle w:val="TableContents"/>
                                    <w:pBdr/>
                                    <w:spacing w:before="0" w:after="60"/>
                                    <w:ind w:left="300" w:right="105" w:hanging="0"/>
                                    <w:rPr/>
                                  </w:pPr>
                                  <w:hyperlink w:anchor="new_id-152">
                                    <w:r>
                                      <w:rPr>
                                        <w:rStyle w:val="InternetLink"/>
                                        <w:rFonts w:ascii="Arial" w:hAnsi="Arial"/>
                                        <w:strike w:val="false"/>
                                        <w:dstrike w:val="false"/>
                                        <w:color w:val="000000"/>
                                        <w:sz w:val="21"/>
                                        <w:u w:val="none"/>
                                        <w:effect w:val="none"/>
                                      </w:rPr>
                                      <w:t xml:space="preserve">Potential Severance Payments </w:t>
                                    </w:r>
                                  </w:hyperlink>
                                </w:p>
                              </w:tc>
                              <w:tc>
                                <w:tcPr>
                                  <w:tcW w:w="335" w:type="dxa"/>
                                  <w:tcBorders/>
                                  <w:shd w:fill="auto" w:val="clear"/>
                                  <w:vAlign w:val="center"/>
                                </w:tcPr>
                                <w:p>
                                  <w:pPr>
                                    <w:pStyle w:val="TableContents"/>
                                    <w:pBdr/>
                                    <w:spacing w:before="0" w:after="60"/>
                                    <w:ind w:left="0" w:right="0" w:hanging="0"/>
                                    <w:jc w:val="right"/>
                                    <w:rPr/>
                                  </w:pPr>
                                  <w:hyperlink w:anchor="new_id-152">
                                    <w:r>
                                      <w:rPr>
                                        <w:rStyle w:val="InternetLink"/>
                                        <w:rFonts w:ascii="Arial" w:hAnsi="Arial"/>
                                        <w:strike w:val="false"/>
                                        <w:dstrike w:val="false"/>
                                        <w:color w:val="000000"/>
                                        <w:sz w:val="21"/>
                                        <w:u w:val="none"/>
                                        <w:effect w:val="none"/>
                                      </w:rPr>
                                      <w:t>94</w:t>
                                    </w:r>
                                  </w:hyperlink>
                                  <w:r>
                                    <w:rPr>
                                      <w:rFonts w:ascii="Arial" w:hAnsi="Arial"/>
                                      <w:color w:val="000000"/>
                                      <w:sz w:val="21"/>
                                    </w:rPr>
                                    <w:t xml:space="preserve"> </w:t>
                                  </w:r>
                                </w:p>
                              </w:tc>
                            </w:tr>
                          </w:tbl>
                          <w:tbl>
                            <w:tblPr>
                              <w:tblW w:w="1450" w:type="dxa"/>
                              <w:jc w:val="left"/>
                              <w:tblInd w:w="0" w:type="dxa"/>
                              <w:tblCellMar>
                                <w:top w:w="0" w:type="dxa"/>
                                <w:left w:w="0" w:type="dxa"/>
                                <w:bottom w:w="0" w:type="dxa"/>
                                <w:right w:w="0" w:type="dxa"/>
                              </w:tblCellMar>
                            </w:tblPr>
                            <w:tblGrid>
                              <w:gridCol w:w="1115"/>
                              <w:gridCol w:w="335"/>
                            </w:tblGrid>
                            <w:tr>
                              <w:trPr/>
                              <w:tc>
                                <w:tcPr>
                                  <w:tcW w:w="1115" w:type="dxa"/>
                                  <w:tcBorders/>
                                  <w:shd w:fill="auto" w:val="clear"/>
                                  <w:vAlign w:val="center"/>
                                </w:tcPr>
                                <w:p>
                                  <w:pPr>
                                    <w:pStyle w:val="TableContents"/>
                                    <w:pBdr/>
                                    <w:spacing w:before="0" w:after="60"/>
                                    <w:ind w:left="300" w:right="105" w:hanging="0"/>
                                    <w:rPr/>
                                  </w:pPr>
                                  <w:hyperlink w:anchor="new_id-153">
                                    <w:r>
                                      <w:rPr>
                                        <w:rStyle w:val="InternetLink"/>
                                        <w:rFonts w:ascii="Arial" w:hAnsi="Arial"/>
                                        <w:strike w:val="false"/>
                                        <w:dstrike w:val="false"/>
                                        <w:color w:val="000000"/>
                                        <w:sz w:val="21"/>
                                        <w:u w:val="none"/>
                                        <w:effect w:val="none"/>
                                      </w:rPr>
                                      <w:t>Pay Ratio</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53">
                                    <w:r>
                                      <w:rPr>
                                        <w:rStyle w:val="InternetLink"/>
                                        <w:rFonts w:ascii="Arial" w:hAnsi="Arial"/>
                                        <w:strike w:val="false"/>
                                        <w:dstrike w:val="false"/>
                                        <w:color w:val="000000"/>
                                        <w:sz w:val="21"/>
                                        <w:u w:val="none"/>
                                        <w:effect w:val="none"/>
                                      </w:rPr>
                                      <w:t>95</w:t>
                                    </w:r>
                                  </w:hyperlink>
                                  <w:r>
                                    <w:rPr>
                                      <w:rFonts w:ascii="Arial" w:hAnsi="Arial"/>
                                      <w:color w:val="000000"/>
                                      <w:sz w:val="21"/>
                                    </w:rPr>
                                    <w:t xml:space="preserve"> </w:t>
                                  </w:r>
                                </w:p>
                              </w:tc>
                            </w:tr>
                          </w:tbl>
                          <w:tbl>
                            <w:tblPr>
                              <w:tblW w:w="2905" w:type="dxa"/>
                              <w:jc w:val="left"/>
                              <w:tblInd w:w="0" w:type="dxa"/>
                              <w:tblCellMar>
                                <w:top w:w="0" w:type="dxa"/>
                                <w:left w:w="0" w:type="dxa"/>
                                <w:bottom w:w="0" w:type="dxa"/>
                                <w:right w:w="0" w:type="dxa"/>
                              </w:tblCellMar>
                            </w:tblPr>
                            <w:tblGrid>
                              <w:gridCol w:w="2570"/>
                              <w:gridCol w:w="335"/>
                            </w:tblGrid>
                            <w:tr>
                              <w:trPr/>
                              <w:tc>
                                <w:tcPr>
                                  <w:tcW w:w="2570" w:type="dxa"/>
                                  <w:tcBorders/>
                                  <w:shd w:fill="auto" w:val="clear"/>
                                  <w:vAlign w:val="center"/>
                                </w:tcPr>
                                <w:p>
                                  <w:pPr>
                                    <w:pStyle w:val="TableContents"/>
                                    <w:pBdr/>
                                    <w:spacing w:before="0" w:after="60"/>
                                    <w:ind w:left="300" w:right="105" w:hanging="0"/>
                                    <w:rPr/>
                                  </w:pPr>
                                  <w:hyperlink w:anchor="new_id-154">
                                    <w:r>
                                      <w:rPr>
                                        <w:rStyle w:val="InternetLink"/>
                                        <w:rFonts w:ascii="Arial" w:hAnsi="Arial"/>
                                        <w:strike w:val="false"/>
                                        <w:dstrike w:val="false"/>
                                        <w:color w:val="000000"/>
                                        <w:sz w:val="21"/>
                                        <w:u w:val="none"/>
                                        <w:effect w:val="none"/>
                                      </w:rPr>
                                      <w:t>Pay Versus Performance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54">
                                    <w:r>
                                      <w:rPr>
                                        <w:rStyle w:val="InternetLink"/>
                                        <w:rFonts w:ascii="Arial" w:hAnsi="Arial"/>
                                        <w:strike w:val="false"/>
                                        <w:dstrike w:val="false"/>
                                        <w:color w:val="000000"/>
                                        <w:sz w:val="21"/>
                                        <w:u w:val="none"/>
                                        <w:effect w:val="none"/>
                                      </w:rPr>
                                      <w:t>96</w:t>
                                    </w:r>
                                  </w:hyperlink>
                                  <w:r>
                                    <w:rPr>
                                      <w:rFonts w:ascii="Arial" w:hAnsi="Arial"/>
                                      <w:color w:val="000000"/>
                                      <w:sz w:val="21"/>
                                    </w:rPr>
                                    <w:t xml:space="preserve"> </w:t>
                                  </w:r>
                                </w:p>
                              </w:tc>
                            </w:tr>
                          </w:tbl>
                          <w:tbl>
                            <w:tblPr>
                              <w:tblW w:w="3820" w:type="dxa"/>
                              <w:jc w:val="left"/>
                              <w:tblInd w:w="0" w:type="dxa"/>
                              <w:tblCellMar>
                                <w:top w:w="0" w:type="dxa"/>
                                <w:left w:w="0" w:type="dxa"/>
                                <w:bottom w:w="0" w:type="dxa"/>
                                <w:right w:w="0" w:type="dxa"/>
                              </w:tblCellMar>
                            </w:tblPr>
                            <w:tblGrid>
                              <w:gridCol w:w="3365"/>
                              <w:gridCol w:w="455"/>
                            </w:tblGrid>
                            <w:tr>
                              <w:trPr/>
                              <w:tc>
                                <w:tcPr>
                                  <w:tcW w:w="3365" w:type="dxa"/>
                                  <w:tcBorders/>
                                  <w:shd w:fill="auto" w:val="clear"/>
                                  <w:vAlign w:val="center"/>
                                </w:tcPr>
                                <w:p>
                                  <w:pPr>
                                    <w:pStyle w:val="TableContents"/>
                                    <w:pBdr/>
                                    <w:spacing w:before="0" w:after="60"/>
                                    <w:ind w:left="300" w:right="105" w:hanging="0"/>
                                    <w:rPr/>
                                  </w:pPr>
                                  <w:hyperlink w:anchor="new_id-164">
                                    <w:r>
                                      <w:rPr>
                                        <w:rStyle w:val="InternetLink"/>
                                        <w:rFonts w:ascii="Arial" w:hAnsi="Arial"/>
                                        <w:strike w:val="false"/>
                                        <w:dstrike w:val="false"/>
                                        <w:color w:val="000000"/>
                                        <w:sz w:val="21"/>
                                        <w:u w:val="none"/>
                                        <w:effect w:val="none"/>
                                      </w:rPr>
                                      <w:t>Equity Compensation Information</w:t>
                                    </w:r>
                                  </w:hyperlink>
                                  <w:r>
                                    <w:rPr>
                                      <w:rFonts w:ascii="Arial" w:hAnsi="Arial"/>
                                      <w:color w:val="000000"/>
                                      <w:sz w:val="21"/>
                                    </w:rPr>
                                    <w:t xml:space="preserve"> </w:t>
                                  </w:r>
                                </w:p>
                              </w:tc>
                              <w:tc>
                                <w:tcPr>
                                  <w:tcW w:w="455" w:type="dxa"/>
                                  <w:tcBorders/>
                                  <w:shd w:fill="auto" w:val="clear"/>
                                  <w:vAlign w:val="center"/>
                                </w:tcPr>
                                <w:p>
                                  <w:pPr>
                                    <w:pStyle w:val="TableContents"/>
                                    <w:pBdr/>
                                    <w:spacing w:before="0" w:after="60"/>
                                    <w:ind w:left="0" w:right="0" w:hanging="0"/>
                                    <w:jc w:val="right"/>
                                    <w:rPr/>
                                  </w:pPr>
                                  <w:hyperlink w:anchor="new_id-164">
                                    <w:r>
                                      <w:rPr>
                                        <w:rStyle w:val="InternetLink"/>
                                        <w:rFonts w:ascii="Arial" w:hAnsi="Arial"/>
                                        <w:strike w:val="false"/>
                                        <w:dstrike w:val="false"/>
                                        <w:color w:val="000000"/>
                                        <w:sz w:val="21"/>
                                        <w:u w:val="none"/>
                                        <w:effect w:val="none"/>
                                      </w:rPr>
                                      <w:t>100</w:t>
                                    </w:r>
                                  </w:hyperlink>
                                  <w:r>
                                    <w:rPr>
                                      <w:rFonts w:ascii="Arial" w:hAnsi="Arial"/>
                                      <w:color w:val="000000"/>
                                      <w:sz w:val="21"/>
                                    </w:rPr>
                                    <w:t xml:space="preserve"> </w:t>
                                  </w:r>
                                </w:p>
                              </w:tc>
                            </w:tr>
                          </w:tbl>
                          <w:tbl>
                            <w:tblPr>
                              <w:tblW w:w="10205" w:type="dxa"/>
                              <w:jc w:val="left"/>
                              <w:tblInd w:w="0" w:type="dxa"/>
                              <w:tblCellMar>
                                <w:top w:w="0" w:type="dxa"/>
                                <w:left w:w="0" w:type="dxa"/>
                                <w:bottom w:w="0" w:type="dxa"/>
                                <w:right w:w="0" w:type="dxa"/>
                              </w:tblCellMar>
                            </w:tblPr>
                            <w:tblGrid>
                              <w:gridCol w:w="9767"/>
                              <w:gridCol w:w="438"/>
                            </w:tblGrid>
                            <w:tr>
                              <w:trPr/>
                              <w:tc>
                                <w:tcPr>
                                  <w:tcW w:w="9767" w:type="dxa"/>
                                  <w:tcBorders/>
                                  <w:shd w:fill="auto" w:val="clear"/>
                                  <w:vAlign w:val="center"/>
                                </w:tcPr>
                                <w:p>
                                  <w:pPr>
                                    <w:pStyle w:val="TableContents"/>
                                    <w:pBdr/>
                                    <w:spacing w:before="0" w:after="60"/>
                                    <w:ind w:left="585" w:right="105" w:hanging="0"/>
                                    <w:rPr/>
                                  </w:pPr>
                                  <w:hyperlink w:anchor="new_id-165">
                                    <w:r>
                                      <w:rPr>
                                        <w:rStyle w:val="InternetLink"/>
                                        <w:rFonts w:ascii="Arial" w:hAnsi="Arial"/>
                                        <w:strike w:val="false"/>
                                        <w:dstrike w:val="false"/>
                                        <w:color w:val="000000"/>
                                        <w:sz w:val="21"/>
                                        <w:u w:val="none"/>
                                        <w:effect w:val="none"/>
                                      </w:rPr>
                                      <w:t>Corporate Governance Aspects of the Second Amended and Restated Regeneron Pharmaceuticals, Inc. 2014 Long-Term Incentive Plan</w:t>
                                    </w:r>
                                  </w:hyperlink>
                                  <w:r>
                                    <w:rPr>
                                      <w:rFonts w:ascii="Arial" w:hAnsi="Arial"/>
                                      <w:color w:val="000000"/>
                                      <w:sz w:val="21"/>
                                    </w:rPr>
                                    <w:t xml:space="preserve"> </w:t>
                                  </w:r>
                                </w:p>
                              </w:tc>
                              <w:tc>
                                <w:tcPr>
                                  <w:tcW w:w="438" w:type="dxa"/>
                                  <w:tcBorders/>
                                  <w:shd w:fill="auto" w:val="clear"/>
                                  <w:vAlign w:val="center"/>
                                </w:tcPr>
                                <w:p>
                                  <w:pPr>
                                    <w:pStyle w:val="TableContents"/>
                                    <w:pBdr/>
                                    <w:spacing w:before="0" w:after="60"/>
                                    <w:ind w:left="0" w:right="0" w:hanging="0"/>
                                    <w:jc w:val="right"/>
                                    <w:rPr/>
                                  </w:pPr>
                                  <w:hyperlink w:anchor="new_id-165">
                                    <w:r>
                                      <w:rPr>
                                        <w:rStyle w:val="InternetLink"/>
                                        <w:rFonts w:ascii="Arial" w:hAnsi="Arial"/>
                                        <w:strike w:val="false"/>
                                        <w:dstrike w:val="false"/>
                                        <w:color w:val="000000"/>
                                        <w:sz w:val="21"/>
                                        <w:u w:val="none"/>
                                        <w:effect w:val="none"/>
                                      </w:rPr>
                                      <w:t>100</w:t>
                                    </w:r>
                                  </w:hyperlink>
                                  <w:r>
                                    <w:rPr>
                                      <w:rFonts w:ascii="Arial" w:hAnsi="Arial"/>
                                      <w:color w:val="000000"/>
                                      <w:sz w:val="21"/>
                                    </w:rPr>
                                    <w:t xml:space="preserve"> </w:t>
                                  </w:r>
                                </w:p>
                              </w:tc>
                            </w:tr>
                          </w:tbl>
                          <w:tbl>
                            <w:tblPr>
                              <w:tblW w:w="2410" w:type="dxa"/>
                              <w:jc w:val="left"/>
                              <w:tblInd w:w="0" w:type="dxa"/>
                              <w:tblCellMar>
                                <w:top w:w="0" w:type="dxa"/>
                                <w:left w:w="0" w:type="dxa"/>
                                <w:bottom w:w="0" w:type="dxa"/>
                                <w:right w:w="0" w:type="dxa"/>
                              </w:tblCellMar>
                            </w:tblPr>
                            <w:tblGrid>
                              <w:gridCol w:w="1955"/>
                              <w:gridCol w:w="455"/>
                            </w:tblGrid>
                            <w:tr>
                              <w:trPr/>
                              <w:tc>
                                <w:tcPr>
                                  <w:tcW w:w="1955" w:type="dxa"/>
                                  <w:tcBorders/>
                                  <w:shd w:fill="auto" w:val="clear"/>
                                  <w:vAlign w:val="center"/>
                                </w:tcPr>
                                <w:p>
                                  <w:pPr>
                                    <w:pStyle w:val="TableContents"/>
                                    <w:pBdr/>
                                    <w:spacing w:before="0" w:after="60"/>
                                    <w:ind w:left="585" w:right="105" w:hanging="0"/>
                                    <w:rPr/>
                                  </w:pPr>
                                  <w:hyperlink w:anchor="new_id-166">
                                    <w:r>
                                      <w:rPr>
                                        <w:rStyle w:val="InternetLink"/>
                                        <w:rFonts w:ascii="Arial" w:hAnsi="Arial"/>
                                        <w:strike w:val="false"/>
                                        <w:dstrike w:val="false"/>
                                        <w:color w:val="000000"/>
                                        <w:sz w:val="21"/>
                                        <w:u w:val="none"/>
                                        <w:effect w:val="none"/>
                                      </w:rPr>
                                      <w:t>Key Equity Metrics</w:t>
                                    </w:r>
                                  </w:hyperlink>
                                  <w:r>
                                    <w:rPr>
                                      <w:rFonts w:ascii="Arial" w:hAnsi="Arial"/>
                                      <w:color w:val="000000"/>
                                      <w:sz w:val="21"/>
                                    </w:rPr>
                                    <w:t xml:space="preserve"> </w:t>
                                  </w:r>
                                </w:p>
                              </w:tc>
                              <w:tc>
                                <w:tcPr>
                                  <w:tcW w:w="455" w:type="dxa"/>
                                  <w:tcBorders/>
                                  <w:shd w:fill="auto" w:val="clear"/>
                                  <w:vAlign w:val="center"/>
                                </w:tcPr>
                                <w:p>
                                  <w:pPr>
                                    <w:pStyle w:val="TableContents"/>
                                    <w:pBdr/>
                                    <w:spacing w:before="0" w:after="60"/>
                                    <w:ind w:left="0" w:right="0" w:hanging="0"/>
                                    <w:jc w:val="right"/>
                                    <w:rPr/>
                                  </w:pPr>
                                  <w:hyperlink w:anchor="new_id-166">
                                    <w:r>
                                      <w:rPr>
                                        <w:rStyle w:val="InternetLink"/>
                                        <w:rFonts w:ascii="Arial" w:hAnsi="Arial"/>
                                        <w:strike w:val="false"/>
                                        <w:dstrike w:val="false"/>
                                        <w:color w:val="000000"/>
                                        <w:sz w:val="21"/>
                                        <w:u w:val="none"/>
                                        <w:effect w:val="none"/>
                                      </w:rPr>
                                      <w:t>100</w:t>
                                    </w:r>
                                  </w:hyperlink>
                                  <w:r>
                                    <w:rPr>
                                      <w:rFonts w:ascii="Arial" w:hAnsi="Arial"/>
                                      <w:color w:val="000000"/>
                                      <w:sz w:val="21"/>
                                    </w:rPr>
                                    <w:t xml:space="preserve"> </w:t>
                                  </w:r>
                                </w:p>
                              </w:tc>
                            </w:tr>
                          </w:tbl>
                          <w:tbl>
                            <w:tblPr>
                              <w:tblW w:w="4300" w:type="dxa"/>
                              <w:jc w:val="left"/>
                              <w:tblInd w:w="0" w:type="dxa"/>
                              <w:tblCellMar>
                                <w:top w:w="0" w:type="dxa"/>
                                <w:left w:w="0" w:type="dxa"/>
                                <w:bottom w:w="0" w:type="dxa"/>
                                <w:right w:w="0" w:type="dxa"/>
                              </w:tblCellMar>
                            </w:tblPr>
                            <w:tblGrid>
                              <w:gridCol w:w="3845"/>
                              <w:gridCol w:w="455"/>
                            </w:tblGrid>
                            <w:tr>
                              <w:trPr/>
                              <w:tc>
                                <w:tcPr>
                                  <w:tcW w:w="3845" w:type="dxa"/>
                                  <w:tcBorders/>
                                  <w:shd w:fill="auto" w:val="clear"/>
                                  <w:vAlign w:val="center"/>
                                </w:tcPr>
                                <w:p>
                                  <w:pPr>
                                    <w:pStyle w:val="TableContents"/>
                                    <w:pBdr/>
                                    <w:spacing w:before="0" w:after="60"/>
                                    <w:ind w:left="585" w:right="105" w:hanging="0"/>
                                    <w:rPr/>
                                  </w:pPr>
                                  <w:hyperlink w:anchor="new_id-167">
                                    <w:r>
                                      <w:rPr>
                                        <w:rStyle w:val="InternetLink"/>
                                        <w:rFonts w:ascii="Arial" w:hAnsi="Arial"/>
                                        <w:strike w:val="false"/>
                                        <w:dstrike w:val="false"/>
                                        <w:color w:val="000000"/>
                                        <w:sz w:val="21"/>
                                        <w:u w:val="none"/>
                                        <w:effect w:val="none"/>
                                      </w:rPr>
                                      <w:t xml:space="preserve">Equity Compensation Plan Information </w:t>
                                    </w:r>
                                  </w:hyperlink>
                                </w:p>
                              </w:tc>
                              <w:tc>
                                <w:tcPr>
                                  <w:tcW w:w="455" w:type="dxa"/>
                                  <w:tcBorders/>
                                  <w:shd w:fill="auto" w:val="clear"/>
                                  <w:vAlign w:val="center"/>
                                </w:tcPr>
                                <w:p>
                                  <w:pPr>
                                    <w:pStyle w:val="TableContents"/>
                                    <w:pBdr/>
                                    <w:spacing w:before="0" w:after="60"/>
                                    <w:ind w:left="0" w:right="0" w:hanging="0"/>
                                    <w:jc w:val="right"/>
                                    <w:rPr/>
                                  </w:pPr>
                                  <w:hyperlink w:anchor="new_id-167">
                                    <w:r>
                                      <w:rPr>
                                        <w:rStyle w:val="InternetLink"/>
                                        <w:rFonts w:ascii="Arial" w:hAnsi="Arial"/>
                                        <w:strike w:val="false"/>
                                        <w:dstrike w:val="false"/>
                                        <w:color w:val="000000"/>
                                        <w:sz w:val="21"/>
                                        <w:u w:val="none"/>
                                        <w:effect w:val="none"/>
                                      </w:rPr>
                                      <w:t>101</w:t>
                                    </w:r>
                                  </w:hyperlink>
                                  <w:r>
                                    <w:rPr>
                                      <w:rFonts w:ascii="Arial" w:hAnsi="Arial"/>
                                      <w:color w:val="000000"/>
                                      <w:sz w:val="21"/>
                                    </w:rPr>
                                    <w:t xml:space="preserve"> </w:t>
                                  </w:r>
                                </w:p>
                              </w:tc>
                            </w:tr>
                          </w:tbl>
                          <w:tbl>
                            <w:tblPr>
                              <w:tblW w:w="10205" w:type="dxa"/>
                              <w:jc w:val="left"/>
                              <w:tblInd w:w="0" w:type="dxa"/>
                              <w:tblCellMar>
                                <w:top w:w="0" w:type="dxa"/>
                                <w:left w:w="0" w:type="dxa"/>
                                <w:bottom w:w="0" w:type="dxa"/>
                                <w:right w:w="0" w:type="dxa"/>
                              </w:tblCellMar>
                            </w:tblPr>
                            <w:tblGrid>
                              <w:gridCol w:w="9713"/>
                              <w:gridCol w:w="492"/>
                            </w:tblGrid>
                            <w:tr>
                              <w:trPr/>
                              <w:tc>
                                <w:tcPr>
                                  <w:tcW w:w="9713" w:type="dxa"/>
                                  <w:tcBorders/>
                                  <w:shd w:fill="auto" w:val="clear"/>
                                  <w:vAlign w:val="center"/>
                                </w:tcPr>
                                <w:p>
                                  <w:pPr>
                                    <w:pStyle w:val="TableContents"/>
                                    <w:pBdr/>
                                    <w:spacing w:before="0" w:after="15"/>
                                    <w:ind w:left="0" w:right="105" w:hanging="0"/>
                                    <w:rPr/>
                                  </w:pPr>
                                  <w:hyperlink w:anchor="new_id-168">
                                    <w:r>
                                      <w:rPr>
                                        <w:rStyle w:val="InternetLink"/>
                                        <w:rFonts w:ascii="Arial" w:hAnsi="Arial"/>
                                        <w:b/>
                                        <w:strike w:val="false"/>
                                        <w:dstrike w:val="false"/>
                                        <w:color w:val="245BA7"/>
                                        <w:sz w:val="26"/>
                                        <w:u w:val="none"/>
                                        <w:effect w:val="none"/>
                                      </w:rPr>
                                      <w:t>PROPOSAL NO. 3 ADVISORY VOTE ON COMPENSATION OF NAMED EXECUTIVE OFFICERS (SAY-ON-PAY)</w:t>
                                    </w:r>
                                  </w:hyperlink>
                                  <w:r>
                                    <w:rPr>
                                      <w:rFonts w:ascii="Arial" w:hAnsi="Arial"/>
                                      <w:b/>
                                      <w:color w:val="245BA7"/>
                                      <w:sz w:val="26"/>
                                    </w:rPr>
                                    <w:t xml:space="preserve"> </w:t>
                                  </w:r>
                                </w:p>
                              </w:tc>
                              <w:tc>
                                <w:tcPr>
                                  <w:tcW w:w="492" w:type="dxa"/>
                                  <w:tcBorders/>
                                  <w:shd w:fill="auto" w:val="clear"/>
                                  <w:vAlign w:val="center"/>
                                </w:tcPr>
                                <w:p>
                                  <w:pPr>
                                    <w:pStyle w:val="TableContents"/>
                                    <w:pBdr/>
                                    <w:spacing w:before="0" w:after="15"/>
                                    <w:ind w:left="0" w:right="0" w:hanging="0"/>
                                    <w:jc w:val="right"/>
                                    <w:rPr/>
                                  </w:pPr>
                                  <w:hyperlink w:anchor="new_id-168">
                                    <w:r>
                                      <w:rPr>
                                        <w:rStyle w:val="InternetLink"/>
                                        <w:rFonts w:ascii="Arial" w:hAnsi="Arial"/>
                                        <w:b/>
                                        <w:strike w:val="false"/>
                                        <w:dstrike w:val="false"/>
                                        <w:color w:val="245BA7"/>
                                        <w:sz w:val="26"/>
                                        <w:u w:val="none"/>
                                        <w:effect w:val="none"/>
                                      </w:rPr>
                                      <w:t>102</w:t>
                                    </w:r>
                                  </w:hyperlink>
                                  <w:r>
                                    <w:rPr>
                                      <w:rFonts w:ascii="Arial" w:hAnsi="Arial"/>
                                      <w:b/>
                                      <w:color w:val="245BA7"/>
                                      <w:sz w:val="26"/>
                                    </w:rPr>
                                    <w:t xml:space="preserve"> </w:t>
                                  </w:r>
                                </w:p>
                              </w:tc>
                            </w:tr>
                          </w:tbl>
                          <w:tbl>
                            <w:tblPr>
                              <w:tblW w:w="10205" w:type="dxa"/>
                              <w:jc w:val="left"/>
                              <w:tblInd w:w="0" w:type="dxa"/>
                              <w:tblCellMar>
                                <w:top w:w="0" w:type="dxa"/>
                                <w:left w:w="0" w:type="dxa"/>
                                <w:bottom w:w="0" w:type="dxa"/>
                                <w:right w:w="0" w:type="dxa"/>
                              </w:tblCellMar>
                            </w:tblPr>
                            <w:tblGrid>
                              <w:gridCol w:w="9719"/>
                              <w:gridCol w:w="486"/>
                            </w:tblGrid>
                            <w:tr>
                              <w:trPr/>
                              <w:tc>
                                <w:tcPr>
                                  <w:tcW w:w="9719" w:type="dxa"/>
                                  <w:tcBorders/>
                                  <w:shd w:fill="auto" w:val="clear"/>
                                  <w:vAlign w:val="center"/>
                                </w:tcPr>
                                <w:p>
                                  <w:pPr>
                                    <w:pStyle w:val="TableContents"/>
                                    <w:pBdr/>
                                    <w:spacing w:before="0" w:after="15"/>
                                    <w:ind w:left="0" w:right="105" w:hanging="0"/>
                                    <w:rPr/>
                                  </w:pPr>
                                  <w:hyperlink w:anchor="new_id-169">
                                    <w:r>
                                      <w:rPr>
                                        <w:rStyle w:val="InternetLink"/>
                                        <w:rFonts w:ascii="Arial" w:hAnsi="Arial"/>
                                        <w:b/>
                                        <w:strike w:val="false"/>
                                        <w:dstrike w:val="false"/>
                                        <w:color w:val="245BA7"/>
                                        <w:sz w:val="26"/>
                                        <w:u w:val="none"/>
                                        <w:effect w:val="none"/>
                                      </w:rPr>
                                      <w:t>PROPOSAL NO. 4 ADVISORY VOTE ON THE FREQUENCY OF FUTURE SAY-ON-PAY VOTES (SAY-ON-FREQUENCY)</w:t>
                                    </w:r>
                                  </w:hyperlink>
                                  <w:r>
                                    <w:rPr>
                                      <w:rFonts w:ascii="Arial" w:hAnsi="Arial"/>
                                      <w:b/>
                                      <w:color w:val="245BA7"/>
                                      <w:sz w:val="26"/>
                                    </w:rPr>
                                    <w:t xml:space="preserve"> </w:t>
                                  </w:r>
                                </w:p>
                              </w:tc>
                              <w:tc>
                                <w:tcPr>
                                  <w:tcW w:w="486" w:type="dxa"/>
                                  <w:tcBorders/>
                                  <w:shd w:fill="auto" w:val="clear"/>
                                  <w:vAlign w:val="center"/>
                                </w:tcPr>
                                <w:p>
                                  <w:pPr>
                                    <w:pStyle w:val="TableContents"/>
                                    <w:pBdr/>
                                    <w:spacing w:before="0" w:after="15"/>
                                    <w:ind w:left="0" w:right="0" w:hanging="0"/>
                                    <w:jc w:val="right"/>
                                    <w:rPr/>
                                  </w:pPr>
                                  <w:hyperlink w:anchor="new_id-169">
                                    <w:r>
                                      <w:rPr>
                                        <w:rStyle w:val="InternetLink"/>
                                        <w:rFonts w:ascii="Arial" w:hAnsi="Arial"/>
                                        <w:b/>
                                        <w:strike w:val="false"/>
                                        <w:dstrike w:val="false"/>
                                        <w:color w:val="245BA7"/>
                                        <w:sz w:val="26"/>
                                        <w:u w:val="none"/>
                                        <w:effect w:val="none"/>
                                      </w:rPr>
                                      <w:t>104</w:t>
                                    </w:r>
                                  </w:hyperlink>
                                  <w:r>
                                    <w:rPr>
                                      <w:rFonts w:ascii="Arial" w:hAnsi="Arial"/>
                                      <w:b/>
                                      <w:color w:val="245BA7"/>
                                      <w:sz w:val="26"/>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0.3pt;mso-wrap-distance-left:0pt;mso-wrap-distance-right:0pt;mso-wrap-distance-top:0pt;mso-wrap-distance-bottom:0pt;margin-top:0pt;mso-position-vertical:top;mso-position-vertical-relative:text;margin-left:265.35pt;mso-position-horizontal:right;mso-position-horizontal-relative:text">
                <v:textbox>
                  <w:txbxContent>
                    <w:tbl>
                      <w:tblPr>
                        <w:tblW w:w="4330" w:type="dxa"/>
                        <w:jc w:val="left"/>
                        <w:tblInd w:w="0" w:type="dxa"/>
                        <w:tblCellMar>
                          <w:top w:w="0" w:type="dxa"/>
                          <w:left w:w="0" w:type="dxa"/>
                          <w:bottom w:w="0" w:type="dxa"/>
                          <w:right w:w="0" w:type="dxa"/>
                        </w:tblCellMar>
                      </w:tblPr>
                      <w:tblGrid>
                        <w:gridCol w:w="3950"/>
                        <w:gridCol w:w="380"/>
                      </w:tblGrid>
                      <w:tr>
                        <w:trPr/>
                        <w:tc>
                          <w:tcPr>
                            <w:tcW w:w="3950" w:type="dxa"/>
                            <w:tcBorders/>
                            <w:shd w:fill="auto" w:val="clear"/>
                            <w:vAlign w:val="center"/>
                          </w:tcPr>
                          <w:p>
                            <w:pPr>
                              <w:pStyle w:val="TableContents"/>
                              <w:pBdr/>
                              <w:spacing w:before="0" w:after="15"/>
                              <w:ind w:left="0" w:right="105" w:hanging="0"/>
                              <w:rPr/>
                            </w:pPr>
                            <w:hyperlink w:anchor="new_id-138">
                              <w:r>
                                <w:rPr>
                                  <w:rStyle w:val="InternetLink"/>
                                  <w:rFonts w:ascii="Arial" w:hAnsi="Arial"/>
                                  <w:b/>
                                  <w:strike w:val="false"/>
                                  <w:dstrike w:val="false"/>
                                  <w:color w:val="245BA7"/>
                                  <w:sz w:val="26"/>
                                  <w:u w:val="none"/>
                                  <w:effect w:val="none"/>
                                </w:rPr>
                                <w:t>COMPENSATION DASHBOARD</w:t>
                              </w:r>
                            </w:hyperlink>
                            <w:r>
                              <w:rPr>
                                <w:rFonts w:ascii="Arial" w:hAnsi="Arial"/>
                                <w:b/>
                                <w:color w:val="245BA7"/>
                                <w:sz w:val="26"/>
                              </w:rPr>
                              <w:t xml:space="preserve"> </w:t>
                            </w:r>
                          </w:p>
                        </w:tc>
                        <w:tc>
                          <w:tcPr>
                            <w:tcW w:w="380" w:type="dxa"/>
                            <w:tcBorders/>
                            <w:shd w:fill="auto" w:val="clear"/>
                            <w:vAlign w:val="center"/>
                          </w:tcPr>
                          <w:p>
                            <w:pPr>
                              <w:pStyle w:val="TableContents"/>
                              <w:pBdr/>
                              <w:spacing w:before="0" w:after="15"/>
                              <w:ind w:left="0" w:right="0" w:hanging="0"/>
                              <w:jc w:val="right"/>
                              <w:rPr/>
                            </w:pPr>
                            <w:hyperlink w:anchor="new_id-138">
                              <w:r>
                                <w:rPr>
                                  <w:rStyle w:val="InternetLink"/>
                                  <w:rFonts w:ascii="Arial" w:hAnsi="Arial"/>
                                  <w:b/>
                                  <w:strike w:val="false"/>
                                  <w:dstrike w:val="false"/>
                                  <w:color w:val="245BA7"/>
                                  <w:sz w:val="26"/>
                                  <w:u w:val="none"/>
                                  <w:effect w:val="none"/>
                                </w:rPr>
                                <w:t>79</w:t>
                              </w:r>
                            </w:hyperlink>
                            <w:r>
                              <w:rPr>
                                <w:rFonts w:ascii="Arial" w:hAnsi="Arial"/>
                                <w:b/>
                                <w:color w:val="245BA7"/>
                                <w:sz w:val="26"/>
                              </w:rPr>
                              <w:t xml:space="preserve"> </w:t>
                            </w:r>
                          </w:p>
                        </w:tc>
                      </w:tr>
                    </w:tbl>
                    <w:tbl>
                      <w:tblPr>
                        <w:tblW w:w="4390" w:type="dxa"/>
                        <w:jc w:val="left"/>
                        <w:tblInd w:w="0" w:type="dxa"/>
                        <w:tblCellMar>
                          <w:top w:w="0" w:type="dxa"/>
                          <w:left w:w="0" w:type="dxa"/>
                          <w:bottom w:w="0" w:type="dxa"/>
                          <w:right w:w="0" w:type="dxa"/>
                        </w:tblCellMar>
                      </w:tblPr>
                      <w:tblGrid>
                        <w:gridCol w:w="4055"/>
                        <w:gridCol w:w="335"/>
                      </w:tblGrid>
                      <w:tr>
                        <w:trPr/>
                        <w:tc>
                          <w:tcPr>
                            <w:tcW w:w="4055" w:type="dxa"/>
                            <w:tcBorders/>
                            <w:shd w:fill="auto" w:val="clear"/>
                            <w:vAlign w:val="center"/>
                          </w:tcPr>
                          <w:p>
                            <w:pPr>
                              <w:pStyle w:val="TableContents"/>
                              <w:pBdr/>
                              <w:spacing w:before="0" w:after="60"/>
                              <w:ind w:left="0" w:right="105" w:hanging="0"/>
                              <w:rPr/>
                            </w:pPr>
                            <w:hyperlink w:anchor="new_id-139">
                              <w:r>
                                <w:rPr>
                                  <w:rStyle w:val="InternetLink"/>
                                  <w:rFonts w:ascii="Arial" w:hAnsi="Arial"/>
                                  <w:b/>
                                  <w:strike w:val="false"/>
                                  <w:dstrike w:val="false"/>
                                  <w:color w:val="000000"/>
                                  <w:sz w:val="21"/>
                                  <w:u w:val="none"/>
                                  <w:effect w:val="none"/>
                                </w:rPr>
                                <w:t>2022 Executive Compensation Tables</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39">
                              <w:r>
                                <w:rPr>
                                  <w:rStyle w:val="InternetLink"/>
                                  <w:rFonts w:ascii="Arial" w:hAnsi="Arial"/>
                                  <w:b/>
                                  <w:strike w:val="false"/>
                                  <w:dstrike w:val="false"/>
                                  <w:color w:val="000000"/>
                                  <w:sz w:val="21"/>
                                  <w:u w:val="none"/>
                                  <w:effect w:val="none"/>
                                </w:rPr>
                                <w:t>79</w:t>
                              </w:r>
                            </w:hyperlink>
                            <w:r>
                              <w:rPr>
                                <w:rFonts w:ascii="Arial" w:hAnsi="Arial"/>
                                <w:b/>
                                <w:color w:val="000000"/>
                                <w:sz w:val="21"/>
                              </w:rPr>
                              <w:t xml:space="preserve"> </w:t>
                            </w:r>
                          </w:p>
                        </w:tc>
                      </w:tr>
                    </w:tbl>
                    <w:tbl>
                      <w:tblPr>
                        <w:tblW w:w="4030" w:type="dxa"/>
                        <w:jc w:val="left"/>
                        <w:tblInd w:w="0" w:type="dxa"/>
                        <w:tblCellMar>
                          <w:top w:w="0" w:type="dxa"/>
                          <w:left w:w="0" w:type="dxa"/>
                          <w:bottom w:w="0" w:type="dxa"/>
                          <w:right w:w="0" w:type="dxa"/>
                        </w:tblCellMar>
                      </w:tblPr>
                      <w:tblGrid>
                        <w:gridCol w:w="3695"/>
                        <w:gridCol w:w="335"/>
                      </w:tblGrid>
                      <w:tr>
                        <w:trPr/>
                        <w:tc>
                          <w:tcPr>
                            <w:tcW w:w="3695" w:type="dxa"/>
                            <w:tcBorders/>
                            <w:shd w:fill="auto" w:val="clear"/>
                            <w:vAlign w:val="center"/>
                          </w:tcPr>
                          <w:p>
                            <w:pPr>
                              <w:pStyle w:val="TableContents"/>
                              <w:pBdr/>
                              <w:spacing w:before="0" w:after="60"/>
                              <w:ind w:left="300" w:right="105" w:hanging="0"/>
                              <w:rPr/>
                            </w:pPr>
                            <w:hyperlink w:anchor="new_id-140">
                              <w:r>
                                <w:rPr>
                                  <w:rStyle w:val="InternetLink"/>
                                  <w:rFonts w:ascii="Arial" w:hAnsi="Arial"/>
                                  <w:strike w:val="false"/>
                                  <w:dstrike w:val="false"/>
                                  <w:color w:val="000000"/>
                                  <w:sz w:val="21"/>
                                  <w:u w:val="none"/>
                                  <w:effect w:val="none"/>
                                </w:rPr>
                                <w:t>2022 Summary Compensation Table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40">
                              <w:r>
                                <w:rPr>
                                  <w:rStyle w:val="InternetLink"/>
                                  <w:rFonts w:ascii="Arial" w:hAnsi="Arial"/>
                                  <w:strike w:val="false"/>
                                  <w:dstrike w:val="false"/>
                                  <w:color w:val="000000"/>
                                  <w:sz w:val="21"/>
                                  <w:u w:val="none"/>
                                  <w:effect w:val="none"/>
                                </w:rPr>
                                <w:t>79</w:t>
                              </w:r>
                            </w:hyperlink>
                            <w:r>
                              <w:rPr>
                                <w:rFonts w:ascii="Arial" w:hAnsi="Arial"/>
                                <w:color w:val="000000"/>
                                <w:sz w:val="21"/>
                              </w:rPr>
                              <w:t xml:space="preserve"> </w:t>
                            </w:r>
                          </w:p>
                        </w:tc>
                      </w:tr>
                    </w:tbl>
                    <w:tbl>
                      <w:tblPr>
                        <w:tblW w:w="3880" w:type="dxa"/>
                        <w:jc w:val="left"/>
                        <w:tblInd w:w="0" w:type="dxa"/>
                        <w:tblCellMar>
                          <w:top w:w="0" w:type="dxa"/>
                          <w:left w:w="0" w:type="dxa"/>
                          <w:bottom w:w="0" w:type="dxa"/>
                          <w:right w:w="0" w:type="dxa"/>
                        </w:tblCellMar>
                      </w:tblPr>
                      <w:tblGrid>
                        <w:gridCol w:w="3545"/>
                        <w:gridCol w:w="335"/>
                      </w:tblGrid>
                      <w:tr>
                        <w:trPr/>
                        <w:tc>
                          <w:tcPr>
                            <w:tcW w:w="3545" w:type="dxa"/>
                            <w:tcBorders/>
                            <w:shd w:fill="auto" w:val="clear"/>
                            <w:vAlign w:val="center"/>
                          </w:tcPr>
                          <w:p>
                            <w:pPr>
                              <w:pStyle w:val="TableContents"/>
                              <w:pBdr/>
                              <w:spacing w:before="0" w:after="60"/>
                              <w:ind w:left="300" w:right="105" w:hanging="0"/>
                              <w:rPr/>
                            </w:pPr>
                            <w:hyperlink w:anchor="new_id-141">
                              <w:r>
                                <w:rPr>
                                  <w:rStyle w:val="InternetLink"/>
                                  <w:rFonts w:ascii="Arial" w:hAnsi="Arial"/>
                                  <w:strike w:val="false"/>
                                  <w:dstrike w:val="false"/>
                                  <w:color w:val="000000"/>
                                  <w:sz w:val="21"/>
                                  <w:u w:val="none"/>
                                  <w:effect w:val="none"/>
                                </w:rPr>
                                <w:t xml:space="preserve">2022 Grants of Plan-Based Awards </w:t>
                              </w:r>
                            </w:hyperlink>
                          </w:p>
                        </w:tc>
                        <w:tc>
                          <w:tcPr>
                            <w:tcW w:w="335" w:type="dxa"/>
                            <w:tcBorders/>
                            <w:shd w:fill="auto" w:val="clear"/>
                            <w:vAlign w:val="center"/>
                          </w:tcPr>
                          <w:p>
                            <w:pPr>
                              <w:pStyle w:val="TableContents"/>
                              <w:pBdr/>
                              <w:spacing w:before="0" w:after="60"/>
                              <w:ind w:left="0" w:right="0" w:hanging="0"/>
                              <w:jc w:val="right"/>
                              <w:rPr/>
                            </w:pPr>
                            <w:hyperlink w:anchor="new_id-141">
                              <w:r>
                                <w:rPr>
                                  <w:rStyle w:val="InternetLink"/>
                                  <w:rFonts w:ascii="Arial" w:hAnsi="Arial"/>
                                  <w:strike w:val="false"/>
                                  <w:dstrike w:val="false"/>
                                  <w:color w:val="000000"/>
                                  <w:sz w:val="21"/>
                                  <w:u w:val="none"/>
                                  <w:effect w:val="none"/>
                                </w:rPr>
                                <w:t>80</w:t>
                              </w:r>
                            </w:hyperlink>
                            <w:r>
                              <w:rPr>
                                <w:rFonts w:ascii="Arial" w:hAnsi="Arial"/>
                                <w:color w:val="000000"/>
                                <w:sz w:val="21"/>
                              </w:rPr>
                              <w:t xml:space="preserve"> </w:t>
                            </w:r>
                          </w:p>
                        </w:tc>
                      </w:tr>
                    </w:tbl>
                    <w:tbl>
                      <w:tblPr>
                        <w:tblW w:w="5455" w:type="dxa"/>
                        <w:jc w:val="left"/>
                        <w:tblInd w:w="0" w:type="dxa"/>
                        <w:tblCellMar>
                          <w:top w:w="0" w:type="dxa"/>
                          <w:left w:w="0" w:type="dxa"/>
                          <w:bottom w:w="0" w:type="dxa"/>
                          <w:right w:w="0" w:type="dxa"/>
                        </w:tblCellMar>
                      </w:tblPr>
                      <w:tblGrid>
                        <w:gridCol w:w="5120"/>
                        <w:gridCol w:w="335"/>
                      </w:tblGrid>
                      <w:tr>
                        <w:trPr/>
                        <w:tc>
                          <w:tcPr>
                            <w:tcW w:w="5120" w:type="dxa"/>
                            <w:tcBorders/>
                            <w:shd w:fill="auto" w:val="clear"/>
                            <w:vAlign w:val="center"/>
                          </w:tcPr>
                          <w:p>
                            <w:pPr>
                              <w:pStyle w:val="TableContents"/>
                              <w:pBdr/>
                              <w:spacing w:before="0" w:after="60"/>
                              <w:ind w:left="300" w:right="105" w:hanging="0"/>
                              <w:rPr/>
                            </w:pPr>
                            <w:hyperlink w:anchor="new_id-142">
                              <w:r>
                                <w:rPr>
                                  <w:rStyle w:val="InternetLink"/>
                                  <w:rFonts w:ascii="Arial" w:hAnsi="Arial"/>
                                  <w:strike w:val="false"/>
                                  <w:dstrike w:val="false"/>
                                  <w:color w:val="000000"/>
                                  <w:sz w:val="21"/>
                                  <w:u w:val="none"/>
                                  <w:effect w:val="none"/>
                                </w:rPr>
                                <w:t>Outstanding Equity Awards at 2022 Fiscal Year-End</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42">
                              <w:r>
                                <w:rPr>
                                  <w:rStyle w:val="InternetLink"/>
                                  <w:rFonts w:ascii="Arial" w:hAnsi="Arial"/>
                                  <w:strike w:val="false"/>
                                  <w:dstrike w:val="false"/>
                                  <w:color w:val="000000"/>
                                  <w:sz w:val="21"/>
                                  <w:u w:val="none"/>
                                  <w:effect w:val="none"/>
                                </w:rPr>
                                <w:t>81</w:t>
                              </w:r>
                            </w:hyperlink>
                            <w:r>
                              <w:rPr>
                                <w:rFonts w:ascii="Arial" w:hAnsi="Arial"/>
                                <w:color w:val="000000"/>
                                <w:sz w:val="21"/>
                              </w:rPr>
                              <w:t xml:space="preserve"> </w:t>
                            </w:r>
                          </w:p>
                        </w:tc>
                      </w:tr>
                    </w:tbl>
                    <w:tbl>
                      <w:tblPr>
                        <w:tblW w:w="4405" w:type="dxa"/>
                        <w:jc w:val="left"/>
                        <w:tblInd w:w="0" w:type="dxa"/>
                        <w:tblCellMar>
                          <w:top w:w="0" w:type="dxa"/>
                          <w:left w:w="0" w:type="dxa"/>
                          <w:bottom w:w="0" w:type="dxa"/>
                          <w:right w:w="0" w:type="dxa"/>
                        </w:tblCellMar>
                      </w:tblPr>
                      <w:tblGrid>
                        <w:gridCol w:w="4070"/>
                        <w:gridCol w:w="335"/>
                      </w:tblGrid>
                      <w:tr>
                        <w:trPr/>
                        <w:tc>
                          <w:tcPr>
                            <w:tcW w:w="4070" w:type="dxa"/>
                            <w:tcBorders/>
                            <w:shd w:fill="auto" w:val="clear"/>
                            <w:vAlign w:val="center"/>
                          </w:tcPr>
                          <w:p>
                            <w:pPr>
                              <w:pStyle w:val="TableContents"/>
                              <w:pBdr/>
                              <w:spacing w:before="0" w:after="60"/>
                              <w:ind w:left="300" w:right="105" w:hanging="0"/>
                              <w:rPr/>
                            </w:pPr>
                            <w:hyperlink w:anchor="new_id-143">
                              <w:r>
                                <w:rPr>
                                  <w:rStyle w:val="InternetLink"/>
                                  <w:rFonts w:ascii="Arial" w:hAnsi="Arial"/>
                                  <w:strike w:val="false"/>
                                  <w:dstrike w:val="false"/>
                                  <w:color w:val="000000"/>
                                  <w:sz w:val="21"/>
                                  <w:u w:val="none"/>
                                  <w:effect w:val="none"/>
                                </w:rPr>
                                <w:t xml:space="preserve">2022 Option Exercises and Stock Vested </w:t>
                              </w:r>
                            </w:hyperlink>
                          </w:p>
                        </w:tc>
                        <w:tc>
                          <w:tcPr>
                            <w:tcW w:w="335" w:type="dxa"/>
                            <w:tcBorders/>
                            <w:shd w:fill="auto" w:val="clear"/>
                            <w:vAlign w:val="center"/>
                          </w:tcPr>
                          <w:p>
                            <w:pPr>
                              <w:pStyle w:val="TableContents"/>
                              <w:pBdr/>
                              <w:spacing w:before="0" w:after="60"/>
                              <w:ind w:left="0" w:right="0" w:hanging="0"/>
                              <w:jc w:val="right"/>
                              <w:rPr/>
                            </w:pPr>
                            <w:hyperlink w:anchor="new_id-143">
                              <w:r>
                                <w:rPr>
                                  <w:rStyle w:val="InternetLink"/>
                                  <w:rFonts w:ascii="Arial" w:hAnsi="Arial"/>
                                  <w:strike w:val="false"/>
                                  <w:dstrike w:val="false"/>
                                  <w:color w:val="000000"/>
                                  <w:sz w:val="21"/>
                                  <w:u w:val="none"/>
                                  <w:effect w:val="none"/>
                                </w:rPr>
                                <w:t>84</w:t>
                              </w:r>
                            </w:hyperlink>
                            <w:r>
                              <w:rPr>
                                <w:rFonts w:ascii="Arial" w:hAnsi="Arial"/>
                                <w:color w:val="000000"/>
                                <w:sz w:val="21"/>
                              </w:rPr>
                              <w:t xml:space="preserve"> </w:t>
                            </w:r>
                          </w:p>
                        </w:tc>
                      </w:tr>
                    </w:tbl>
                    <w:tbl>
                      <w:tblPr>
                        <w:tblW w:w="3655" w:type="dxa"/>
                        <w:jc w:val="left"/>
                        <w:tblInd w:w="0" w:type="dxa"/>
                        <w:tblCellMar>
                          <w:top w:w="0" w:type="dxa"/>
                          <w:left w:w="0" w:type="dxa"/>
                          <w:bottom w:w="0" w:type="dxa"/>
                          <w:right w:w="0" w:type="dxa"/>
                        </w:tblCellMar>
                      </w:tblPr>
                      <w:tblGrid>
                        <w:gridCol w:w="3320"/>
                        <w:gridCol w:w="335"/>
                      </w:tblGrid>
                      <w:tr>
                        <w:trPr/>
                        <w:tc>
                          <w:tcPr>
                            <w:tcW w:w="3320" w:type="dxa"/>
                            <w:tcBorders/>
                            <w:shd w:fill="auto" w:val="clear"/>
                            <w:vAlign w:val="center"/>
                          </w:tcPr>
                          <w:p>
                            <w:pPr>
                              <w:pStyle w:val="TableContents"/>
                              <w:pBdr/>
                              <w:spacing w:before="0" w:after="60"/>
                              <w:ind w:left="300" w:right="105" w:hanging="0"/>
                              <w:rPr/>
                            </w:pPr>
                            <w:hyperlink w:anchor="new_id-144">
                              <w:r>
                                <w:rPr>
                                  <w:rStyle w:val="InternetLink"/>
                                  <w:rFonts w:ascii="Arial" w:hAnsi="Arial"/>
                                  <w:strike w:val="false"/>
                                  <w:dstrike w:val="false"/>
                                  <w:color w:val="000000"/>
                                  <w:sz w:val="21"/>
                                  <w:u w:val="none"/>
                                  <w:effect w:val="none"/>
                                </w:rPr>
                                <w:t xml:space="preserve">Post-Employment Compensation </w:t>
                              </w:r>
                            </w:hyperlink>
                          </w:p>
                        </w:tc>
                        <w:tc>
                          <w:tcPr>
                            <w:tcW w:w="335" w:type="dxa"/>
                            <w:tcBorders/>
                            <w:shd w:fill="auto" w:val="clear"/>
                            <w:vAlign w:val="center"/>
                          </w:tcPr>
                          <w:p>
                            <w:pPr>
                              <w:pStyle w:val="TableContents"/>
                              <w:pBdr/>
                              <w:spacing w:before="0" w:after="60"/>
                              <w:ind w:left="0" w:right="0" w:hanging="0"/>
                              <w:jc w:val="right"/>
                              <w:rPr/>
                            </w:pPr>
                            <w:hyperlink w:anchor="new_id-144">
                              <w:r>
                                <w:rPr>
                                  <w:rStyle w:val="InternetLink"/>
                                  <w:rFonts w:ascii="Arial" w:hAnsi="Arial"/>
                                  <w:strike w:val="false"/>
                                  <w:dstrike w:val="false"/>
                                  <w:color w:val="000000"/>
                                  <w:sz w:val="21"/>
                                  <w:u w:val="none"/>
                                  <w:effect w:val="none"/>
                                </w:rPr>
                                <w:t>84</w:t>
                              </w:r>
                            </w:hyperlink>
                            <w:r>
                              <w:rPr>
                                <w:rFonts w:ascii="Arial" w:hAnsi="Arial"/>
                                <w:color w:val="000000"/>
                                <w:sz w:val="21"/>
                              </w:rPr>
                              <w:t xml:space="preserve"> </w:t>
                            </w:r>
                          </w:p>
                        </w:tc>
                      </w:tr>
                    </w:tbl>
                    <w:tbl>
                      <w:tblPr>
                        <w:tblW w:w="4405" w:type="dxa"/>
                        <w:jc w:val="left"/>
                        <w:tblInd w:w="0" w:type="dxa"/>
                        <w:tblCellMar>
                          <w:top w:w="0" w:type="dxa"/>
                          <w:left w:w="0" w:type="dxa"/>
                          <w:bottom w:w="0" w:type="dxa"/>
                          <w:right w:w="0" w:type="dxa"/>
                        </w:tblCellMar>
                      </w:tblPr>
                      <w:tblGrid>
                        <w:gridCol w:w="4070"/>
                        <w:gridCol w:w="335"/>
                      </w:tblGrid>
                      <w:tr>
                        <w:trPr/>
                        <w:tc>
                          <w:tcPr>
                            <w:tcW w:w="4070" w:type="dxa"/>
                            <w:tcBorders/>
                            <w:shd w:fill="auto" w:val="clear"/>
                            <w:vAlign w:val="center"/>
                          </w:tcPr>
                          <w:p>
                            <w:pPr>
                              <w:pStyle w:val="TableContents"/>
                              <w:pBdr/>
                              <w:spacing w:before="0" w:after="60"/>
                              <w:ind w:left="0" w:right="105" w:hanging="0"/>
                              <w:rPr/>
                            </w:pPr>
                            <w:hyperlink w:anchor="new_id-149">
                              <w:r>
                                <w:rPr>
                                  <w:rStyle w:val="InternetLink"/>
                                  <w:rFonts w:ascii="Arial" w:hAnsi="Arial"/>
                                  <w:b/>
                                  <w:strike w:val="false"/>
                                  <w:dstrike w:val="false"/>
                                  <w:color w:val="000000"/>
                                  <w:sz w:val="21"/>
                                  <w:u w:val="none"/>
                                  <w:effect w:val="none"/>
                                </w:rPr>
                                <w:t>Additional Compensation Information</w:t>
                              </w:r>
                            </w:hyperlink>
                            <w:r>
                              <w:rPr>
                                <w:rFonts w:ascii="Arial" w:hAnsi="Arial"/>
                                <w:b/>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49">
                              <w:r>
                                <w:rPr>
                                  <w:rStyle w:val="InternetLink"/>
                                  <w:rFonts w:ascii="Arial" w:hAnsi="Arial"/>
                                  <w:b/>
                                  <w:strike w:val="false"/>
                                  <w:dstrike w:val="false"/>
                                  <w:color w:val="000000"/>
                                  <w:sz w:val="21"/>
                                  <w:u w:val="none"/>
                                  <w:effect w:val="none"/>
                                </w:rPr>
                                <w:t>88</w:t>
                              </w:r>
                            </w:hyperlink>
                            <w:r>
                              <w:rPr>
                                <w:rFonts w:ascii="Arial" w:hAnsi="Arial"/>
                                <w:b/>
                                <w:color w:val="000000"/>
                                <w:sz w:val="21"/>
                              </w:rPr>
                              <w:t xml:space="preserve"> </w:t>
                            </w:r>
                          </w:p>
                        </w:tc>
                      </w:tr>
                    </w:tbl>
                    <w:tbl>
                      <w:tblPr>
                        <w:tblW w:w="2770" w:type="dxa"/>
                        <w:jc w:val="left"/>
                        <w:tblInd w:w="0" w:type="dxa"/>
                        <w:tblCellMar>
                          <w:top w:w="0" w:type="dxa"/>
                          <w:left w:w="0" w:type="dxa"/>
                          <w:bottom w:w="0" w:type="dxa"/>
                          <w:right w:w="0" w:type="dxa"/>
                        </w:tblCellMar>
                      </w:tblPr>
                      <w:tblGrid>
                        <w:gridCol w:w="2435"/>
                        <w:gridCol w:w="335"/>
                      </w:tblGrid>
                      <w:tr>
                        <w:trPr/>
                        <w:tc>
                          <w:tcPr>
                            <w:tcW w:w="2435" w:type="dxa"/>
                            <w:tcBorders/>
                            <w:shd w:fill="auto" w:val="clear"/>
                            <w:vAlign w:val="center"/>
                          </w:tcPr>
                          <w:p>
                            <w:pPr>
                              <w:pStyle w:val="TableContents"/>
                              <w:pBdr/>
                              <w:spacing w:before="0" w:after="60"/>
                              <w:ind w:left="300" w:right="105" w:hanging="0"/>
                              <w:rPr/>
                            </w:pPr>
                            <w:hyperlink w:anchor="new_id-150">
                              <w:r>
                                <w:rPr>
                                  <w:rStyle w:val="InternetLink"/>
                                  <w:rFonts w:ascii="Arial" w:hAnsi="Arial"/>
                                  <w:strike w:val="false"/>
                                  <w:dstrike w:val="false"/>
                                  <w:color w:val="000000"/>
                                  <w:sz w:val="21"/>
                                  <w:u w:val="none"/>
                                  <w:effect w:val="none"/>
                                </w:rPr>
                                <w:t xml:space="preserve">Annual Cash Incentives </w:t>
                              </w:r>
                            </w:hyperlink>
                          </w:p>
                        </w:tc>
                        <w:tc>
                          <w:tcPr>
                            <w:tcW w:w="335" w:type="dxa"/>
                            <w:tcBorders/>
                            <w:shd w:fill="auto" w:val="clear"/>
                            <w:vAlign w:val="center"/>
                          </w:tcPr>
                          <w:p>
                            <w:pPr>
                              <w:pStyle w:val="TableContents"/>
                              <w:pBdr/>
                              <w:spacing w:before="0" w:after="60"/>
                              <w:ind w:left="0" w:right="0" w:hanging="0"/>
                              <w:jc w:val="right"/>
                              <w:rPr/>
                            </w:pPr>
                            <w:hyperlink w:anchor="new_id-150">
                              <w:r>
                                <w:rPr>
                                  <w:rStyle w:val="InternetLink"/>
                                  <w:rFonts w:ascii="Arial" w:hAnsi="Arial"/>
                                  <w:strike w:val="false"/>
                                  <w:dstrike w:val="false"/>
                                  <w:color w:val="000000"/>
                                  <w:sz w:val="21"/>
                                  <w:u w:val="none"/>
                                  <w:effect w:val="none"/>
                                </w:rPr>
                                <w:t>88</w:t>
                              </w:r>
                            </w:hyperlink>
                            <w:r>
                              <w:rPr>
                                <w:rFonts w:ascii="Arial" w:hAnsi="Arial"/>
                                <w:color w:val="000000"/>
                                <w:sz w:val="21"/>
                              </w:rPr>
                              <w:t xml:space="preserve"> </w:t>
                            </w:r>
                          </w:p>
                        </w:tc>
                      </w:tr>
                    </w:tbl>
                    <w:tbl>
                      <w:tblPr>
                        <w:tblW w:w="3730" w:type="dxa"/>
                        <w:jc w:val="left"/>
                        <w:tblInd w:w="0" w:type="dxa"/>
                        <w:tblCellMar>
                          <w:top w:w="0" w:type="dxa"/>
                          <w:left w:w="0" w:type="dxa"/>
                          <w:bottom w:w="0" w:type="dxa"/>
                          <w:right w:w="0" w:type="dxa"/>
                        </w:tblCellMar>
                      </w:tblPr>
                      <w:tblGrid>
                        <w:gridCol w:w="3395"/>
                        <w:gridCol w:w="335"/>
                      </w:tblGrid>
                      <w:tr>
                        <w:trPr/>
                        <w:tc>
                          <w:tcPr>
                            <w:tcW w:w="3395" w:type="dxa"/>
                            <w:tcBorders/>
                            <w:shd w:fill="auto" w:val="clear"/>
                            <w:vAlign w:val="center"/>
                          </w:tcPr>
                          <w:p>
                            <w:pPr>
                              <w:pStyle w:val="TableContents"/>
                              <w:pBdr/>
                              <w:spacing w:before="0" w:after="60"/>
                              <w:ind w:left="300" w:right="105" w:hanging="0"/>
                              <w:rPr/>
                            </w:pPr>
                            <w:hyperlink w:anchor="new_id-151">
                              <w:r>
                                <w:rPr>
                                  <w:rStyle w:val="InternetLink"/>
                                  <w:rFonts w:ascii="Arial" w:hAnsi="Arial"/>
                                  <w:strike w:val="false"/>
                                  <w:dstrike w:val="false"/>
                                  <w:color w:val="000000"/>
                                  <w:sz w:val="21"/>
                                  <w:u w:val="none"/>
                                  <w:effect w:val="none"/>
                                </w:rPr>
                                <w:t>Perquisites and Personal Benefits</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51">
                              <w:r>
                                <w:rPr>
                                  <w:rStyle w:val="InternetLink"/>
                                  <w:rFonts w:ascii="Arial" w:hAnsi="Arial"/>
                                  <w:strike w:val="false"/>
                                  <w:dstrike w:val="false"/>
                                  <w:color w:val="000000"/>
                                  <w:sz w:val="21"/>
                                  <w:u w:val="none"/>
                                  <w:effect w:val="none"/>
                                </w:rPr>
                                <w:t>93</w:t>
                              </w:r>
                            </w:hyperlink>
                            <w:r>
                              <w:rPr>
                                <w:rFonts w:ascii="Arial" w:hAnsi="Arial"/>
                                <w:color w:val="000000"/>
                                <w:sz w:val="21"/>
                              </w:rPr>
                              <w:t xml:space="preserve"> </w:t>
                            </w:r>
                          </w:p>
                        </w:tc>
                      </w:tr>
                    </w:tbl>
                    <w:tbl>
                      <w:tblPr>
                        <w:tblW w:w="3445" w:type="dxa"/>
                        <w:jc w:val="left"/>
                        <w:tblInd w:w="0" w:type="dxa"/>
                        <w:tblCellMar>
                          <w:top w:w="0" w:type="dxa"/>
                          <w:left w:w="0" w:type="dxa"/>
                          <w:bottom w:w="0" w:type="dxa"/>
                          <w:right w:w="0" w:type="dxa"/>
                        </w:tblCellMar>
                      </w:tblPr>
                      <w:tblGrid>
                        <w:gridCol w:w="3110"/>
                        <w:gridCol w:w="335"/>
                      </w:tblGrid>
                      <w:tr>
                        <w:trPr/>
                        <w:tc>
                          <w:tcPr>
                            <w:tcW w:w="3110" w:type="dxa"/>
                            <w:tcBorders/>
                            <w:shd w:fill="auto" w:val="clear"/>
                            <w:vAlign w:val="center"/>
                          </w:tcPr>
                          <w:p>
                            <w:pPr>
                              <w:pStyle w:val="TableContents"/>
                              <w:pBdr/>
                              <w:spacing w:before="0" w:after="60"/>
                              <w:ind w:left="300" w:right="105" w:hanging="0"/>
                              <w:rPr/>
                            </w:pPr>
                            <w:hyperlink w:anchor="new_id-152">
                              <w:r>
                                <w:rPr>
                                  <w:rStyle w:val="InternetLink"/>
                                  <w:rFonts w:ascii="Arial" w:hAnsi="Arial"/>
                                  <w:strike w:val="false"/>
                                  <w:dstrike w:val="false"/>
                                  <w:color w:val="000000"/>
                                  <w:sz w:val="21"/>
                                  <w:u w:val="none"/>
                                  <w:effect w:val="none"/>
                                </w:rPr>
                                <w:t xml:space="preserve">Potential Severance Payments </w:t>
                              </w:r>
                            </w:hyperlink>
                          </w:p>
                        </w:tc>
                        <w:tc>
                          <w:tcPr>
                            <w:tcW w:w="335" w:type="dxa"/>
                            <w:tcBorders/>
                            <w:shd w:fill="auto" w:val="clear"/>
                            <w:vAlign w:val="center"/>
                          </w:tcPr>
                          <w:p>
                            <w:pPr>
                              <w:pStyle w:val="TableContents"/>
                              <w:pBdr/>
                              <w:spacing w:before="0" w:after="60"/>
                              <w:ind w:left="0" w:right="0" w:hanging="0"/>
                              <w:jc w:val="right"/>
                              <w:rPr/>
                            </w:pPr>
                            <w:hyperlink w:anchor="new_id-152">
                              <w:r>
                                <w:rPr>
                                  <w:rStyle w:val="InternetLink"/>
                                  <w:rFonts w:ascii="Arial" w:hAnsi="Arial"/>
                                  <w:strike w:val="false"/>
                                  <w:dstrike w:val="false"/>
                                  <w:color w:val="000000"/>
                                  <w:sz w:val="21"/>
                                  <w:u w:val="none"/>
                                  <w:effect w:val="none"/>
                                </w:rPr>
                                <w:t>94</w:t>
                              </w:r>
                            </w:hyperlink>
                            <w:r>
                              <w:rPr>
                                <w:rFonts w:ascii="Arial" w:hAnsi="Arial"/>
                                <w:color w:val="000000"/>
                                <w:sz w:val="21"/>
                              </w:rPr>
                              <w:t xml:space="preserve"> </w:t>
                            </w:r>
                          </w:p>
                        </w:tc>
                      </w:tr>
                    </w:tbl>
                    <w:tbl>
                      <w:tblPr>
                        <w:tblW w:w="1450" w:type="dxa"/>
                        <w:jc w:val="left"/>
                        <w:tblInd w:w="0" w:type="dxa"/>
                        <w:tblCellMar>
                          <w:top w:w="0" w:type="dxa"/>
                          <w:left w:w="0" w:type="dxa"/>
                          <w:bottom w:w="0" w:type="dxa"/>
                          <w:right w:w="0" w:type="dxa"/>
                        </w:tblCellMar>
                      </w:tblPr>
                      <w:tblGrid>
                        <w:gridCol w:w="1115"/>
                        <w:gridCol w:w="335"/>
                      </w:tblGrid>
                      <w:tr>
                        <w:trPr/>
                        <w:tc>
                          <w:tcPr>
                            <w:tcW w:w="1115" w:type="dxa"/>
                            <w:tcBorders/>
                            <w:shd w:fill="auto" w:val="clear"/>
                            <w:vAlign w:val="center"/>
                          </w:tcPr>
                          <w:p>
                            <w:pPr>
                              <w:pStyle w:val="TableContents"/>
                              <w:pBdr/>
                              <w:spacing w:before="0" w:after="60"/>
                              <w:ind w:left="300" w:right="105" w:hanging="0"/>
                              <w:rPr/>
                            </w:pPr>
                            <w:hyperlink w:anchor="new_id-153">
                              <w:r>
                                <w:rPr>
                                  <w:rStyle w:val="InternetLink"/>
                                  <w:rFonts w:ascii="Arial" w:hAnsi="Arial"/>
                                  <w:strike w:val="false"/>
                                  <w:dstrike w:val="false"/>
                                  <w:color w:val="000000"/>
                                  <w:sz w:val="21"/>
                                  <w:u w:val="none"/>
                                  <w:effect w:val="none"/>
                                </w:rPr>
                                <w:t>Pay Ratio</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53">
                              <w:r>
                                <w:rPr>
                                  <w:rStyle w:val="InternetLink"/>
                                  <w:rFonts w:ascii="Arial" w:hAnsi="Arial"/>
                                  <w:strike w:val="false"/>
                                  <w:dstrike w:val="false"/>
                                  <w:color w:val="000000"/>
                                  <w:sz w:val="21"/>
                                  <w:u w:val="none"/>
                                  <w:effect w:val="none"/>
                                </w:rPr>
                                <w:t>95</w:t>
                              </w:r>
                            </w:hyperlink>
                            <w:r>
                              <w:rPr>
                                <w:rFonts w:ascii="Arial" w:hAnsi="Arial"/>
                                <w:color w:val="000000"/>
                                <w:sz w:val="21"/>
                              </w:rPr>
                              <w:t xml:space="preserve"> </w:t>
                            </w:r>
                          </w:p>
                        </w:tc>
                      </w:tr>
                    </w:tbl>
                    <w:tbl>
                      <w:tblPr>
                        <w:tblW w:w="2905" w:type="dxa"/>
                        <w:jc w:val="left"/>
                        <w:tblInd w:w="0" w:type="dxa"/>
                        <w:tblCellMar>
                          <w:top w:w="0" w:type="dxa"/>
                          <w:left w:w="0" w:type="dxa"/>
                          <w:bottom w:w="0" w:type="dxa"/>
                          <w:right w:w="0" w:type="dxa"/>
                        </w:tblCellMar>
                      </w:tblPr>
                      <w:tblGrid>
                        <w:gridCol w:w="2570"/>
                        <w:gridCol w:w="335"/>
                      </w:tblGrid>
                      <w:tr>
                        <w:trPr/>
                        <w:tc>
                          <w:tcPr>
                            <w:tcW w:w="2570" w:type="dxa"/>
                            <w:tcBorders/>
                            <w:shd w:fill="auto" w:val="clear"/>
                            <w:vAlign w:val="center"/>
                          </w:tcPr>
                          <w:p>
                            <w:pPr>
                              <w:pStyle w:val="TableContents"/>
                              <w:pBdr/>
                              <w:spacing w:before="0" w:after="60"/>
                              <w:ind w:left="300" w:right="105" w:hanging="0"/>
                              <w:rPr/>
                            </w:pPr>
                            <w:hyperlink w:anchor="new_id-154">
                              <w:r>
                                <w:rPr>
                                  <w:rStyle w:val="InternetLink"/>
                                  <w:rFonts w:ascii="Arial" w:hAnsi="Arial"/>
                                  <w:strike w:val="false"/>
                                  <w:dstrike w:val="false"/>
                                  <w:color w:val="000000"/>
                                  <w:sz w:val="21"/>
                                  <w:u w:val="none"/>
                                  <w:effect w:val="none"/>
                                </w:rPr>
                                <w:t>Pay Versus Performance</w:t>
                              </w:r>
                            </w:hyperlink>
                            <w:r>
                              <w:rPr>
                                <w:rFonts w:ascii="Arial" w:hAnsi="Arial"/>
                                <w:color w:val="000000"/>
                                <w:sz w:val="21"/>
                              </w:rPr>
                              <w:t xml:space="preserve"> </w:t>
                            </w:r>
                          </w:p>
                        </w:tc>
                        <w:tc>
                          <w:tcPr>
                            <w:tcW w:w="335" w:type="dxa"/>
                            <w:tcBorders/>
                            <w:shd w:fill="auto" w:val="clear"/>
                            <w:vAlign w:val="center"/>
                          </w:tcPr>
                          <w:p>
                            <w:pPr>
                              <w:pStyle w:val="TableContents"/>
                              <w:pBdr/>
                              <w:spacing w:before="0" w:after="60"/>
                              <w:ind w:left="0" w:right="0" w:hanging="0"/>
                              <w:jc w:val="right"/>
                              <w:rPr/>
                            </w:pPr>
                            <w:hyperlink w:anchor="new_id-154">
                              <w:r>
                                <w:rPr>
                                  <w:rStyle w:val="InternetLink"/>
                                  <w:rFonts w:ascii="Arial" w:hAnsi="Arial"/>
                                  <w:strike w:val="false"/>
                                  <w:dstrike w:val="false"/>
                                  <w:color w:val="000000"/>
                                  <w:sz w:val="21"/>
                                  <w:u w:val="none"/>
                                  <w:effect w:val="none"/>
                                </w:rPr>
                                <w:t>96</w:t>
                              </w:r>
                            </w:hyperlink>
                            <w:r>
                              <w:rPr>
                                <w:rFonts w:ascii="Arial" w:hAnsi="Arial"/>
                                <w:color w:val="000000"/>
                                <w:sz w:val="21"/>
                              </w:rPr>
                              <w:t xml:space="preserve"> </w:t>
                            </w:r>
                          </w:p>
                        </w:tc>
                      </w:tr>
                    </w:tbl>
                    <w:tbl>
                      <w:tblPr>
                        <w:tblW w:w="3820" w:type="dxa"/>
                        <w:jc w:val="left"/>
                        <w:tblInd w:w="0" w:type="dxa"/>
                        <w:tblCellMar>
                          <w:top w:w="0" w:type="dxa"/>
                          <w:left w:w="0" w:type="dxa"/>
                          <w:bottom w:w="0" w:type="dxa"/>
                          <w:right w:w="0" w:type="dxa"/>
                        </w:tblCellMar>
                      </w:tblPr>
                      <w:tblGrid>
                        <w:gridCol w:w="3365"/>
                        <w:gridCol w:w="455"/>
                      </w:tblGrid>
                      <w:tr>
                        <w:trPr/>
                        <w:tc>
                          <w:tcPr>
                            <w:tcW w:w="3365" w:type="dxa"/>
                            <w:tcBorders/>
                            <w:shd w:fill="auto" w:val="clear"/>
                            <w:vAlign w:val="center"/>
                          </w:tcPr>
                          <w:p>
                            <w:pPr>
                              <w:pStyle w:val="TableContents"/>
                              <w:pBdr/>
                              <w:spacing w:before="0" w:after="60"/>
                              <w:ind w:left="300" w:right="105" w:hanging="0"/>
                              <w:rPr/>
                            </w:pPr>
                            <w:hyperlink w:anchor="new_id-164">
                              <w:r>
                                <w:rPr>
                                  <w:rStyle w:val="InternetLink"/>
                                  <w:rFonts w:ascii="Arial" w:hAnsi="Arial"/>
                                  <w:strike w:val="false"/>
                                  <w:dstrike w:val="false"/>
                                  <w:color w:val="000000"/>
                                  <w:sz w:val="21"/>
                                  <w:u w:val="none"/>
                                  <w:effect w:val="none"/>
                                </w:rPr>
                                <w:t>Equity Compensation Information</w:t>
                              </w:r>
                            </w:hyperlink>
                            <w:r>
                              <w:rPr>
                                <w:rFonts w:ascii="Arial" w:hAnsi="Arial"/>
                                <w:color w:val="000000"/>
                                <w:sz w:val="21"/>
                              </w:rPr>
                              <w:t xml:space="preserve"> </w:t>
                            </w:r>
                          </w:p>
                        </w:tc>
                        <w:tc>
                          <w:tcPr>
                            <w:tcW w:w="455" w:type="dxa"/>
                            <w:tcBorders/>
                            <w:shd w:fill="auto" w:val="clear"/>
                            <w:vAlign w:val="center"/>
                          </w:tcPr>
                          <w:p>
                            <w:pPr>
                              <w:pStyle w:val="TableContents"/>
                              <w:pBdr/>
                              <w:spacing w:before="0" w:after="60"/>
                              <w:ind w:left="0" w:right="0" w:hanging="0"/>
                              <w:jc w:val="right"/>
                              <w:rPr/>
                            </w:pPr>
                            <w:hyperlink w:anchor="new_id-164">
                              <w:r>
                                <w:rPr>
                                  <w:rStyle w:val="InternetLink"/>
                                  <w:rFonts w:ascii="Arial" w:hAnsi="Arial"/>
                                  <w:strike w:val="false"/>
                                  <w:dstrike w:val="false"/>
                                  <w:color w:val="000000"/>
                                  <w:sz w:val="21"/>
                                  <w:u w:val="none"/>
                                  <w:effect w:val="none"/>
                                </w:rPr>
                                <w:t>100</w:t>
                              </w:r>
                            </w:hyperlink>
                            <w:r>
                              <w:rPr>
                                <w:rFonts w:ascii="Arial" w:hAnsi="Arial"/>
                                <w:color w:val="000000"/>
                                <w:sz w:val="21"/>
                              </w:rPr>
                              <w:t xml:space="preserve"> </w:t>
                            </w:r>
                          </w:p>
                        </w:tc>
                      </w:tr>
                    </w:tbl>
                    <w:tbl>
                      <w:tblPr>
                        <w:tblW w:w="10205" w:type="dxa"/>
                        <w:jc w:val="left"/>
                        <w:tblInd w:w="0" w:type="dxa"/>
                        <w:tblCellMar>
                          <w:top w:w="0" w:type="dxa"/>
                          <w:left w:w="0" w:type="dxa"/>
                          <w:bottom w:w="0" w:type="dxa"/>
                          <w:right w:w="0" w:type="dxa"/>
                        </w:tblCellMar>
                      </w:tblPr>
                      <w:tblGrid>
                        <w:gridCol w:w="9767"/>
                        <w:gridCol w:w="438"/>
                      </w:tblGrid>
                      <w:tr>
                        <w:trPr/>
                        <w:tc>
                          <w:tcPr>
                            <w:tcW w:w="9767" w:type="dxa"/>
                            <w:tcBorders/>
                            <w:shd w:fill="auto" w:val="clear"/>
                            <w:vAlign w:val="center"/>
                          </w:tcPr>
                          <w:p>
                            <w:pPr>
                              <w:pStyle w:val="TableContents"/>
                              <w:pBdr/>
                              <w:spacing w:before="0" w:after="60"/>
                              <w:ind w:left="585" w:right="105" w:hanging="0"/>
                              <w:rPr/>
                            </w:pPr>
                            <w:hyperlink w:anchor="new_id-165">
                              <w:r>
                                <w:rPr>
                                  <w:rStyle w:val="InternetLink"/>
                                  <w:rFonts w:ascii="Arial" w:hAnsi="Arial"/>
                                  <w:strike w:val="false"/>
                                  <w:dstrike w:val="false"/>
                                  <w:color w:val="000000"/>
                                  <w:sz w:val="21"/>
                                  <w:u w:val="none"/>
                                  <w:effect w:val="none"/>
                                </w:rPr>
                                <w:t>Corporate Governance Aspects of the Second Amended and Restated Regeneron Pharmaceuticals, Inc. 2014 Long-Term Incentive Plan</w:t>
                              </w:r>
                            </w:hyperlink>
                            <w:r>
                              <w:rPr>
                                <w:rFonts w:ascii="Arial" w:hAnsi="Arial"/>
                                <w:color w:val="000000"/>
                                <w:sz w:val="21"/>
                              </w:rPr>
                              <w:t xml:space="preserve"> </w:t>
                            </w:r>
                          </w:p>
                        </w:tc>
                        <w:tc>
                          <w:tcPr>
                            <w:tcW w:w="438" w:type="dxa"/>
                            <w:tcBorders/>
                            <w:shd w:fill="auto" w:val="clear"/>
                            <w:vAlign w:val="center"/>
                          </w:tcPr>
                          <w:p>
                            <w:pPr>
                              <w:pStyle w:val="TableContents"/>
                              <w:pBdr/>
                              <w:spacing w:before="0" w:after="60"/>
                              <w:ind w:left="0" w:right="0" w:hanging="0"/>
                              <w:jc w:val="right"/>
                              <w:rPr/>
                            </w:pPr>
                            <w:hyperlink w:anchor="new_id-165">
                              <w:r>
                                <w:rPr>
                                  <w:rStyle w:val="InternetLink"/>
                                  <w:rFonts w:ascii="Arial" w:hAnsi="Arial"/>
                                  <w:strike w:val="false"/>
                                  <w:dstrike w:val="false"/>
                                  <w:color w:val="000000"/>
                                  <w:sz w:val="21"/>
                                  <w:u w:val="none"/>
                                  <w:effect w:val="none"/>
                                </w:rPr>
                                <w:t>100</w:t>
                              </w:r>
                            </w:hyperlink>
                            <w:r>
                              <w:rPr>
                                <w:rFonts w:ascii="Arial" w:hAnsi="Arial"/>
                                <w:color w:val="000000"/>
                                <w:sz w:val="21"/>
                              </w:rPr>
                              <w:t xml:space="preserve"> </w:t>
                            </w:r>
                          </w:p>
                        </w:tc>
                      </w:tr>
                    </w:tbl>
                    <w:tbl>
                      <w:tblPr>
                        <w:tblW w:w="2410" w:type="dxa"/>
                        <w:jc w:val="left"/>
                        <w:tblInd w:w="0" w:type="dxa"/>
                        <w:tblCellMar>
                          <w:top w:w="0" w:type="dxa"/>
                          <w:left w:w="0" w:type="dxa"/>
                          <w:bottom w:w="0" w:type="dxa"/>
                          <w:right w:w="0" w:type="dxa"/>
                        </w:tblCellMar>
                      </w:tblPr>
                      <w:tblGrid>
                        <w:gridCol w:w="1955"/>
                        <w:gridCol w:w="455"/>
                      </w:tblGrid>
                      <w:tr>
                        <w:trPr/>
                        <w:tc>
                          <w:tcPr>
                            <w:tcW w:w="1955" w:type="dxa"/>
                            <w:tcBorders/>
                            <w:shd w:fill="auto" w:val="clear"/>
                            <w:vAlign w:val="center"/>
                          </w:tcPr>
                          <w:p>
                            <w:pPr>
                              <w:pStyle w:val="TableContents"/>
                              <w:pBdr/>
                              <w:spacing w:before="0" w:after="60"/>
                              <w:ind w:left="585" w:right="105" w:hanging="0"/>
                              <w:rPr/>
                            </w:pPr>
                            <w:hyperlink w:anchor="new_id-166">
                              <w:r>
                                <w:rPr>
                                  <w:rStyle w:val="InternetLink"/>
                                  <w:rFonts w:ascii="Arial" w:hAnsi="Arial"/>
                                  <w:strike w:val="false"/>
                                  <w:dstrike w:val="false"/>
                                  <w:color w:val="000000"/>
                                  <w:sz w:val="21"/>
                                  <w:u w:val="none"/>
                                  <w:effect w:val="none"/>
                                </w:rPr>
                                <w:t>Key Equity Metrics</w:t>
                              </w:r>
                            </w:hyperlink>
                            <w:r>
                              <w:rPr>
                                <w:rFonts w:ascii="Arial" w:hAnsi="Arial"/>
                                <w:color w:val="000000"/>
                                <w:sz w:val="21"/>
                              </w:rPr>
                              <w:t xml:space="preserve"> </w:t>
                            </w:r>
                          </w:p>
                        </w:tc>
                        <w:tc>
                          <w:tcPr>
                            <w:tcW w:w="455" w:type="dxa"/>
                            <w:tcBorders/>
                            <w:shd w:fill="auto" w:val="clear"/>
                            <w:vAlign w:val="center"/>
                          </w:tcPr>
                          <w:p>
                            <w:pPr>
                              <w:pStyle w:val="TableContents"/>
                              <w:pBdr/>
                              <w:spacing w:before="0" w:after="60"/>
                              <w:ind w:left="0" w:right="0" w:hanging="0"/>
                              <w:jc w:val="right"/>
                              <w:rPr/>
                            </w:pPr>
                            <w:hyperlink w:anchor="new_id-166">
                              <w:r>
                                <w:rPr>
                                  <w:rStyle w:val="InternetLink"/>
                                  <w:rFonts w:ascii="Arial" w:hAnsi="Arial"/>
                                  <w:strike w:val="false"/>
                                  <w:dstrike w:val="false"/>
                                  <w:color w:val="000000"/>
                                  <w:sz w:val="21"/>
                                  <w:u w:val="none"/>
                                  <w:effect w:val="none"/>
                                </w:rPr>
                                <w:t>100</w:t>
                              </w:r>
                            </w:hyperlink>
                            <w:r>
                              <w:rPr>
                                <w:rFonts w:ascii="Arial" w:hAnsi="Arial"/>
                                <w:color w:val="000000"/>
                                <w:sz w:val="21"/>
                              </w:rPr>
                              <w:t xml:space="preserve"> </w:t>
                            </w:r>
                          </w:p>
                        </w:tc>
                      </w:tr>
                    </w:tbl>
                    <w:tbl>
                      <w:tblPr>
                        <w:tblW w:w="4300" w:type="dxa"/>
                        <w:jc w:val="left"/>
                        <w:tblInd w:w="0" w:type="dxa"/>
                        <w:tblCellMar>
                          <w:top w:w="0" w:type="dxa"/>
                          <w:left w:w="0" w:type="dxa"/>
                          <w:bottom w:w="0" w:type="dxa"/>
                          <w:right w:w="0" w:type="dxa"/>
                        </w:tblCellMar>
                      </w:tblPr>
                      <w:tblGrid>
                        <w:gridCol w:w="3845"/>
                        <w:gridCol w:w="455"/>
                      </w:tblGrid>
                      <w:tr>
                        <w:trPr/>
                        <w:tc>
                          <w:tcPr>
                            <w:tcW w:w="3845" w:type="dxa"/>
                            <w:tcBorders/>
                            <w:shd w:fill="auto" w:val="clear"/>
                            <w:vAlign w:val="center"/>
                          </w:tcPr>
                          <w:p>
                            <w:pPr>
                              <w:pStyle w:val="TableContents"/>
                              <w:pBdr/>
                              <w:spacing w:before="0" w:after="60"/>
                              <w:ind w:left="585" w:right="105" w:hanging="0"/>
                              <w:rPr/>
                            </w:pPr>
                            <w:hyperlink w:anchor="new_id-167">
                              <w:r>
                                <w:rPr>
                                  <w:rStyle w:val="InternetLink"/>
                                  <w:rFonts w:ascii="Arial" w:hAnsi="Arial"/>
                                  <w:strike w:val="false"/>
                                  <w:dstrike w:val="false"/>
                                  <w:color w:val="000000"/>
                                  <w:sz w:val="21"/>
                                  <w:u w:val="none"/>
                                  <w:effect w:val="none"/>
                                </w:rPr>
                                <w:t xml:space="preserve">Equity Compensation Plan Information </w:t>
                              </w:r>
                            </w:hyperlink>
                          </w:p>
                        </w:tc>
                        <w:tc>
                          <w:tcPr>
                            <w:tcW w:w="455" w:type="dxa"/>
                            <w:tcBorders/>
                            <w:shd w:fill="auto" w:val="clear"/>
                            <w:vAlign w:val="center"/>
                          </w:tcPr>
                          <w:p>
                            <w:pPr>
                              <w:pStyle w:val="TableContents"/>
                              <w:pBdr/>
                              <w:spacing w:before="0" w:after="60"/>
                              <w:ind w:left="0" w:right="0" w:hanging="0"/>
                              <w:jc w:val="right"/>
                              <w:rPr/>
                            </w:pPr>
                            <w:hyperlink w:anchor="new_id-167">
                              <w:r>
                                <w:rPr>
                                  <w:rStyle w:val="InternetLink"/>
                                  <w:rFonts w:ascii="Arial" w:hAnsi="Arial"/>
                                  <w:strike w:val="false"/>
                                  <w:dstrike w:val="false"/>
                                  <w:color w:val="000000"/>
                                  <w:sz w:val="21"/>
                                  <w:u w:val="none"/>
                                  <w:effect w:val="none"/>
                                </w:rPr>
                                <w:t>101</w:t>
                              </w:r>
                            </w:hyperlink>
                            <w:r>
                              <w:rPr>
                                <w:rFonts w:ascii="Arial" w:hAnsi="Arial"/>
                                <w:color w:val="000000"/>
                                <w:sz w:val="21"/>
                              </w:rPr>
                              <w:t xml:space="preserve"> </w:t>
                            </w:r>
                          </w:p>
                        </w:tc>
                      </w:tr>
                    </w:tbl>
                    <w:tbl>
                      <w:tblPr>
                        <w:tblW w:w="10205" w:type="dxa"/>
                        <w:jc w:val="left"/>
                        <w:tblInd w:w="0" w:type="dxa"/>
                        <w:tblCellMar>
                          <w:top w:w="0" w:type="dxa"/>
                          <w:left w:w="0" w:type="dxa"/>
                          <w:bottom w:w="0" w:type="dxa"/>
                          <w:right w:w="0" w:type="dxa"/>
                        </w:tblCellMar>
                      </w:tblPr>
                      <w:tblGrid>
                        <w:gridCol w:w="9713"/>
                        <w:gridCol w:w="492"/>
                      </w:tblGrid>
                      <w:tr>
                        <w:trPr/>
                        <w:tc>
                          <w:tcPr>
                            <w:tcW w:w="9713" w:type="dxa"/>
                            <w:tcBorders/>
                            <w:shd w:fill="auto" w:val="clear"/>
                            <w:vAlign w:val="center"/>
                          </w:tcPr>
                          <w:p>
                            <w:pPr>
                              <w:pStyle w:val="TableContents"/>
                              <w:pBdr/>
                              <w:spacing w:before="0" w:after="15"/>
                              <w:ind w:left="0" w:right="105" w:hanging="0"/>
                              <w:rPr/>
                            </w:pPr>
                            <w:hyperlink w:anchor="new_id-168">
                              <w:r>
                                <w:rPr>
                                  <w:rStyle w:val="InternetLink"/>
                                  <w:rFonts w:ascii="Arial" w:hAnsi="Arial"/>
                                  <w:b/>
                                  <w:strike w:val="false"/>
                                  <w:dstrike w:val="false"/>
                                  <w:color w:val="245BA7"/>
                                  <w:sz w:val="26"/>
                                  <w:u w:val="none"/>
                                  <w:effect w:val="none"/>
                                </w:rPr>
                                <w:t>PROPOSAL NO. 3 ADVISORY VOTE ON COMPENSATION OF NAMED EXECUTIVE OFFICERS (SAY-ON-PAY)</w:t>
                              </w:r>
                            </w:hyperlink>
                            <w:r>
                              <w:rPr>
                                <w:rFonts w:ascii="Arial" w:hAnsi="Arial"/>
                                <w:b/>
                                <w:color w:val="245BA7"/>
                                <w:sz w:val="26"/>
                              </w:rPr>
                              <w:t xml:space="preserve"> </w:t>
                            </w:r>
                          </w:p>
                        </w:tc>
                        <w:tc>
                          <w:tcPr>
                            <w:tcW w:w="492" w:type="dxa"/>
                            <w:tcBorders/>
                            <w:shd w:fill="auto" w:val="clear"/>
                            <w:vAlign w:val="center"/>
                          </w:tcPr>
                          <w:p>
                            <w:pPr>
                              <w:pStyle w:val="TableContents"/>
                              <w:pBdr/>
                              <w:spacing w:before="0" w:after="15"/>
                              <w:ind w:left="0" w:right="0" w:hanging="0"/>
                              <w:jc w:val="right"/>
                              <w:rPr/>
                            </w:pPr>
                            <w:hyperlink w:anchor="new_id-168">
                              <w:r>
                                <w:rPr>
                                  <w:rStyle w:val="InternetLink"/>
                                  <w:rFonts w:ascii="Arial" w:hAnsi="Arial"/>
                                  <w:b/>
                                  <w:strike w:val="false"/>
                                  <w:dstrike w:val="false"/>
                                  <w:color w:val="245BA7"/>
                                  <w:sz w:val="26"/>
                                  <w:u w:val="none"/>
                                  <w:effect w:val="none"/>
                                </w:rPr>
                                <w:t>102</w:t>
                              </w:r>
                            </w:hyperlink>
                            <w:r>
                              <w:rPr>
                                <w:rFonts w:ascii="Arial" w:hAnsi="Arial"/>
                                <w:b/>
                                <w:color w:val="245BA7"/>
                                <w:sz w:val="26"/>
                              </w:rPr>
                              <w:t xml:space="preserve"> </w:t>
                            </w:r>
                          </w:p>
                        </w:tc>
                      </w:tr>
                    </w:tbl>
                    <w:tbl>
                      <w:tblPr>
                        <w:tblW w:w="10205" w:type="dxa"/>
                        <w:jc w:val="left"/>
                        <w:tblInd w:w="0" w:type="dxa"/>
                        <w:tblCellMar>
                          <w:top w:w="0" w:type="dxa"/>
                          <w:left w:w="0" w:type="dxa"/>
                          <w:bottom w:w="0" w:type="dxa"/>
                          <w:right w:w="0" w:type="dxa"/>
                        </w:tblCellMar>
                      </w:tblPr>
                      <w:tblGrid>
                        <w:gridCol w:w="9719"/>
                        <w:gridCol w:w="486"/>
                      </w:tblGrid>
                      <w:tr>
                        <w:trPr/>
                        <w:tc>
                          <w:tcPr>
                            <w:tcW w:w="9719" w:type="dxa"/>
                            <w:tcBorders/>
                            <w:shd w:fill="auto" w:val="clear"/>
                            <w:vAlign w:val="center"/>
                          </w:tcPr>
                          <w:p>
                            <w:pPr>
                              <w:pStyle w:val="TableContents"/>
                              <w:pBdr/>
                              <w:spacing w:before="0" w:after="15"/>
                              <w:ind w:left="0" w:right="105" w:hanging="0"/>
                              <w:rPr/>
                            </w:pPr>
                            <w:hyperlink w:anchor="new_id-169">
                              <w:r>
                                <w:rPr>
                                  <w:rStyle w:val="InternetLink"/>
                                  <w:rFonts w:ascii="Arial" w:hAnsi="Arial"/>
                                  <w:b/>
                                  <w:strike w:val="false"/>
                                  <w:dstrike w:val="false"/>
                                  <w:color w:val="245BA7"/>
                                  <w:sz w:val="26"/>
                                  <w:u w:val="none"/>
                                  <w:effect w:val="none"/>
                                </w:rPr>
                                <w:t>PROPOSAL NO. 4 ADVISORY VOTE ON THE FREQUENCY OF FUTURE SAY-ON-PAY VOTES (SAY-ON-FREQUENCY)</w:t>
                              </w:r>
                            </w:hyperlink>
                            <w:r>
                              <w:rPr>
                                <w:rFonts w:ascii="Arial" w:hAnsi="Arial"/>
                                <w:b/>
                                <w:color w:val="245BA7"/>
                                <w:sz w:val="26"/>
                              </w:rPr>
                              <w:t xml:space="preserve"> </w:t>
                            </w:r>
                          </w:p>
                        </w:tc>
                        <w:tc>
                          <w:tcPr>
                            <w:tcW w:w="486" w:type="dxa"/>
                            <w:tcBorders/>
                            <w:shd w:fill="auto" w:val="clear"/>
                            <w:vAlign w:val="center"/>
                          </w:tcPr>
                          <w:p>
                            <w:pPr>
                              <w:pStyle w:val="TableContents"/>
                              <w:pBdr/>
                              <w:spacing w:before="0" w:after="15"/>
                              <w:ind w:left="0" w:right="0" w:hanging="0"/>
                              <w:jc w:val="right"/>
                              <w:rPr/>
                            </w:pPr>
                            <w:hyperlink w:anchor="new_id-169">
                              <w:r>
                                <w:rPr>
                                  <w:rStyle w:val="InternetLink"/>
                                  <w:rFonts w:ascii="Arial" w:hAnsi="Arial"/>
                                  <w:b/>
                                  <w:strike w:val="false"/>
                                  <w:dstrike w:val="false"/>
                                  <w:color w:val="245BA7"/>
                                  <w:sz w:val="26"/>
                                  <w:u w:val="none"/>
                                  <w:effect w:val="none"/>
                                </w:rPr>
                                <w:t>104</w:t>
                              </w:r>
                            </w:hyperlink>
                            <w:r>
                              <w:rPr>
                                <w:rFonts w:ascii="Arial" w:hAnsi="Arial"/>
                                <w:b/>
                                <w:color w:val="245BA7"/>
                                <w:sz w:val="26"/>
                              </w:rPr>
                              <w:t xml:space="preserve"> </w:t>
                            </w:r>
                          </w:p>
                        </w:tc>
                      </w:tr>
                    </w:tbl>
                    <w:p>
                      <w:pPr>
                        <w:pStyle w:val="TextBody"/>
                        <w:spacing w:before="0" w:after="283"/>
                        <w:rPr/>
                      </w:pPr>
                      <w:r>
                        <w:rPr/>
                      </w:r>
                    </w:p>
                  </w:txbxContent>
                </v:textbox>
                <w10:wrap type="square" side="left"/>
              </v:rect>
            </w:pict>
          </mc:Fallback>
        </mc:AlternateConten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85"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43" descr=""/>
                          <pic:cNvPicPr>
                            <a:picLocks noChangeAspect="1" noChangeArrowheads="1"/>
                          </pic:cNvPicPr>
                        </pic:nvPicPr>
                        <pic:blipFill>
                          <a:blip r:embed="rId144"/>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51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color w:val="000000"/>
        </w:rPr>
      </w:pPr>
      <w:r>
        <w:rPr>
          <w:color w:val="000000"/>
        </w:rPr>
        <w:drawing>
          <wp:inline distT="0" distB="0" distL="0" distR="0">
            <wp:extent cx="7620000" cy="1552575"/>
            <wp:effectExtent l="0" t="0" r="0" b="0"/>
            <wp:docPr id="186"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44" descr=""/>
                    <pic:cNvPicPr>
                      <a:picLocks noChangeAspect="1" noChangeArrowheads="1"/>
                    </pic:cNvPicPr>
                  </pic:nvPicPr>
                  <pic:blipFill>
                    <a:blip r:embed="rId145"/>
                    <a:stretch>
                      <a:fillRect/>
                    </a:stretch>
                  </pic:blipFill>
                  <pic:spPr bwMode="auto">
                    <a:xfrm>
                      <a:off x="0" y="0"/>
                      <a:ext cx="7620000" cy="1552575"/>
                    </a:xfrm>
                    <a:prstGeom prst="rect">
                      <a:avLst/>
                    </a:prstGeom>
                  </pic:spPr>
                </pic:pic>
              </a:graphicData>
            </a:graphic>
          </wp:inline>
        </w:drawing>
      </w:r>
    </w:p>
    <w:p>
      <w:pPr>
        <w:pStyle w:val="Normal"/>
        <w:spacing w:before="0" w:after="0"/>
        <w:rPr>
          <w:sz w:val="4"/>
          <w:szCs w:val="4"/>
        </w:rPr>
      </w:pPr>
      <w:r>
        <w:rPr>
          <w:sz w:val="4"/>
          <w:szCs w:val="4"/>
        </w:rPr>
      </w:r>
      <w:bookmarkStart w:id="100" w:name="new_id-93"/>
      <w:bookmarkStart w:id="101" w:name="new_id-93"/>
      <w:bookmarkEnd w:id="101"/>
    </w:p>
    <w:tbl>
      <w:tblPr>
        <w:tblW w:w="4456" w:type="dxa"/>
        <w:jc w:val="left"/>
        <w:tblInd w:w="0" w:type="dxa"/>
        <w:tblCellMar>
          <w:top w:w="28" w:type="dxa"/>
          <w:left w:w="28" w:type="dxa"/>
          <w:bottom w:w="28" w:type="dxa"/>
          <w:right w:w="28" w:type="dxa"/>
        </w:tblCellMar>
      </w:tblPr>
      <w:tblGrid>
        <w:gridCol w:w="4456"/>
      </w:tblGrid>
      <w:tr>
        <w:trPr/>
        <w:tc>
          <w:tcPr>
            <w:tcW w:w="4456" w:type="dxa"/>
            <w:tcBorders/>
            <w:shd w:fill="auto" w:val="clear"/>
            <w:vAlign w:val="center"/>
          </w:tcPr>
          <w:p>
            <w:pPr>
              <w:pStyle w:val="Heading1"/>
              <w:pBdr/>
              <w:spacing w:before="0" w:after="0"/>
              <w:ind w:left="0" w:right="0" w:hanging="0"/>
              <w:rPr>
                <w:rFonts w:ascii="Arial" w:hAnsi="Arial"/>
                <w:b/>
                <w:i w:val="false"/>
                <w:caps w:val="false"/>
                <w:smallCaps w:val="false"/>
                <w:color w:val="245BA7"/>
                <w:sz w:val="54"/>
              </w:rPr>
            </w:pPr>
            <w:r>
              <w:rPr>
                <w:rFonts w:ascii="Arial" w:hAnsi="Arial"/>
                <w:b/>
                <w:i w:val="false"/>
                <w:caps w:val="false"/>
                <w:smallCaps w:val="false"/>
                <w:color w:val="245BA7"/>
                <w:sz w:val="54"/>
              </w:rPr>
              <w:t xml:space="preserve">INTRODUCTION </w:t>
            </w:r>
          </w:p>
        </w:tc>
      </w:tr>
    </w:tbl>
    <w:p>
      <w:pPr>
        <w:pStyle w:val="TextBody"/>
        <w:pBdr/>
        <w:spacing w:before="0" w:after="0"/>
        <w:ind w:left="0" w:right="0" w:hanging="0"/>
        <w:jc w:val="left"/>
        <w:rPr>
          <w:caps w:val="false"/>
          <w:smallCaps w:val="false"/>
        </w:rPr>
      </w:pPr>
      <w:r>
        <w:rPr>
          <w:caps w:val="false"/>
          <w:smallCaps w:val="false"/>
        </w:rPr>
        <w:t> </w:t>
      </w:r>
    </w:p>
    <w:p>
      <w:pPr>
        <w:pStyle w:val="TextBody"/>
        <w:pBdr/>
        <w:spacing w:before="500" w:after="210"/>
        <w:ind w:left="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At the upcoming 2023 Annual Meeting, we seek your input on the compensation of our “Named Executive Officers”</w:t>
      </w:r>
      <w:r>
        <w:rPr>
          <w:rFonts w:ascii="Arial" w:hAnsi="Arial"/>
          <w:b w:val="false"/>
          <w:i w:val="false"/>
          <w:caps w:val="false"/>
          <w:smallCaps w:val="false"/>
          <w:color w:val="000000"/>
          <w:position w:val="7"/>
          <w:sz w:val="17"/>
          <w:sz w:val="21"/>
        </w:rPr>
        <w:t>1</w:t>
      </w:r>
      <w:r>
        <w:rPr>
          <w:rFonts w:ascii="Arial" w:hAnsi="Arial"/>
          <w:b w:val="false"/>
          <w:i w:val="false"/>
          <w:caps w:val="false"/>
          <w:smallCaps w:val="false"/>
          <w:color w:val="000000"/>
          <w:sz w:val="21"/>
        </w:rPr>
        <w:t xml:space="preserve"> as discussed in this proxy statement through the advisory vote commonly referred to as “say-on-pay” (Proposal No. 3). We also seek your input on the frequency of future say-on-pay votes through the advisory vote commonly referred to as “say-on-frequency” (Proposal No. 4). In recognition of shareholder preference and feedback, we now hold say-on-pay votes every year and are recommending that shareholders vote at the 2023 Annual Meeting for continuing this practice. Say-on-pay votes help us to assess whether shareholders approve of our compensation program and philosophy and whether they view our compensation decisions in a particular year as responsive to any concerns they may have articulated. In “Compensation Discussion and Analysis–Compensation Processes–Shareholder Input and Outreach and the 2022 Say-on-Pay Vote Result,” we discuss in detail how we have responded to recent shareholder feedback on compensation and other matters.</w:t>
      </w:r>
    </w:p>
    <w:p>
      <w:pPr>
        <w:pStyle w:val="TextBody"/>
        <w:pBdr/>
        <w:spacing w:before="0" w:after="210"/>
        <w:ind w:left="0" w:right="0" w:hanging="0"/>
        <w:rPr>
          <w:rFonts w:ascii="Arial" w:hAnsi="Arial"/>
          <w:color w:val="000000"/>
          <w:sz w:val="21"/>
        </w:rPr>
      </w:pPr>
      <w:r>
        <w:rPr>
          <w:rFonts w:ascii="Arial" w:hAnsi="Arial"/>
          <w:color w:val="000000"/>
          <w:sz w:val="21"/>
        </w:rPr>
        <w:t>As you read the following Compensation Discussion and Analysis and review this year’s compensation-related proposals, we encourage you to consider Regeneron’s compensation program in light of Regeneron’s long-term performance as well as the program’s business objectives. Among the compensation program’s key objectives are to pay for performance, drive the creation of long-term, sustainable shareholder value, deliver compensation that is competitively positioned among our peers, and align with the pursuit and achievement of both our short-term and long-term goals.</w:t>
      </w:r>
    </w:p>
    <w:p>
      <w:pPr>
        <w:pStyle w:val="TextBody"/>
        <w:spacing w:before="0" w:after="0"/>
        <w:ind w:left="0" w:right="0" w:hanging="0"/>
        <w:jc w:val="center"/>
        <w:rPr>
          <w:rFonts w:ascii="Arial;Helvetica;Sans-Serif" w:hAnsi="Arial;Helvetica;Sans-Serif"/>
          <w:b/>
          <w:i w:val="false"/>
          <w:caps w:val="false"/>
          <w:smallCaps w:val="false"/>
          <w:color w:val="D31B5D"/>
          <w:sz w:val="21"/>
        </w:rPr>
      </w:pPr>
      <w:r>
        <w:rPr>
          <w:rFonts w:ascii="Arial;Helvetica;Sans-Serif" w:hAnsi="Arial;Helvetica;Sans-Serif"/>
          <w:b/>
          <w:i w:val="false"/>
          <w:caps w:val="false"/>
          <w:smallCaps w:val="false"/>
          <w:color w:val="D31B5D"/>
          <w:sz w:val="21"/>
        </w:rPr>
        <w:t>Shareholder value creation over the last decade driven by relentless innovation and product pipeline progress</w:t>
      </w:r>
    </w:p>
    <w:p>
      <w:pPr>
        <w:pStyle w:val="TextBody"/>
        <w:spacing w:before="0" w:after="0"/>
        <w:ind w:left="0" w:right="0" w:hanging="0"/>
        <w:rPr>
          <w:caps w:val="false"/>
          <w:smallCaps w:val="false"/>
        </w:rPr>
      </w:pPr>
      <w:r>
        <w:rPr>
          <w:caps w:val="false"/>
          <w:smallCaps w:val="false"/>
        </w:rPr>
        <w:t> </w:t>
      </w:r>
    </w:p>
    <w:p>
      <w:pPr>
        <w:pStyle w:val="TextBody"/>
        <w:ind w:left="0" w:right="0" w:hanging="0"/>
        <w:jc w:val="center"/>
        <w:rPr/>
      </w:pPr>
      <w:r>
        <w:rPr/>
        <w:drawing>
          <wp:inline distT="0" distB="0" distL="0" distR="0">
            <wp:extent cx="7143750" cy="4562475"/>
            <wp:effectExtent l="0" t="0" r="0" b="0"/>
            <wp:docPr id="187"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45" descr=""/>
                    <pic:cNvPicPr>
                      <a:picLocks noChangeAspect="1" noChangeArrowheads="1"/>
                    </pic:cNvPicPr>
                  </pic:nvPicPr>
                  <pic:blipFill>
                    <a:blip r:embed="rId146"/>
                    <a:stretch>
                      <a:fillRect/>
                    </a:stretch>
                  </pic:blipFill>
                  <pic:spPr bwMode="auto">
                    <a:xfrm>
                      <a:off x="0" y="0"/>
                      <a:ext cx="7143750" cy="4562475"/>
                    </a:xfrm>
                    <a:prstGeom prst="rect">
                      <a:avLst/>
                    </a:prstGeom>
                  </pic:spPr>
                </pic:pic>
              </a:graphicData>
            </a:graphic>
          </wp:inline>
        </w:drawing>
      </w:r>
      <w:r>
        <w:rPr/>
        <w:t xml:space="preserve"> </w:t>
      </w:r>
    </w:p>
    <w:p>
      <w:pPr>
        <w:pStyle w:val="TextBody"/>
        <w:spacing w:before="0" w:after="0"/>
        <w:ind w:left="0" w:right="0" w:hanging="0"/>
        <w:rPr>
          <w:rFonts w:ascii="Arial;Helvetica;Sans-Serif" w:hAnsi="Arial;Helvetica;Sans-Serif"/>
          <w:b w:val="false"/>
          <w:i w:val="false"/>
          <w:caps w:val="false"/>
          <w:smallCaps w:val="false"/>
          <w:color w:val="1A1A1A"/>
          <w:sz w:val="16"/>
        </w:rPr>
      </w:pPr>
      <w:r>
        <w:rPr>
          <w:rFonts w:ascii="Arial;Helvetica;Sans-Serif" w:hAnsi="Arial;Helvetica;Sans-Serif"/>
          <w:b w:val="false"/>
          <w:i w:val="false"/>
          <w:caps w:val="false"/>
          <w:smallCaps w:val="false"/>
          <w:color w:val="1A1A1A"/>
          <w:sz w:val="16"/>
        </w:rPr>
        <w:t>DME = diabetic macular edema; DR = diabetic retinopathy; LDL-C = low-density lipoprotein cholesterol; AD = atopic dermatitis; RA = rheumatoid arthritis; CSCC = cutaneous squamous cell carcinoma; CRSwNP = chronic rhinosinusitis with nasal polyposis; EUA = Emergency Use Authorization from FDA; FDA = U.S. Food and Drug Administration; HoFH = homozygous familial hypercholesterolemia; NSCLC = non-small cell lung cancer; BCC = basal cell carcinoma; EoE = eosinophilic esophagitis; and PN = prurigo nodularis. Consult the product label in each approved territory for specific information about such products and indications.</w:t>
      </w:r>
    </w:p>
    <w:p>
      <w:pPr>
        <w:pStyle w:val="TextBody"/>
        <w:spacing w:before="0" w:after="0"/>
        <w:ind w:left="0" w:right="0" w:hanging="0"/>
        <w:rPr>
          <w:caps w:val="false"/>
          <w:smallCaps w:val="false"/>
          <w:color w:val="1A1A1A"/>
        </w:rPr>
      </w:pPr>
      <w:r>
        <w:rPr>
          <w:caps w:val="false"/>
          <w:smallCaps w:val="false"/>
          <w:color w:val="1A1A1A"/>
        </w:rPr>
        <w:t> </w:t>
      </w:r>
    </w:p>
    <w:tbl>
      <w:tblPr>
        <w:tblW w:w="10052" w:type="dxa"/>
        <w:jc w:val="left"/>
        <w:tblInd w:w="0" w:type="dxa"/>
        <w:tblCellMar>
          <w:top w:w="45" w:type="dxa"/>
          <w:left w:w="0" w:type="dxa"/>
          <w:bottom w:w="0" w:type="dxa"/>
          <w:right w:w="0" w:type="dxa"/>
        </w:tblCellMar>
      </w:tblPr>
      <w:tblGrid>
        <w:gridCol w:w="226"/>
        <w:gridCol w:w="9826"/>
      </w:tblGrid>
      <w:tr>
        <w:trPr/>
        <w:tc>
          <w:tcPr>
            <w:tcW w:w="226" w:type="dxa"/>
            <w:tcBorders>
              <w:top w:val="single" w:sz="12" w:space="0" w:color="000000"/>
            </w:tcBorders>
            <w:shd w:fill="auto" w:val="clear"/>
            <w:vAlign w:val="center"/>
          </w:tcPr>
          <w:p>
            <w:pPr>
              <w:pStyle w:val="TableContents"/>
              <w:pBdr/>
              <w:spacing w:before="60" w:after="0"/>
              <w:ind w:left="0" w:right="0" w:hanging="0"/>
              <w:rPr>
                <w:rFonts w:ascii="Arial" w:hAnsi="Arial"/>
                <w:color w:val="245BA7"/>
                <w:sz w:val="20"/>
              </w:rPr>
            </w:pPr>
            <w:r>
              <w:rPr>
                <w:rFonts w:ascii="Arial" w:hAnsi="Arial"/>
                <w:color w:val="245BA7"/>
                <w:sz w:val="20"/>
              </w:rPr>
              <w:t>1</w:t>
            </w:r>
          </w:p>
        </w:tc>
        <w:tc>
          <w:tcPr>
            <w:tcW w:w="9826" w:type="dxa"/>
            <w:tcBorders>
              <w:top w:val="single" w:sz="12" w:space="0" w:color="000000"/>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Our “Named Executive Officers” or “NEOs” are identified below under “Compensation Discussion and Analysis.”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88"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46" descr=""/>
                          <pic:cNvPicPr>
                            <a:picLocks noChangeAspect="1" noChangeArrowheads="1"/>
                          </pic:cNvPicPr>
                        </pic:nvPicPr>
                        <pic:blipFill>
                          <a:blip r:embed="rId147"/>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52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color w:val="000000"/>
        </w:rPr>
      </w:pPr>
      <w:r>
        <w:rPr>
          <w:color w:val="000000"/>
        </w:rPr>
        <w:drawing>
          <wp:inline distT="0" distB="0" distL="0" distR="0">
            <wp:extent cx="7620000" cy="1552575"/>
            <wp:effectExtent l="0" t="0" r="0" b="0"/>
            <wp:docPr id="189"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47" descr=""/>
                    <pic:cNvPicPr>
                      <a:picLocks noChangeAspect="1" noChangeArrowheads="1"/>
                    </pic:cNvPicPr>
                  </pic:nvPicPr>
                  <pic:blipFill>
                    <a:blip r:embed="rId148"/>
                    <a:stretch>
                      <a:fillRect/>
                    </a:stretch>
                  </pic:blipFill>
                  <pic:spPr bwMode="auto">
                    <a:xfrm>
                      <a:off x="0" y="0"/>
                      <a:ext cx="7620000" cy="1552575"/>
                    </a:xfrm>
                    <a:prstGeom prst="rect">
                      <a:avLst/>
                    </a:prstGeom>
                  </pic:spPr>
                </pic:pic>
              </a:graphicData>
            </a:graphic>
          </wp:inline>
        </w:drawing>
      </w:r>
    </w:p>
    <w:p>
      <w:pPr>
        <w:pStyle w:val="Normal"/>
        <w:spacing w:before="0" w:after="0"/>
        <w:rPr>
          <w:sz w:val="4"/>
          <w:szCs w:val="4"/>
        </w:rPr>
      </w:pPr>
      <w:r>
        <w:rPr>
          <w:sz w:val="4"/>
          <w:szCs w:val="4"/>
        </w:rPr>
      </w:r>
      <w:bookmarkStart w:id="102" w:name="new_id-94"/>
      <w:bookmarkStart w:id="103" w:name="new_id-94"/>
      <w:bookmarkEnd w:id="103"/>
    </w:p>
    <w:tbl>
      <w:tblPr>
        <w:tblW w:w="8086" w:type="dxa"/>
        <w:jc w:val="left"/>
        <w:tblInd w:w="0" w:type="dxa"/>
        <w:tblCellMar>
          <w:top w:w="28" w:type="dxa"/>
          <w:left w:w="28" w:type="dxa"/>
          <w:bottom w:w="28" w:type="dxa"/>
          <w:right w:w="28" w:type="dxa"/>
        </w:tblCellMar>
      </w:tblPr>
      <w:tblGrid>
        <w:gridCol w:w="8086"/>
      </w:tblGrid>
      <w:tr>
        <w:trPr/>
        <w:tc>
          <w:tcPr>
            <w:tcW w:w="8086" w:type="dxa"/>
            <w:tcBorders/>
            <w:shd w:fill="auto" w:val="clear"/>
            <w:vAlign w:val="center"/>
          </w:tcPr>
          <w:p>
            <w:pPr>
              <w:pStyle w:val="Heading1"/>
              <w:pBdr/>
              <w:spacing w:before="0" w:after="0"/>
              <w:ind w:left="0" w:right="0" w:hanging="0"/>
              <w:rPr>
                <w:rFonts w:ascii="Arial" w:hAnsi="Arial"/>
                <w:b/>
                <w:i w:val="false"/>
                <w:caps w:val="false"/>
                <w:smallCaps w:val="false"/>
                <w:color w:val="245BA7"/>
                <w:sz w:val="54"/>
              </w:rPr>
            </w:pPr>
            <w:r>
              <w:rPr>
                <w:rFonts w:ascii="Arial" w:hAnsi="Arial"/>
                <w:b/>
                <w:i w:val="false"/>
                <w:caps w:val="false"/>
                <w:smallCaps w:val="false"/>
                <w:color w:val="245BA7"/>
                <w:sz w:val="54"/>
              </w:rPr>
              <w:t>COMPENSATION DISCUSSION</w:t>
              <w:br/>
              <w:t xml:space="preserve">AND ANALYSIS </w:t>
            </w:r>
          </w:p>
        </w:tc>
      </w:tr>
    </w:tbl>
    <w:p>
      <w:pPr>
        <w:pStyle w:val="TextBody"/>
        <w:pBdr/>
        <w:spacing w:before="300" w:after="210"/>
        <w:ind w:left="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following Compensation Discussion and Analysis (“CD&amp;A”) describes the philosophy, objectives, and structure of our 2022 executive compensation program.</w:t>
      </w:r>
      <w:r>
        <w:rPr>
          <w:rFonts w:ascii="Arial" w:hAnsi="Arial"/>
          <w:b w:val="false"/>
          <w:i w:val="false"/>
          <w:caps w:val="false"/>
          <w:smallCaps w:val="false"/>
          <w:color w:val="000000"/>
          <w:position w:val="7"/>
          <w:sz w:val="17"/>
          <w:sz w:val="21"/>
        </w:rPr>
        <w:t>2</w:t>
      </w:r>
      <w:r>
        <w:rPr>
          <w:rFonts w:ascii="Arial" w:hAnsi="Arial"/>
          <w:b w:val="false"/>
          <w:i w:val="false"/>
          <w:caps w:val="false"/>
          <w:smallCaps w:val="false"/>
          <w:color w:val="000000"/>
          <w:sz w:val="21"/>
        </w:rPr>
        <w:t xml:space="preserve"> This CD&amp;A is intended to be read in conjunction with the subsequent tables presented under “Compensation Dashboard–2022 Executive Compensation Tables,” which provide further historical compensation information for our “Named Executive Officers” or “NEOs” identified below.</w:t>
      </w:r>
      <w:r>
        <w:rPr>
          <w:rFonts w:ascii="Arial" w:hAnsi="Arial"/>
          <w:b w:val="false"/>
          <w:i w:val="false"/>
          <w:caps w:val="false"/>
          <w:smallCaps w:val="false"/>
          <w:color w:val="000000"/>
          <w:position w:val="7"/>
          <w:sz w:val="17"/>
          <w:sz w:val="21"/>
        </w:rPr>
        <w:t>3</w:t>
      </w:r>
    </w:p>
    <w:p>
      <w:pPr>
        <w:pStyle w:val="TextBody"/>
        <w:pBdr/>
        <w:spacing w:before="300" w:after="210"/>
        <w:ind w:left="0" w:right="0" w:hanging="0"/>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1519"/>
        <w:gridCol w:w="2791"/>
        <w:gridCol w:w="420"/>
        <w:gridCol w:w="1504"/>
        <w:gridCol w:w="3971"/>
      </w:tblGrid>
      <w:tr>
        <w:trPr/>
        <w:tc>
          <w:tcPr>
            <w:tcW w:w="1519" w:type="dxa"/>
            <w:tcBorders/>
            <w:shd w:fill="245BA7" w:val="clear"/>
            <w:vAlign w:val="center"/>
          </w:tcPr>
          <w:p>
            <w:pPr>
              <w:pStyle w:val="TableContents"/>
              <w:spacing w:before="0" w:after="283"/>
              <w:ind w:left="780" w:right="0" w:hanging="0"/>
              <w:jc w:val="left"/>
              <w:rPr/>
            </w:pPr>
            <w:r>
              <w:rPr/>
              <w:drawing>
                <wp:inline distT="0" distB="0" distL="0" distR="0">
                  <wp:extent cx="942975" cy="942975"/>
                  <wp:effectExtent l="0" t="0" r="0" b="0"/>
                  <wp:docPr id="19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48" descr=""/>
                          <pic:cNvPicPr>
                            <a:picLocks noChangeAspect="1" noChangeArrowheads="1"/>
                          </pic:cNvPicPr>
                        </pic:nvPicPr>
                        <pic:blipFill>
                          <a:blip r:embed="rId149"/>
                          <a:stretch>
                            <a:fillRect/>
                          </a:stretch>
                        </pic:blipFill>
                        <pic:spPr bwMode="auto">
                          <a:xfrm>
                            <a:off x="0" y="0"/>
                            <a:ext cx="942975" cy="942975"/>
                          </a:xfrm>
                          <a:prstGeom prst="rect">
                            <a:avLst/>
                          </a:prstGeom>
                        </pic:spPr>
                      </pic:pic>
                    </a:graphicData>
                  </a:graphic>
                </wp:inline>
              </w:drawing>
            </w:r>
            <w:r>
              <w:rPr/>
              <w:t xml:space="preserve"> </w:t>
            </w:r>
          </w:p>
        </w:tc>
        <w:tc>
          <w:tcPr>
            <w:tcW w:w="2791" w:type="dxa"/>
            <w:tcBorders/>
            <w:shd w:fill="245BA7" w:val="clear"/>
            <w:vAlign w:val="center"/>
          </w:tcPr>
          <w:p>
            <w:pPr>
              <w:pStyle w:val="TableContents"/>
              <w:pBdr/>
              <w:spacing w:before="75" w:after="75"/>
              <w:ind w:left="120" w:right="0" w:hanging="0"/>
              <w:rPr>
                <w:rFonts w:ascii="Arial" w:hAnsi="Arial"/>
                <w:b/>
                <w:color w:val="FFFFFF"/>
                <w:sz w:val="26"/>
              </w:rPr>
            </w:pPr>
            <w:r>
              <w:rPr>
                <w:rFonts w:ascii="Arial" w:hAnsi="Arial"/>
                <w:b/>
                <w:color w:val="FFFFFF"/>
                <w:sz w:val="26"/>
              </w:rPr>
              <w:t xml:space="preserve">LEONARD S. SCHLEIFER, </w:t>
              <w:br/>
              <w:t>M.D., PH.D.</w:t>
            </w:r>
          </w:p>
          <w:p>
            <w:pPr>
              <w:pStyle w:val="TableContents"/>
              <w:pBdr/>
              <w:spacing w:before="75" w:after="75"/>
              <w:ind w:left="120" w:right="0" w:hanging="0"/>
              <w:rPr>
                <w:rFonts w:ascii="Arial" w:hAnsi="Arial"/>
                <w:color w:val="FFFFFF"/>
                <w:sz w:val="20"/>
              </w:rPr>
            </w:pPr>
            <w:r>
              <w:rPr>
                <w:rFonts w:ascii="Arial" w:hAnsi="Arial"/>
                <w:color w:val="FFFFFF"/>
                <w:sz w:val="20"/>
              </w:rPr>
              <w:t>President and Chief Executive Officer</w:t>
            </w:r>
          </w:p>
        </w:tc>
        <w:tc>
          <w:tcPr>
            <w:tcW w:w="420" w:type="dxa"/>
            <w:tcBorders/>
            <w:shd w:fill="auto" w:val="clear"/>
            <w:vAlign w:val="center"/>
          </w:tcPr>
          <w:p>
            <w:pPr>
              <w:pStyle w:val="TableContents"/>
              <w:rPr/>
            </w:pPr>
            <w:r>
              <w:rPr/>
              <w:t>       </w:t>
            </w:r>
          </w:p>
          <w:p>
            <w:pPr>
              <w:pStyle w:val="TableContents"/>
              <w:pBdr/>
              <w:spacing w:before="0" w:after="0"/>
              <w:ind w:left="780" w:right="0" w:hanging="0"/>
              <w:rPr>
                <w:color w:val="FFFFFF"/>
              </w:rPr>
            </w:pPr>
            <w:r>
              <w:rPr>
                <w:color w:val="FFFFFF"/>
              </w:rPr>
              <w:t> </w:t>
            </w:r>
          </w:p>
        </w:tc>
        <w:tc>
          <w:tcPr>
            <w:tcW w:w="1504" w:type="dxa"/>
            <w:tcBorders/>
            <w:shd w:fill="245BA7" w:val="clear"/>
            <w:vAlign w:val="center"/>
          </w:tcPr>
          <w:p>
            <w:pPr>
              <w:pStyle w:val="TableContents"/>
              <w:spacing w:before="0" w:after="283"/>
              <w:jc w:val="left"/>
              <w:rPr/>
            </w:pPr>
            <w:r>
              <w:rPr/>
              <w:drawing>
                <wp:inline distT="0" distB="0" distL="0" distR="0">
                  <wp:extent cx="942975" cy="942975"/>
                  <wp:effectExtent l="0" t="0" r="0" b="0"/>
                  <wp:docPr id="191"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49" descr=""/>
                          <pic:cNvPicPr>
                            <a:picLocks noChangeAspect="1" noChangeArrowheads="1"/>
                          </pic:cNvPicPr>
                        </pic:nvPicPr>
                        <pic:blipFill>
                          <a:blip r:embed="rId150"/>
                          <a:stretch>
                            <a:fillRect/>
                          </a:stretch>
                        </pic:blipFill>
                        <pic:spPr bwMode="auto">
                          <a:xfrm>
                            <a:off x="0" y="0"/>
                            <a:ext cx="942975" cy="942975"/>
                          </a:xfrm>
                          <a:prstGeom prst="rect">
                            <a:avLst/>
                          </a:prstGeom>
                        </pic:spPr>
                      </pic:pic>
                    </a:graphicData>
                  </a:graphic>
                </wp:inline>
              </w:drawing>
            </w:r>
            <w:r>
              <w:rPr/>
              <w:t xml:space="preserve"> </w:t>
            </w:r>
          </w:p>
        </w:tc>
        <w:tc>
          <w:tcPr>
            <w:tcW w:w="3971" w:type="dxa"/>
            <w:tcBorders/>
            <w:shd w:fill="245BA7" w:val="clear"/>
            <w:vAlign w:val="center"/>
          </w:tcPr>
          <w:p>
            <w:pPr>
              <w:pStyle w:val="TableContents"/>
              <w:pBdr/>
              <w:spacing w:before="75" w:after="75"/>
              <w:ind w:left="120" w:right="0" w:hanging="0"/>
              <w:rPr>
                <w:rFonts w:ascii="Arial" w:hAnsi="Arial"/>
                <w:b/>
                <w:color w:val="FFFFFF"/>
                <w:sz w:val="26"/>
              </w:rPr>
            </w:pPr>
            <w:r>
              <w:rPr>
                <w:rFonts w:ascii="Arial" w:hAnsi="Arial"/>
                <w:b/>
                <w:color w:val="FFFFFF"/>
                <w:sz w:val="26"/>
              </w:rPr>
              <w:t xml:space="preserve">GEORGE D. YANCOPOULOS, </w:t>
              <w:br/>
              <w:t>M.D., PH.D.</w:t>
            </w:r>
          </w:p>
          <w:p>
            <w:pPr>
              <w:pStyle w:val="TableContents"/>
              <w:pBdr/>
              <w:spacing w:before="75" w:after="75"/>
              <w:ind w:left="780" w:right="0" w:hanging="0"/>
              <w:rPr>
                <w:rFonts w:ascii="Arial" w:hAnsi="Arial"/>
                <w:color w:val="FFFFFF"/>
                <w:sz w:val="20"/>
              </w:rPr>
            </w:pPr>
            <w:r>
              <w:rPr>
                <w:rFonts w:ascii="Arial" w:hAnsi="Arial"/>
                <w:color w:val="FFFFFF"/>
                <w:sz w:val="20"/>
              </w:rPr>
              <w:t>President and Chief Scientific Officer</w:t>
            </w:r>
          </w:p>
        </w:tc>
      </w:tr>
      <w:tr>
        <w:trPr/>
        <w:tc>
          <w:tcPr>
            <w:tcW w:w="1519" w:type="dxa"/>
            <w:tcBorders/>
            <w:shd w:fill="FFFFFF" w:val="clear"/>
            <w:vAlign w:val="center"/>
          </w:tcPr>
          <w:p>
            <w:pPr>
              <w:pStyle w:val="TableContents"/>
              <w:spacing w:before="0" w:after="283"/>
              <w:jc w:val="left"/>
              <w:rPr/>
            </w:pPr>
            <w:r>
              <w:rPr/>
              <w:t> </w:t>
            </w:r>
          </w:p>
        </w:tc>
        <w:tc>
          <w:tcPr>
            <w:tcW w:w="2791" w:type="dxa"/>
            <w:tcBorders/>
            <w:shd w:fill="FFFFFF" w:val="clear"/>
            <w:vAlign w:val="center"/>
          </w:tcPr>
          <w:p>
            <w:pPr>
              <w:pStyle w:val="TableContents"/>
              <w:spacing w:before="0" w:after="283"/>
              <w:rPr/>
            </w:pPr>
            <w:r>
              <w:rPr/>
              <w:t> </w:t>
            </w:r>
          </w:p>
        </w:tc>
        <w:tc>
          <w:tcPr>
            <w:tcW w:w="420" w:type="dxa"/>
            <w:tcBorders/>
            <w:shd w:fill="FFFFFF" w:val="clear"/>
            <w:vAlign w:val="center"/>
          </w:tcPr>
          <w:p>
            <w:pPr>
              <w:pStyle w:val="TableContents"/>
              <w:spacing w:before="0" w:after="283"/>
              <w:ind w:left="780" w:right="0" w:hanging="0"/>
              <w:rPr/>
            </w:pPr>
            <w:r>
              <w:rPr/>
              <w:t> </w:t>
            </w:r>
          </w:p>
        </w:tc>
        <w:tc>
          <w:tcPr>
            <w:tcW w:w="1504" w:type="dxa"/>
            <w:tcBorders/>
            <w:shd w:fill="FFFFFF" w:val="clear"/>
            <w:vAlign w:val="center"/>
          </w:tcPr>
          <w:p>
            <w:pPr>
              <w:pStyle w:val="TableContents"/>
              <w:spacing w:before="0" w:after="283"/>
              <w:jc w:val="left"/>
              <w:rPr/>
            </w:pPr>
            <w:r>
              <w:rPr/>
              <w:t> </w:t>
            </w:r>
          </w:p>
        </w:tc>
        <w:tc>
          <w:tcPr>
            <w:tcW w:w="3971" w:type="dxa"/>
            <w:tcBorders/>
            <w:shd w:fill="FFFFFF" w:val="clear"/>
            <w:vAlign w:val="center"/>
          </w:tcPr>
          <w:p>
            <w:pPr>
              <w:pStyle w:val="TableContents"/>
              <w:spacing w:before="0" w:after="283"/>
              <w:ind w:left="780" w:right="0" w:hanging="0"/>
              <w:rPr/>
            </w:pPr>
            <w:r>
              <w:rPr/>
              <w:t> </w:t>
            </w:r>
          </w:p>
        </w:tc>
      </w:tr>
      <w:tr>
        <w:trPr/>
        <w:tc>
          <w:tcPr>
            <w:tcW w:w="1519" w:type="dxa"/>
            <w:tcBorders/>
            <w:shd w:fill="245BA7" w:val="clear"/>
            <w:vAlign w:val="center"/>
          </w:tcPr>
          <w:p>
            <w:pPr>
              <w:pStyle w:val="TableContents"/>
              <w:spacing w:before="0" w:after="283"/>
              <w:jc w:val="left"/>
              <w:rPr/>
            </w:pPr>
            <w:r>
              <w:rPr/>
              <w:drawing>
                <wp:inline distT="0" distB="0" distL="0" distR="0">
                  <wp:extent cx="942975" cy="942975"/>
                  <wp:effectExtent l="0" t="0" r="0" b="0"/>
                  <wp:docPr id="192"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50" descr=""/>
                          <pic:cNvPicPr>
                            <a:picLocks noChangeAspect="1" noChangeArrowheads="1"/>
                          </pic:cNvPicPr>
                        </pic:nvPicPr>
                        <pic:blipFill>
                          <a:blip r:embed="rId151"/>
                          <a:stretch>
                            <a:fillRect/>
                          </a:stretch>
                        </pic:blipFill>
                        <pic:spPr bwMode="auto">
                          <a:xfrm>
                            <a:off x="0" y="0"/>
                            <a:ext cx="942975" cy="942975"/>
                          </a:xfrm>
                          <a:prstGeom prst="rect">
                            <a:avLst/>
                          </a:prstGeom>
                        </pic:spPr>
                      </pic:pic>
                    </a:graphicData>
                  </a:graphic>
                </wp:inline>
              </w:drawing>
            </w:r>
            <w:r>
              <w:rPr/>
              <w:t xml:space="preserve"> </w:t>
            </w:r>
          </w:p>
        </w:tc>
        <w:tc>
          <w:tcPr>
            <w:tcW w:w="2791" w:type="dxa"/>
            <w:tcBorders/>
            <w:shd w:fill="245BA7" w:val="clear"/>
            <w:vAlign w:val="center"/>
          </w:tcPr>
          <w:p>
            <w:pPr>
              <w:pStyle w:val="TableContents"/>
              <w:pBdr/>
              <w:spacing w:before="75" w:after="75"/>
              <w:ind w:left="120" w:right="0" w:hanging="0"/>
              <w:rPr>
                <w:rFonts w:ascii="Arial" w:hAnsi="Arial"/>
                <w:b/>
                <w:color w:val="FFFFFF"/>
                <w:sz w:val="26"/>
              </w:rPr>
            </w:pPr>
            <w:r>
              <w:rPr>
                <w:rFonts w:ascii="Arial" w:hAnsi="Arial"/>
                <w:b/>
                <w:color w:val="FFFFFF"/>
                <w:sz w:val="26"/>
              </w:rPr>
              <w:t>ROBERT E. LANDRY</w:t>
            </w:r>
          </w:p>
          <w:p>
            <w:pPr>
              <w:pStyle w:val="TableContents"/>
              <w:pBdr/>
              <w:spacing w:before="75" w:after="75"/>
              <w:ind w:left="120" w:right="0" w:hanging="0"/>
              <w:rPr>
                <w:rFonts w:ascii="Arial" w:hAnsi="Arial"/>
                <w:color w:val="FFFFFF"/>
                <w:sz w:val="20"/>
              </w:rPr>
            </w:pPr>
            <w:r>
              <w:rPr>
                <w:rFonts w:ascii="Arial" w:hAnsi="Arial"/>
                <w:color w:val="FFFFFF"/>
                <w:sz w:val="20"/>
              </w:rPr>
              <w:t>Executive Vice President, Finance and Chief Financial Officer</w:t>
            </w:r>
          </w:p>
        </w:tc>
        <w:tc>
          <w:tcPr>
            <w:tcW w:w="420" w:type="dxa"/>
            <w:tcBorders/>
            <w:shd w:fill="auto" w:val="clear"/>
            <w:vAlign w:val="center"/>
          </w:tcPr>
          <w:p>
            <w:pPr>
              <w:pStyle w:val="TableContents"/>
              <w:pBdr/>
              <w:spacing w:before="0" w:after="0"/>
              <w:ind w:left="780" w:right="0" w:hanging="0"/>
              <w:rPr>
                <w:color w:val="FFFFFF"/>
              </w:rPr>
            </w:pPr>
            <w:r>
              <w:rPr>
                <w:color w:val="FFFFFF"/>
              </w:rPr>
              <w:t> </w:t>
            </w:r>
          </w:p>
        </w:tc>
        <w:tc>
          <w:tcPr>
            <w:tcW w:w="1504" w:type="dxa"/>
            <w:tcBorders/>
            <w:shd w:fill="245BA7" w:val="clear"/>
            <w:vAlign w:val="center"/>
          </w:tcPr>
          <w:p>
            <w:pPr>
              <w:pStyle w:val="TableContents"/>
              <w:spacing w:before="0" w:after="283"/>
              <w:jc w:val="left"/>
              <w:rPr/>
            </w:pPr>
            <w:r>
              <w:rPr/>
              <w:drawing>
                <wp:inline distT="0" distB="0" distL="0" distR="0">
                  <wp:extent cx="942975" cy="942975"/>
                  <wp:effectExtent l="0" t="0" r="0" b="0"/>
                  <wp:docPr id="193"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51" descr=""/>
                          <pic:cNvPicPr>
                            <a:picLocks noChangeAspect="1" noChangeArrowheads="1"/>
                          </pic:cNvPicPr>
                        </pic:nvPicPr>
                        <pic:blipFill>
                          <a:blip r:embed="rId152"/>
                          <a:stretch>
                            <a:fillRect/>
                          </a:stretch>
                        </pic:blipFill>
                        <pic:spPr bwMode="auto">
                          <a:xfrm>
                            <a:off x="0" y="0"/>
                            <a:ext cx="942975" cy="942975"/>
                          </a:xfrm>
                          <a:prstGeom prst="rect">
                            <a:avLst/>
                          </a:prstGeom>
                        </pic:spPr>
                      </pic:pic>
                    </a:graphicData>
                  </a:graphic>
                </wp:inline>
              </w:drawing>
            </w:r>
            <w:r>
              <w:rPr/>
              <w:t xml:space="preserve"> </w:t>
            </w:r>
          </w:p>
        </w:tc>
        <w:tc>
          <w:tcPr>
            <w:tcW w:w="3971" w:type="dxa"/>
            <w:tcBorders/>
            <w:shd w:fill="245BA7" w:val="clear"/>
            <w:vAlign w:val="center"/>
          </w:tcPr>
          <w:p>
            <w:pPr>
              <w:pStyle w:val="TableContents"/>
              <w:pBdr/>
              <w:spacing w:before="75" w:after="75"/>
              <w:ind w:left="120" w:right="0" w:hanging="0"/>
              <w:rPr>
                <w:rFonts w:ascii="Arial" w:hAnsi="Arial"/>
                <w:b/>
                <w:color w:val="FFFFFF"/>
                <w:sz w:val="26"/>
              </w:rPr>
            </w:pPr>
            <w:r>
              <w:rPr>
                <w:rFonts w:ascii="Arial" w:hAnsi="Arial"/>
                <w:b/>
                <w:color w:val="FFFFFF"/>
                <w:sz w:val="26"/>
              </w:rPr>
              <w:t>DANIEL P. VAN PLEW</w:t>
            </w:r>
          </w:p>
          <w:p>
            <w:pPr>
              <w:pStyle w:val="TableContents"/>
              <w:pBdr/>
              <w:spacing w:before="75" w:after="75"/>
              <w:ind w:left="780" w:right="0" w:hanging="0"/>
              <w:rPr>
                <w:rFonts w:ascii="Arial" w:hAnsi="Arial"/>
                <w:color w:val="FFFFFF"/>
                <w:sz w:val="20"/>
              </w:rPr>
            </w:pPr>
            <w:r>
              <w:rPr>
                <w:rFonts w:ascii="Arial" w:hAnsi="Arial"/>
                <w:color w:val="FFFFFF"/>
                <w:sz w:val="20"/>
              </w:rPr>
              <w:t>Executive Vice President and General Manager, Industrial Operations and Product Supply</w:t>
            </w:r>
          </w:p>
        </w:tc>
      </w:tr>
      <w:tr>
        <w:trPr/>
        <w:tc>
          <w:tcPr>
            <w:tcW w:w="1519" w:type="dxa"/>
            <w:tcBorders/>
            <w:shd w:fill="FFFFFF" w:val="clear"/>
            <w:vAlign w:val="center"/>
          </w:tcPr>
          <w:p>
            <w:pPr>
              <w:pStyle w:val="TableContents"/>
              <w:spacing w:before="0" w:after="283"/>
              <w:jc w:val="left"/>
              <w:rPr/>
            </w:pPr>
            <w:r>
              <w:rPr/>
              <w:t> </w:t>
            </w:r>
          </w:p>
        </w:tc>
        <w:tc>
          <w:tcPr>
            <w:tcW w:w="2791" w:type="dxa"/>
            <w:tcBorders/>
            <w:shd w:fill="FFFFFF" w:val="clear"/>
            <w:vAlign w:val="center"/>
          </w:tcPr>
          <w:p>
            <w:pPr>
              <w:pStyle w:val="TableContents"/>
              <w:spacing w:before="0" w:after="283"/>
              <w:rPr/>
            </w:pPr>
            <w:r>
              <w:rPr/>
              <w:t> </w:t>
            </w:r>
          </w:p>
        </w:tc>
        <w:tc>
          <w:tcPr>
            <w:tcW w:w="420" w:type="dxa"/>
            <w:tcBorders/>
            <w:shd w:fill="FFFFFF" w:val="clear"/>
            <w:vAlign w:val="center"/>
          </w:tcPr>
          <w:p>
            <w:pPr>
              <w:pStyle w:val="TableContents"/>
              <w:spacing w:before="0" w:after="283"/>
              <w:ind w:left="780" w:right="0" w:hanging="0"/>
              <w:rPr/>
            </w:pPr>
            <w:r>
              <w:rPr/>
              <w:t> </w:t>
            </w:r>
          </w:p>
        </w:tc>
        <w:tc>
          <w:tcPr>
            <w:tcW w:w="1504" w:type="dxa"/>
            <w:tcBorders/>
            <w:shd w:fill="FFFFFF" w:val="clear"/>
            <w:vAlign w:val="center"/>
          </w:tcPr>
          <w:p>
            <w:pPr>
              <w:pStyle w:val="TableContents"/>
              <w:spacing w:before="0" w:after="283"/>
              <w:jc w:val="left"/>
              <w:rPr/>
            </w:pPr>
            <w:r>
              <w:rPr/>
              <w:t> </w:t>
            </w:r>
          </w:p>
        </w:tc>
        <w:tc>
          <w:tcPr>
            <w:tcW w:w="3971" w:type="dxa"/>
            <w:tcBorders/>
            <w:shd w:fill="FFFFFF" w:val="clear"/>
            <w:vAlign w:val="center"/>
          </w:tcPr>
          <w:p>
            <w:pPr>
              <w:pStyle w:val="TableContents"/>
              <w:spacing w:before="0" w:after="283"/>
              <w:ind w:left="780" w:right="0" w:hanging="0"/>
              <w:rPr/>
            </w:pPr>
            <w:r>
              <w:rPr/>
              <w:t> </w:t>
            </w:r>
          </w:p>
        </w:tc>
      </w:tr>
      <w:tr>
        <w:trPr/>
        <w:tc>
          <w:tcPr>
            <w:tcW w:w="1519" w:type="dxa"/>
            <w:tcBorders/>
            <w:shd w:fill="245BA7" w:val="clear"/>
            <w:vAlign w:val="center"/>
          </w:tcPr>
          <w:p>
            <w:pPr>
              <w:pStyle w:val="TableContents"/>
              <w:spacing w:before="0" w:after="283"/>
              <w:jc w:val="left"/>
              <w:rPr/>
            </w:pPr>
            <w:r>
              <w:rPr/>
              <w:drawing>
                <wp:inline distT="0" distB="0" distL="0" distR="0">
                  <wp:extent cx="942975" cy="942975"/>
                  <wp:effectExtent l="0" t="0" r="0" b="0"/>
                  <wp:docPr id="194"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52" descr=""/>
                          <pic:cNvPicPr>
                            <a:picLocks noChangeAspect="1" noChangeArrowheads="1"/>
                          </pic:cNvPicPr>
                        </pic:nvPicPr>
                        <pic:blipFill>
                          <a:blip r:embed="rId153"/>
                          <a:stretch>
                            <a:fillRect/>
                          </a:stretch>
                        </pic:blipFill>
                        <pic:spPr bwMode="auto">
                          <a:xfrm>
                            <a:off x="0" y="0"/>
                            <a:ext cx="942975" cy="942975"/>
                          </a:xfrm>
                          <a:prstGeom prst="rect">
                            <a:avLst/>
                          </a:prstGeom>
                        </pic:spPr>
                      </pic:pic>
                    </a:graphicData>
                  </a:graphic>
                </wp:inline>
              </w:drawing>
            </w:r>
            <w:r>
              <w:rPr/>
              <w:t xml:space="preserve"> </w:t>
            </w:r>
          </w:p>
        </w:tc>
        <w:tc>
          <w:tcPr>
            <w:tcW w:w="2791" w:type="dxa"/>
            <w:tcBorders/>
            <w:shd w:fill="245BA7" w:val="clear"/>
            <w:vAlign w:val="center"/>
          </w:tcPr>
          <w:p>
            <w:pPr>
              <w:pStyle w:val="TableContents"/>
              <w:pBdr/>
              <w:spacing w:before="75" w:after="75"/>
              <w:ind w:left="120" w:right="0" w:hanging="0"/>
              <w:rPr>
                <w:rFonts w:ascii="Arial" w:hAnsi="Arial"/>
                <w:b/>
                <w:color w:val="FFFFFF"/>
                <w:sz w:val="26"/>
              </w:rPr>
            </w:pPr>
            <w:r>
              <w:rPr>
                <w:rFonts w:ascii="Arial" w:hAnsi="Arial"/>
                <w:b/>
                <w:color w:val="FFFFFF"/>
                <w:sz w:val="26"/>
              </w:rPr>
              <w:t xml:space="preserve">ANDREW J. MURPHY, </w:t>
              <w:br/>
              <w:t>PH.D</w:t>
            </w:r>
          </w:p>
          <w:p>
            <w:pPr>
              <w:pStyle w:val="TableContents"/>
              <w:pBdr/>
              <w:spacing w:before="75" w:after="75"/>
              <w:ind w:left="120" w:right="0" w:hanging="0"/>
              <w:rPr>
                <w:rFonts w:ascii="Arial" w:hAnsi="Arial"/>
                <w:color w:val="FFFFFF"/>
                <w:sz w:val="20"/>
              </w:rPr>
            </w:pPr>
            <w:r>
              <w:rPr>
                <w:rFonts w:ascii="Arial" w:hAnsi="Arial"/>
                <w:color w:val="FFFFFF"/>
                <w:sz w:val="20"/>
              </w:rPr>
              <w:t>Executive Vice President, Research</w:t>
            </w:r>
          </w:p>
        </w:tc>
        <w:tc>
          <w:tcPr>
            <w:tcW w:w="420" w:type="dxa"/>
            <w:tcBorders/>
            <w:shd w:fill="auto" w:val="clear"/>
            <w:vAlign w:val="center"/>
          </w:tcPr>
          <w:p>
            <w:pPr>
              <w:pStyle w:val="TableContents"/>
              <w:pBdr/>
              <w:spacing w:before="0" w:after="0"/>
              <w:ind w:left="780" w:right="0" w:hanging="0"/>
              <w:rPr>
                <w:color w:val="FFFFFF"/>
              </w:rPr>
            </w:pPr>
            <w:r>
              <w:rPr>
                <w:color w:val="FFFFFF"/>
              </w:rPr>
              <w:t> </w:t>
            </w:r>
          </w:p>
        </w:tc>
        <w:tc>
          <w:tcPr>
            <w:tcW w:w="1504" w:type="dxa"/>
            <w:tcBorders/>
            <w:shd w:fill="245BA7" w:val="clear"/>
            <w:vAlign w:val="center"/>
          </w:tcPr>
          <w:p>
            <w:pPr>
              <w:pStyle w:val="TableContents"/>
              <w:spacing w:before="0" w:after="283"/>
              <w:jc w:val="left"/>
              <w:rPr/>
            </w:pPr>
            <w:r>
              <w:rPr/>
              <w:drawing>
                <wp:inline distT="0" distB="0" distL="0" distR="0">
                  <wp:extent cx="942975" cy="942975"/>
                  <wp:effectExtent l="0" t="0" r="0" b="0"/>
                  <wp:docPr id="195"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53" descr=""/>
                          <pic:cNvPicPr>
                            <a:picLocks noChangeAspect="1" noChangeArrowheads="1"/>
                          </pic:cNvPicPr>
                        </pic:nvPicPr>
                        <pic:blipFill>
                          <a:blip r:embed="rId154"/>
                          <a:stretch>
                            <a:fillRect/>
                          </a:stretch>
                        </pic:blipFill>
                        <pic:spPr bwMode="auto">
                          <a:xfrm>
                            <a:off x="0" y="0"/>
                            <a:ext cx="942975" cy="942975"/>
                          </a:xfrm>
                          <a:prstGeom prst="rect">
                            <a:avLst/>
                          </a:prstGeom>
                        </pic:spPr>
                      </pic:pic>
                    </a:graphicData>
                  </a:graphic>
                </wp:inline>
              </w:drawing>
            </w:r>
            <w:r>
              <w:rPr/>
              <w:t xml:space="preserve"> </w:t>
            </w:r>
          </w:p>
        </w:tc>
        <w:tc>
          <w:tcPr>
            <w:tcW w:w="3971" w:type="dxa"/>
            <w:tcBorders/>
            <w:shd w:fill="245BA7" w:val="clear"/>
            <w:vAlign w:val="center"/>
          </w:tcPr>
          <w:p>
            <w:pPr>
              <w:pStyle w:val="TableContents"/>
              <w:pBdr/>
              <w:spacing w:before="75" w:after="75"/>
              <w:ind w:left="120" w:right="0" w:hanging="0"/>
              <w:rPr>
                <w:rFonts w:ascii="Arial" w:hAnsi="Arial"/>
                <w:b/>
                <w:color w:val="FFFFFF"/>
                <w:sz w:val="26"/>
              </w:rPr>
            </w:pPr>
            <w:r>
              <w:rPr>
                <w:rFonts w:ascii="Arial" w:hAnsi="Arial"/>
                <w:b/>
                <w:color w:val="FFFFFF"/>
                <w:sz w:val="26"/>
              </w:rPr>
              <w:t>MARION MCCOURT</w:t>
            </w:r>
          </w:p>
          <w:p>
            <w:pPr>
              <w:pStyle w:val="TableContents"/>
              <w:pBdr/>
              <w:spacing w:before="75" w:after="75"/>
              <w:ind w:left="120" w:right="0" w:hanging="0"/>
              <w:rPr>
                <w:rFonts w:ascii="Arial" w:hAnsi="Arial"/>
                <w:color w:val="FFFFFF"/>
                <w:sz w:val="20"/>
              </w:rPr>
            </w:pPr>
            <w:r>
              <w:rPr>
                <w:rFonts w:ascii="Arial" w:hAnsi="Arial"/>
                <w:color w:val="FFFFFF"/>
                <w:sz w:val="20"/>
              </w:rPr>
              <w:t>Executive Vice President, Commercial</w:t>
            </w:r>
          </w:p>
        </w:tc>
      </w:tr>
    </w:tbl>
    <w:p>
      <w:pPr>
        <w:pStyle w:val="TextBody"/>
        <w:rPr/>
      </w:pPr>
      <w:r>
        <w:rPr/>
      </w:r>
    </w:p>
    <w:tbl>
      <w:tblPr>
        <w:tblW w:w="10205" w:type="dxa"/>
        <w:jc w:val="left"/>
        <w:tblInd w:w="0" w:type="dxa"/>
        <w:tblCellMar>
          <w:top w:w="45" w:type="dxa"/>
          <w:left w:w="0" w:type="dxa"/>
          <w:bottom w:w="0" w:type="dxa"/>
          <w:right w:w="0" w:type="dxa"/>
        </w:tblCellMar>
      </w:tblPr>
      <w:tblGrid>
        <w:gridCol w:w="226"/>
        <w:gridCol w:w="9979"/>
      </w:tblGrid>
      <w:tr>
        <w:trPr/>
        <w:tc>
          <w:tcPr>
            <w:tcW w:w="226" w:type="dxa"/>
            <w:tcBorders>
              <w:top w:val="single" w:sz="12" w:space="0" w:color="000000"/>
            </w:tcBorders>
            <w:shd w:fill="auto" w:val="clear"/>
            <w:vAlign w:val="center"/>
          </w:tcPr>
          <w:p>
            <w:pPr>
              <w:pStyle w:val="TableContents"/>
              <w:pBdr/>
              <w:spacing w:before="60" w:after="0"/>
              <w:ind w:left="0" w:right="0" w:hanging="0"/>
              <w:rPr>
                <w:rFonts w:ascii="Arial" w:hAnsi="Arial"/>
                <w:color w:val="245BA7"/>
                <w:sz w:val="20"/>
              </w:rPr>
            </w:pPr>
            <w:r>
              <w:rPr>
                <w:rFonts w:ascii="Arial" w:hAnsi="Arial"/>
                <w:color w:val="245BA7"/>
                <w:sz w:val="20"/>
              </w:rPr>
              <w:t>2</w:t>
            </w:r>
          </w:p>
        </w:tc>
        <w:tc>
          <w:tcPr>
            <w:tcW w:w="9979" w:type="dxa"/>
            <w:tcBorders>
              <w:top w:val="single" w:sz="12" w:space="0" w:color="000000"/>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In this section, “we,” “us,” and “our” refer to the Company and, where applicable, to the Compensation Committee of the Company’s board of directors.</w:t>
            </w:r>
          </w:p>
        </w:tc>
      </w:tr>
    </w:tbl>
    <w:tbl>
      <w:tblPr>
        <w:tblW w:w="10205" w:type="dxa"/>
        <w:jc w:val="left"/>
        <w:tblInd w:w="0" w:type="dxa"/>
        <w:tblCellMar>
          <w:top w:w="28" w:type="dxa"/>
          <w:left w:w="28" w:type="dxa"/>
          <w:bottom w:w="28" w:type="dxa"/>
          <w:right w:w="28" w:type="dxa"/>
        </w:tblCellMar>
      </w:tblPr>
      <w:tblGrid>
        <w:gridCol w:w="226"/>
        <w:gridCol w:w="9979"/>
      </w:tblGrid>
      <w:tr>
        <w:trPr/>
        <w:tc>
          <w:tcPr>
            <w:tcW w:w="226" w:type="dxa"/>
            <w:tcBorders/>
            <w:shd w:fill="auto" w:val="clear"/>
            <w:vAlign w:val="center"/>
          </w:tcPr>
          <w:p>
            <w:pPr>
              <w:pStyle w:val="TableContents"/>
              <w:pBdr/>
              <w:spacing w:before="60" w:after="0"/>
              <w:ind w:left="0" w:right="0" w:hanging="0"/>
              <w:rPr>
                <w:rFonts w:ascii="Arial" w:hAnsi="Arial"/>
                <w:color w:val="245BA7"/>
                <w:sz w:val="20"/>
              </w:rPr>
            </w:pPr>
            <w:r>
              <w:rPr>
                <w:rFonts w:ascii="Arial" w:hAnsi="Arial"/>
                <w:color w:val="245BA7"/>
                <w:sz w:val="20"/>
              </w:rPr>
              <w:t>3</w:t>
            </w:r>
          </w:p>
        </w:tc>
        <w:tc>
          <w:tcPr>
            <w:tcW w:w="9979" w:type="dxa"/>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This year, our NEOs as determined in accordance with SEC rules consist of the following: our President and Chief Executive Officer (“CEO”); our Executive Vice President, Finance and Chief Financial Officer (“CFO”); and our three other highest-paid executives for 2022, our Executive Vice President and General Manager, Industrial Operations and Product Supply, our Executive Vice President, Research, and our Executive Vice President, Commercial. In addition, as in prior years, we have included our President and Chief Scientific Officer (“CSO”) as an NEO because of the importance of his role to Regeneron, his historical inclusion as an NEO in our proxy statements, and the fact that the annualized grant date fair market value of the five-year, front-loaded equity award granted to him in 2020 would have resulted in his qualifying as an NEO in respect of 2022.</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96"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54" descr=""/>
                          <pic:cNvPicPr>
                            <a:picLocks noChangeAspect="1" noChangeArrowheads="1"/>
                          </pic:cNvPicPr>
                        </pic:nvPicPr>
                        <pic:blipFill>
                          <a:blip r:embed="rId155"/>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53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2"/>
        <w:pBdr/>
        <w:spacing w:before="0" w:after="120"/>
        <w:ind w:left="0" w:right="0" w:hanging="0"/>
        <w:rPr>
          <w:rFonts w:ascii="Arial" w:hAnsi="Arial"/>
          <w:b/>
          <w:i w:val="false"/>
          <w:caps w:val="false"/>
          <w:smallCaps w:val="false"/>
          <w:color w:val="245BA7"/>
          <w:sz w:val="47"/>
        </w:rPr>
      </w:pPr>
      <w:bookmarkStart w:id="104" w:name="new_id-95"/>
      <w:bookmarkEnd w:id="104"/>
      <w:r>
        <w:rPr>
          <w:rFonts w:ascii="Arial" w:hAnsi="Arial"/>
          <w:b/>
          <w:i w:val="false"/>
          <w:caps w:val="false"/>
          <w:smallCaps w:val="false"/>
          <w:color w:val="245BA7"/>
          <w:sz w:val="47"/>
        </w:rPr>
        <w:t xml:space="preserve">EXECUTIVE SUMMARY </w:t>
      </w:r>
    </w:p>
    <w:p>
      <w:pPr>
        <w:pStyle w:val="TextBody"/>
        <w:pBdr/>
        <w:spacing w:before="0" w:after="210"/>
        <w:ind w:left="0" w:right="0" w:hanging="0"/>
        <w:rPr>
          <w:rFonts w:ascii="Arial" w:hAnsi="Arial"/>
          <w:color w:val="000000"/>
          <w:sz w:val="21"/>
        </w:rPr>
      </w:pPr>
      <w:r>
        <w:rPr>
          <w:rFonts w:ascii="Arial" w:hAnsi="Arial"/>
          <w:color w:val="000000"/>
          <w:sz w:val="21"/>
        </w:rPr>
        <w:t>Regeneron is a unique company at the forefront of medical science. We focus on long‐term growth through internal innovation. Our compensation model and broad-based equity program reinforce our company culture and are designed to reward long‐term, sustainable performance and to promote an environment where employees are empowered to focus on our mission and drug discovery and development. The use of equity awards for all employees encourages them to think and act like owners, aligns the interests of our workforce with the long-time horizons for which we manage the business, and creates a shared incentive to deliver the type of successful research and commercialization efforts that create sustainable value for shareholders.</w:t>
      </w:r>
    </w:p>
    <w:p>
      <w:pPr>
        <w:pStyle w:val="TextBody"/>
        <w:pBdr/>
        <w:spacing w:before="0" w:after="210"/>
        <w:ind w:left="0" w:right="0" w:hanging="0"/>
        <w:rPr>
          <w:rFonts w:ascii="Arial" w:hAnsi="Arial"/>
          <w:color w:val="000000"/>
          <w:sz w:val="21"/>
        </w:rPr>
      </w:pPr>
      <w:r>
        <w:rPr>
          <w:rFonts w:ascii="Arial" w:hAnsi="Arial"/>
          <w:color w:val="000000"/>
          <w:sz w:val="21"/>
        </w:rPr>
        <w:t>Over the last 10 years, we have delivered significant, sustainable value to shareholders, as demonstrated by total shareholder return of 322% in that period, and brought to market several groundbreaking medicines that help patients with serious diseases. Over the same period, we have embraced a model of enhanced shareholder engagement. We have worked to foster long-term relationships and trust with our shareholders and to strengthen the alignment of our executive compensation program with their perspectives and interests without detracting from the unique and effective culture that this program has helped create. Shareholder feedback continues to inform our review of compensation and corporate governance practices.</w:t>
      </w:r>
    </w:p>
    <w:p>
      <w:pPr>
        <w:pStyle w:val="TextBody"/>
        <w:pBdr/>
        <w:spacing w:before="0" w:after="210"/>
        <w:ind w:left="0" w:right="0" w:hanging="0"/>
        <w:rPr>
          <w:rFonts w:ascii="Arial" w:hAnsi="Arial"/>
          <w:color w:val="000000"/>
          <w:sz w:val="21"/>
        </w:rPr>
      </w:pPr>
      <w:r>
        <w:rPr>
          <w:rFonts w:ascii="Arial" w:hAnsi="Arial"/>
          <w:color w:val="000000"/>
          <w:sz w:val="21"/>
        </w:rPr>
        <w:t>Our capital allocation strategy begins with investment in best-in-class R&amp;D capabilities, the most important of which are our people. Our compensation program includes some unique features, and we believe that the success of the program in meeting its objectives is in part attributable to these features. We view equity-based compensation as a powerful tool to secure the commitment of true experts for the time it takes to do what was thought impossible only a decade ago. Our business accomplishments, record of scientific excellence, and industry-leading retention rate demonstrate the effectiveness of our approach.</w:t>
      </w:r>
    </w:p>
    <w:p>
      <w:pPr>
        <w:pStyle w:val="TextBody"/>
        <w:pBdr/>
        <w:spacing w:before="0" w:after="210"/>
        <w:ind w:left="0" w:right="0" w:hanging="0"/>
        <w:rPr>
          <w:rFonts w:ascii="Arial" w:hAnsi="Arial"/>
          <w:color w:val="000000"/>
          <w:sz w:val="21"/>
        </w:rPr>
      </w:pPr>
      <w:r>
        <w:rPr>
          <w:rFonts w:ascii="Arial" w:hAnsi="Arial"/>
          <w:color w:val="000000"/>
          <w:sz w:val="21"/>
        </w:rPr>
        <w:t>We believe our performance in 2022 was supported by our compensation program, as shaped by our corporate culture and shareholder feedback. In 2022, we made significant progress in all key areas of our business, as shown in the chart below. We also received positive feedback on our compensation program, as demonstrated by the overwhelming support of the say-on-pay vote in 2022 at 87.8% of the votes cast, and continued to engage with shareholders on executive compensation and other governance topics. The compensation decisions made in 2022 were generally consistent year-over-year and reflected our commitment to Regeneron’s long-standing compensation philosophy as well as shareholder input.</w:t>
      </w:r>
    </w:p>
    <w:p>
      <w:pPr>
        <w:pStyle w:val="TextBody"/>
        <w:pBdr/>
        <w:spacing w:before="0" w:after="210"/>
        <w:ind w:left="0" w:right="0" w:hanging="0"/>
        <w:jc w:val="center"/>
        <w:rPr>
          <w:rFonts w:ascii="Arial" w:hAnsi="Arial"/>
          <w:b/>
          <w:color w:val="245BA7"/>
          <w:sz w:val="21"/>
        </w:rPr>
      </w:pPr>
      <w:r>
        <w:rPr>
          <w:rFonts w:ascii="Arial" w:hAnsi="Arial"/>
          <w:b/>
          <w:color w:val="245BA7"/>
          <w:sz w:val="21"/>
        </w:rPr>
        <w:t>Business Accomplishments and Shareholder Value Creation Supported by </w:t>
        <w:br/>
        <w:t>Unique Compensation Program Shaped by Corporate Culture and Shareholder Feedback</w:t>
      </w:r>
    </w:p>
    <w:p>
      <w:pPr>
        <w:pStyle w:val="TextBody"/>
        <w:jc w:val="center"/>
        <w:rPr/>
      </w:pPr>
      <w:r>
        <w:rPr/>
        <w:drawing>
          <wp:inline distT="0" distB="0" distL="0" distR="0">
            <wp:extent cx="7620000" cy="4286250"/>
            <wp:effectExtent l="0" t="0" r="0" b="0"/>
            <wp:docPr id="197"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55" descr=""/>
                    <pic:cNvPicPr>
                      <a:picLocks noChangeAspect="1" noChangeArrowheads="1"/>
                    </pic:cNvPicPr>
                  </pic:nvPicPr>
                  <pic:blipFill>
                    <a:blip r:embed="rId156"/>
                    <a:stretch>
                      <a:fillRect/>
                    </a:stretch>
                  </pic:blipFill>
                  <pic:spPr bwMode="auto">
                    <a:xfrm>
                      <a:off x="0" y="0"/>
                      <a:ext cx="7620000" cy="4286250"/>
                    </a:xfrm>
                    <a:prstGeom prst="rect">
                      <a:avLst/>
                    </a:prstGeom>
                  </pic:spPr>
                </pic:pic>
              </a:graphicData>
            </a:graphic>
          </wp:inline>
        </w:drawing>
      </w:r>
      <w:r>
        <w:rPr/>
        <w:t xml:space="preserve">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198"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56" descr=""/>
                          <pic:cNvPicPr>
                            <a:picLocks noChangeAspect="1" noChangeArrowheads="1"/>
                          </pic:cNvPicPr>
                        </pic:nvPicPr>
                        <pic:blipFill>
                          <a:blip r:embed="rId157"/>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54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2"/>
        <w:pBdr/>
        <w:spacing w:before="0" w:after="195"/>
        <w:ind w:left="0" w:right="0" w:hanging="0"/>
        <w:rPr>
          <w:rFonts w:ascii="Arial" w:hAnsi="Arial"/>
          <w:b/>
          <w:i w:val="false"/>
          <w:caps w:val="false"/>
          <w:smallCaps w:val="false"/>
          <w:color w:val="245BA7"/>
          <w:sz w:val="47"/>
        </w:rPr>
      </w:pPr>
      <w:bookmarkStart w:id="105" w:name="new_id-96"/>
      <w:bookmarkEnd w:id="105"/>
      <w:r>
        <w:rPr>
          <w:rFonts w:ascii="Arial" w:hAnsi="Arial"/>
          <w:b/>
          <w:i w:val="false"/>
          <w:caps w:val="false"/>
          <w:smallCaps w:val="false"/>
          <w:color w:val="245BA7"/>
          <w:sz w:val="47"/>
        </w:rPr>
        <w:t xml:space="preserve">COMPENSATION PROGRAM OVERVIEW </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06" w:name="new_id-97"/>
      <w:bookmarkEnd w:id="106"/>
      <w:r>
        <w:rPr>
          <w:rFonts w:ascii="Arial" w:hAnsi="Arial"/>
          <w:b/>
          <w:i w:val="false"/>
          <w:caps w:val="false"/>
          <w:smallCaps w:val="false"/>
          <w:color w:val="D31B5D"/>
          <w:sz w:val="30"/>
          <w:bdr w:val="single" w:sz="12" w:space="2" w:color="245BA7"/>
        </w:rPr>
        <w:t xml:space="preserve">OUR CORPORATE CULTURE AND PAY PHILOSOPHY </w:t>
      </w:r>
    </w:p>
    <w:p>
      <w:pPr>
        <w:pStyle w:val="TextBody"/>
        <w:pBdr/>
        <w:spacing w:before="0" w:after="210"/>
        <w:ind w:left="0" w:right="0" w:hanging="0"/>
        <w:rPr>
          <w:rFonts w:ascii="Arial" w:hAnsi="Arial"/>
          <w:color w:val="000000"/>
          <w:sz w:val="21"/>
        </w:rPr>
      </w:pPr>
      <w:r>
        <w:rPr>
          <w:rFonts w:ascii="Arial" w:hAnsi="Arial"/>
          <w:color w:val="000000"/>
          <w:sz w:val="21"/>
        </w:rPr>
        <w:t>An “overnight breakthrough” in the biotechnology industry takes years of research and drug development spearheaded by a collection of the world’s top scientists, staff, and businesspeople that are supported by substantial and patient capital investment. Our corporate culture and pay philosophy are the interlinked product of the unique challenges at the forefront of medical science, which require agility, persistence, and top-tier talent.</w:t>
      </w:r>
      <w:r>
        <mc:AlternateContent>
          <mc:Choice Requires="wps">
            <w:drawing>
              <wp:anchor behindDoc="0" distT="0" distB="254000" distL="127000" distR="0" simplePos="0" locked="0" layoutInCell="1" allowOverlap="1" relativeHeight="92">
                <wp:simplePos x="0" y="0"/>
                <wp:positionH relativeFrom="column">
                  <wp:align>right</wp:align>
                </wp:positionH>
                <wp:positionV relativeFrom="line">
                  <wp:posOffset>635</wp:posOffset>
                </wp:positionV>
                <wp:extent cx="1905000" cy="4483735"/>
                <wp:effectExtent l="0" t="0" r="0" b="0"/>
                <wp:wrapSquare wrapText="largest"/>
                <wp:docPr id="199" name="Frame31"/>
                <a:graphic xmlns:a="http://schemas.openxmlformats.org/drawingml/2006/main">
                  <a:graphicData uri="http://schemas.microsoft.com/office/word/2010/wordprocessingShape">
                    <wps:wsp>
                      <wps:cNvSpPr txBox="1"/>
                      <wps:spPr>
                        <a:xfrm>
                          <a:off x="0" y="0"/>
                          <a:ext cx="1905000" cy="4483735"/>
                        </a:xfrm>
                        <a:prstGeom prst="rect"/>
                      </wps:spPr>
                      <wps:txbx>
                        <w:txbxContent>
                          <w:p>
                            <w:pPr>
                              <w:pStyle w:val="TextBody"/>
                              <w:jc w:val="center"/>
                              <w:rPr/>
                            </w:pPr>
                            <w:r>
                              <w:rPr/>
                              <w:drawing>
                                <wp:inline distT="0" distB="0" distL="0" distR="0">
                                  <wp:extent cx="1905000" cy="2343150"/>
                                  <wp:effectExtent l="0" t="0" r="0" b="0"/>
                                  <wp:docPr id="20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57" descr=""/>
                                          <pic:cNvPicPr>
                                            <a:picLocks noChangeAspect="1" noChangeArrowheads="1"/>
                                          </pic:cNvPicPr>
                                        </pic:nvPicPr>
                                        <pic:blipFill>
                                          <a:blip r:embed="rId158"/>
                                          <a:stretch>
                                            <a:fillRect/>
                                          </a:stretch>
                                        </pic:blipFill>
                                        <pic:spPr bwMode="auto">
                                          <a:xfrm>
                                            <a:off x="0" y="0"/>
                                            <a:ext cx="1905000" cy="2343150"/>
                                          </a:xfrm>
                                          <a:prstGeom prst="rect">
                                            <a:avLst/>
                                          </a:prstGeom>
                                        </pic:spPr>
                                      </pic:pic>
                                    </a:graphicData>
                                  </a:graphic>
                                </wp:inline>
                              </w:drawing>
                            </w:r>
                            <w:r>
                              <w:rPr/>
                              <w:t xml:space="preserve"> </w:t>
                            </w:r>
                          </w:p>
                          <w:p>
                            <w:pPr>
                              <w:pStyle w:val="TextBody"/>
                              <w:pBdr/>
                              <w:spacing w:before="0" w:after="60"/>
                              <w:ind w:left="200" w:right="100" w:hanging="0"/>
                              <w:jc w:val="left"/>
                              <w:rPr>
                                <w:rFonts w:ascii="Arial" w:hAnsi="Arial"/>
                                <w:b/>
                                <w:i w:val="false"/>
                                <w:caps w:val="false"/>
                                <w:smallCaps w:val="false"/>
                                <w:color w:val="000000"/>
                                <w:sz w:val="24"/>
                              </w:rPr>
                            </w:pPr>
                            <w:r>
                              <w:rPr>
                                <w:rFonts w:ascii="Arial" w:hAnsi="Arial"/>
                                <w:b/>
                                <w:i w:val="false"/>
                                <w:caps w:val="false"/>
                                <w:smallCaps w:val="false"/>
                                <w:color w:val="000000"/>
                                <w:sz w:val="24"/>
                              </w:rPr>
                              <w:t xml:space="preserve">We focus on </w:t>
                            </w:r>
                            <w:r>
                              <w:rPr>
                                <w:rFonts w:ascii="Arial" w:hAnsi="Arial"/>
                                <w:b/>
                                <w:i w:val="false"/>
                                <w:caps w:val="false"/>
                                <w:smallCaps w:val="false"/>
                                <w:color w:val="245BA7"/>
                                <w:sz w:val="24"/>
                              </w:rPr>
                              <w:t>long-</w:t>
                              <w:br/>
                              <w:t>term</w:t>
                            </w:r>
                            <w:r>
                              <w:rPr>
                                <w:rFonts w:ascii="Arial" w:hAnsi="Arial"/>
                                <w:b/>
                                <w:i w:val="false"/>
                                <w:caps w:val="false"/>
                                <w:smallCaps w:val="false"/>
                                <w:color w:val="000000"/>
                                <w:sz w:val="24"/>
                              </w:rPr>
                              <w:t xml:space="preserve"> growth through </w:t>
                            </w:r>
                            <w:r>
                              <w:rPr>
                                <w:rFonts w:ascii="Arial" w:hAnsi="Arial"/>
                                <w:b/>
                                <w:i w:val="false"/>
                                <w:caps w:val="false"/>
                                <w:smallCaps w:val="false"/>
                                <w:color w:val="245BA7"/>
                                <w:sz w:val="24"/>
                              </w:rPr>
                              <w:t>internal</w:t>
                            </w:r>
                            <w:r>
                              <w:rPr>
                                <w:rFonts w:ascii="Arial" w:hAnsi="Arial"/>
                                <w:b/>
                                <w:i w:val="false"/>
                                <w:caps w:val="false"/>
                                <w:smallCaps w:val="false"/>
                                <w:color w:val="000000"/>
                                <w:sz w:val="24"/>
                              </w:rPr>
                              <w:t xml:space="preserve"> innovation. </w:t>
                              <w:br/>
                              <w:t xml:space="preserve">Our compensation model and </w:t>
                            </w:r>
                            <w:r>
                              <w:rPr>
                                <w:rFonts w:ascii="Arial" w:hAnsi="Arial"/>
                                <w:b/>
                                <w:i w:val="false"/>
                                <w:caps w:val="false"/>
                                <w:smallCaps w:val="false"/>
                                <w:color w:val="245BA7"/>
                                <w:sz w:val="24"/>
                              </w:rPr>
                              <w:t>broad-based equity</w:t>
                            </w:r>
                            <w:r>
                              <w:rPr>
                                <w:rFonts w:ascii="Arial" w:hAnsi="Arial"/>
                                <w:b/>
                                <w:i w:val="false"/>
                                <w:caps w:val="false"/>
                                <w:smallCaps w:val="false"/>
                                <w:color w:val="000000"/>
                                <w:sz w:val="24"/>
                              </w:rPr>
                              <w:t xml:space="preserve"> program reinforce our company culture and are designed to reward </w:t>
                            </w:r>
                            <w:r>
                              <w:rPr>
                                <w:rFonts w:ascii="Arial" w:hAnsi="Arial"/>
                                <w:b/>
                                <w:i w:val="false"/>
                                <w:caps w:val="false"/>
                                <w:smallCaps w:val="false"/>
                                <w:color w:val="245BA7"/>
                                <w:sz w:val="24"/>
                              </w:rPr>
                              <w:t>long-term, sustainable performance.</w:t>
                            </w:r>
                          </w:p>
                        </w:txbxContent>
                      </wps:txbx>
                      <wps:bodyPr anchor="t" lIns="0" tIns="0" rIns="0" bIns="0">
                        <a:noAutofit/>
                      </wps:bodyPr>
                    </wps:wsp>
                  </a:graphicData>
                </a:graphic>
              </wp:anchor>
            </w:drawing>
          </mc:Choice>
          <mc:Fallback>
            <w:pict>
              <v:rect style="position:absolute;rotation:0;width:150pt;height:353.05pt;mso-wrap-distance-left:10pt;mso-wrap-distance-right:0pt;mso-wrap-distance-top:0pt;mso-wrap-distance-bottom:20pt;margin-top:0pt;mso-position-vertical:top;mso-position-vertical-relative:text;margin-left:360.25pt;mso-position-horizontal:right;mso-position-horizontal-relative:text">
                <v:textbox>
                  <w:txbxContent>
                    <w:p>
                      <w:pPr>
                        <w:pStyle w:val="TextBody"/>
                        <w:jc w:val="center"/>
                        <w:rPr/>
                      </w:pPr>
                      <w:r>
                        <w:rPr/>
                        <w:drawing>
                          <wp:inline distT="0" distB="0" distL="0" distR="0">
                            <wp:extent cx="1905000" cy="2343150"/>
                            <wp:effectExtent l="0" t="0" r="0" b="0"/>
                            <wp:docPr id="20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57" descr=""/>
                                    <pic:cNvPicPr>
                                      <a:picLocks noChangeAspect="1" noChangeArrowheads="1"/>
                                    </pic:cNvPicPr>
                                  </pic:nvPicPr>
                                  <pic:blipFill>
                                    <a:blip r:embed="rId158"/>
                                    <a:stretch>
                                      <a:fillRect/>
                                    </a:stretch>
                                  </pic:blipFill>
                                  <pic:spPr bwMode="auto">
                                    <a:xfrm>
                                      <a:off x="0" y="0"/>
                                      <a:ext cx="1905000" cy="2343150"/>
                                    </a:xfrm>
                                    <a:prstGeom prst="rect">
                                      <a:avLst/>
                                    </a:prstGeom>
                                  </pic:spPr>
                                </pic:pic>
                              </a:graphicData>
                            </a:graphic>
                          </wp:inline>
                        </w:drawing>
                      </w:r>
                      <w:r>
                        <w:rPr/>
                        <w:t xml:space="preserve"> </w:t>
                      </w:r>
                    </w:p>
                    <w:p>
                      <w:pPr>
                        <w:pStyle w:val="TextBody"/>
                        <w:pBdr/>
                        <w:spacing w:before="0" w:after="60"/>
                        <w:ind w:left="200" w:right="100" w:hanging="0"/>
                        <w:jc w:val="left"/>
                        <w:rPr>
                          <w:rFonts w:ascii="Arial" w:hAnsi="Arial"/>
                          <w:b/>
                          <w:i w:val="false"/>
                          <w:caps w:val="false"/>
                          <w:smallCaps w:val="false"/>
                          <w:color w:val="000000"/>
                          <w:sz w:val="24"/>
                        </w:rPr>
                      </w:pPr>
                      <w:r>
                        <w:rPr>
                          <w:rFonts w:ascii="Arial" w:hAnsi="Arial"/>
                          <w:b/>
                          <w:i w:val="false"/>
                          <w:caps w:val="false"/>
                          <w:smallCaps w:val="false"/>
                          <w:color w:val="000000"/>
                          <w:sz w:val="24"/>
                        </w:rPr>
                        <w:t xml:space="preserve">We focus on </w:t>
                      </w:r>
                      <w:r>
                        <w:rPr>
                          <w:rFonts w:ascii="Arial" w:hAnsi="Arial"/>
                          <w:b/>
                          <w:i w:val="false"/>
                          <w:caps w:val="false"/>
                          <w:smallCaps w:val="false"/>
                          <w:color w:val="245BA7"/>
                          <w:sz w:val="24"/>
                        </w:rPr>
                        <w:t>long-</w:t>
                        <w:br/>
                        <w:t>term</w:t>
                      </w:r>
                      <w:r>
                        <w:rPr>
                          <w:rFonts w:ascii="Arial" w:hAnsi="Arial"/>
                          <w:b/>
                          <w:i w:val="false"/>
                          <w:caps w:val="false"/>
                          <w:smallCaps w:val="false"/>
                          <w:color w:val="000000"/>
                          <w:sz w:val="24"/>
                        </w:rPr>
                        <w:t xml:space="preserve"> growth through </w:t>
                      </w:r>
                      <w:r>
                        <w:rPr>
                          <w:rFonts w:ascii="Arial" w:hAnsi="Arial"/>
                          <w:b/>
                          <w:i w:val="false"/>
                          <w:caps w:val="false"/>
                          <w:smallCaps w:val="false"/>
                          <w:color w:val="245BA7"/>
                          <w:sz w:val="24"/>
                        </w:rPr>
                        <w:t>internal</w:t>
                      </w:r>
                      <w:r>
                        <w:rPr>
                          <w:rFonts w:ascii="Arial" w:hAnsi="Arial"/>
                          <w:b/>
                          <w:i w:val="false"/>
                          <w:caps w:val="false"/>
                          <w:smallCaps w:val="false"/>
                          <w:color w:val="000000"/>
                          <w:sz w:val="24"/>
                        </w:rPr>
                        <w:t xml:space="preserve"> innovation. </w:t>
                        <w:br/>
                        <w:t xml:space="preserve">Our compensation model and </w:t>
                      </w:r>
                      <w:r>
                        <w:rPr>
                          <w:rFonts w:ascii="Arial" w:hAnsi="Arial"/>
                          <w:b/>
                          <w:i w:val="false"/>
                          <w:caps w:val="false"/>
                          <w:smallCaps w:val="false"/>
                          <w:color w:val="245BA7"/>
                          <w:sz w:val="24"/>
                        </w:rPr>
                        <w:t>broad-based equity</w:t>
                      </w:r>
                      <w:r>
                        <w:rPr>
                          <w:rFonts w:ascii="Arial" w:hAnsi="Arial"/>
                          <w:b/>
                          <w:i w:val="false"/>
                          <w:caps w:val="false"/>
                          <w:smallCaps w:val="false"/>
                          <w:color w:val="000000"/>
                          <w:sz w:val="24"/>
                        </w:rPr>
                        <w:t xml:space="preserve"> program reinforce our company culture and are designed to reward </w:t>
                      </w:r>
                      <w:r>
                        <w:rPr>
                          <w:rFonts w:ascii="Arial" w:hAnsi="Arial"/>
                          <w:b/>
                          <w:i w:val="false"/>
                          <w:caps w:val="false"/>
                          <w:smallCaps w:val="false"/>
                          <w:color w:val="245BA7"/>
                          <w:sz w:val="24"/>
                        </w:rPr>
                        <w:t>long-term, sustainable performance.</w:t>
                      </w:r>
                    </w:p>
                  </w:txbxContent>
                </v:textbox>
                <w10:wrap type="square" side="left"/>
              </v:rect>
            </w:pict>
          </mc:Fallback>
        </mc:AlternateContent>
      </w:r>
    </w:p>
    <w:p>
      <w:pPr>
        <w:pStyle w:val="TextBody"/>
        <w:pBdr/>
        <w:spacing w:before="0" w:after="210"/>
        <w:ind w:left="0" w:right="0" w:hanging="0"/>
        <w:rPr>
          <w:rFonts w:ascii="Arial" w:hAnsi="Arial"/>
          <w:color w:val="000000"/>
          <w:sz w:val="21"/>
        </w:rPr>
      </w:pPr>
      <w:r>
        <w:rPr>
          <w:rFonts w:ascii="Arial" w:hAnsi="Arial"/>
          <w:color w:val="000000"/>
          <w:sz w:val="21"/>
        </w:rPr>
        <w:t>Regeneron’s culture is defined by loyal and motivated employees with an entrepreneurial spirit who are dedicated to the Company’s mission to use the power of science to invent medicines for people with serious diseases. Our employees’ engagement, commitment, and achievements are key drivers of pipeline success and our long-term performance. For Regeneron to succeed, our compensation model must reward long-term, sustainable performance and reinforce a culture where employees are empowered to pursue fulfilling careers and focus on our mission and drug discovery and development. Therefore, our compensation model is designed to encourage experimentation, innovation, and long-term thinking within an appropriate governance framework.</w:t>
      </w:r>
    </w:p>
    <w:p>
      <w:pPr>
        <w:pStyle w:val="TextBody"/>
        <w:pBdr/>
        <w:spacing w:before="0" w:after="210"/>
        <w:ind w:left="0" w:right="0" w:hanging="0"/>
        <w:rPr>
          <w:rFonts w:ascii="Arial" w:hAnsi="Arial"/>
          <w:color w:val="000000"/>
          <w:sz w:val="21"/>
        </w:rPr>
      </w:pPr>
      <w:r>
        <w:rPr>
          <w:rFonts w:ascii="Arial" w:hAnsi="Arial"/>
          <w:color w:val="000000"/>
          <w:sz w:val="21"/>
        </w:rPr>
        <w:t xml:space="preserve">Like many companies, we use equity-based pay to align employees’ interests with our long-term success; but unlike many peers, a key part of our pay philosophy is to award equity-based pay to </w:t>
      </w:r>
      <w:r>
        <w:rPr>
          <w:rFonts w:ascii="Arial" w:hAnsi="Arial"/>
          <w:color w:val="000000"/>
          <w:sz w:val="21"/>
          <w:u w:val="single"/>
        </w:rPr>
        <w:t>all</w:t>
      </w:r>
      <w:r>
        <w:rPr>
          <w:rFonts w:ascii="Arial" w:hAnsi="Arial"/>
          <w:color w:val="000000"/>
          <w:sz w:val="21"/>
        </w:rPr>
        <w:t xml:space="preserve"> employees. This unique approach ensures that when we deliver for patients and for shareholders, everyone shares in the upside growth, even over the multiyear timeframes required to bring new medicines to market. Emphasizing the overall success of the Company thus allows us to experiment, pursue innovative approaches, and follow the science. In recent years, approximately 90% of our annual employee equity grants were awarded to employees other than our NEOs, representing an exceptionally broad-based equity plan. We believe this approach encourages our employees to think and act like owners and supports our robust employee engagement and industry-leading retention,</w:t>
      </w:r>
      <w:r>
        <w:rPr>
          <w:rFonts w:ascii="Arial" w:hAnsi="Arial"/>
          <w:color w:val="000000"/>
          <w:sz w:val="12"/>
        </w:rPr>
        <w:t>4</w:t>
      </w:r>
      <w:r>
        <w:rPr>
          <w:rFonts w:ascii="Arial" w:hAnsi="Arial"/>
          <w:color w:val="000000"/>
          <w:sz w:val="21"/>
        </w:rPr>
        <w:t xml:space="preserve"> as shown below. </w:t>
      </w:r>
    </w:p>
    <w:p>
      <w:pPr>
        <w:pStyle w:val="TextBody"/>
        <w:jc w:val="center"/>
        <w:rPr/>
      </w:pPr>
      <w:r>
        <w:rPr/>
        <w:drawing>
          <wp:inline distT="0" distB="0" distL="0" distR="0">
            <wp:extent cx="7620000" cy="1838325"/>
            <wp:effectExtent l="0" t="0" r="0" b="0"/>
            <wp:docPr id="20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58" descr=""/>
                    <pic:cNvPicPr>
                      <a:picLocks noChangeAspect="1" noChangeArrowheads="1"/>
                    </pic:cNvPicPr>
                  </pic:nvPicPr>
                  <pic:blipFill>
                    <a:blip r:embed="rId159"/>
                    <a:stretch>
                      <a:fillRect/>
                    </a:stretch>
                  </pic:blipFill>
                  <pic:spPr bwMode="auto">
                    <a:xfrm>
                      <a:off x="0" y="0"/>
                      <a:ext cx="7620000" cy="1838325"/>
                    </a:xfrm>
                    <a:prstGeom prst="rect">
                      <a:avLst/>
                    </a:prstGeom>
                  </pic:spPr>
                </pic:pic>
              </a:graphicData>
            </a:graphic>
          </wp:inline>
        </w:drawing>
      </w:r>
      <w:r>
        <w:rPr/>
        <w:t xml:space="preserve"> </w:t>
      </w:r>
    </w:p>
    <w:p>
      <w:pPr>
        <w:pStyle w:val="TextBody"/>
        <w:pBdr/>
        <w:spacing w:before="0" w:after="60"/>
        <w:ind w:left="0" w:right="0" w:hanging="0"/>
        <w:rPr>
          <w:color w:val="000000"/>
        </w:rPr>
      </w:pPr>
      <w:r>
        <w:rPr>
          <w:color w:val="000000"/>
        </w:rPr>
        <w:t> </w:t>
      </w:r>
    </w:p>
    <w:p>
      <w:pPr>
        <w:pStyle w:val="TextBody"/>
        <w:pBdr/>
        <w:spacing w:before="0" w:after="210"/>
        <w:ind w:left="0" w:right="0" w:hanging="0"/>
        <w:rPr>
          <w:rFonts w:ascii="Arial" w:hAnsi="Arial"/>
          <w:color w:val="000000"/>
          <w:sz w:val="21"/>
        </w:rPr>
      </w:pPr>
      <w:r>
        <w:rPr>
          <w:rFonts w:ascii="Arial" w:hAnsi="Arial"/>
          <w:color w:val="000000"/>
          <w:sz w:val="21"/>
        </w:rPr>
        <w:t>Our corporate culture also is shaped by our commitment to “Doing Well by Doing Good,” which has inspired the Company for the last 35 years. This commitment, paired with unrelenting focus on science and innovation, is reflected in our 2025 global responsibility goals. In 2022, we took important steps toward achieving these goals, as discussed in the subsection “The Company–Corporate Governance–Corporate Responsibility.”</w:t>
      </w:r>
    </w:p>
    <w:p>
      <w:pPr>
        <w:pStyle w:val="TextBody"/>
        <w:pBdr/>
        <w:spacing w:before="0" w:after="210"/>
        <w:ind w:left="0" w:right="0" w:hanging="0"/>
        <w:rPr>
          <w:color w:val="000000"/>
        </w:rPr>
      </w:pPr>
      <w:r>
        <w:rPr>
          <w:color w:val="000000"/>
        </w:rPr>
        <w:t> </w:t>
      </w:r>
    </w:p>
    <w:p>
      <w:pPr>
        <w:pStyle w:val="TextBody"/>
        <w:pBdr/>
        <w:spacing w:before="0" w:after="210"/>
        <w:ind w:left="0" w:right="0" w:hanging="0"/>
        <w:rPr>
          <w:color w:val="000000"/>
        </w:rPr>
      </w:pPr>
      <w:r>
        <w:rPr>
          <w:color w:val="000000"/>
        </w:rPr>
        <w:t> </w:t>
      </w:r>
    </w:p>
    <w:p>
      <w:pPr>
        <w:pStyle w:val="TextBody"/>
        <w:pBdr/>
        <w:spacing w:before="0" w:after="210"/>
        <w:ind w:left="0" w:right="0" w:hanging="0"/>
        <w:rPr>
          <w:color w:val="000000"/>
        </w:rPr>
      </w:pPr>
      <w:r>
        <w:rPr>
          <w:color w:val="000000"/>
        </w:rPr>
        <w:t> </w:t>
      </w:r>
    </w:p>
    <w:p>
      <w:pPr>
        <w:pStyle w:val="TextBody"/>
        <w:pBdr/>
        <w:spacing w:before="0" w:after="210"/>
        <w:ind w:left="0" w:right="0" w:hanging="0"/>
        <w:rPr>
          <w:color w:val="000000"/>
        </w:rPr>
      </w:pPr>
      <w:r>
        <w:rPr>
          <w:color w:val="000000"/>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4</w:t>
            </w:r>
          </w:p>
          <w:p>
            <w:pPr>
              <w:pStyle w:val="TableContents"/>
              <w:pBdr/>
              <w:spacing w:before="0" w:after="0"/>
              <w:ind w:left="0" w:right="30" w:hanging="0"/>
              <w:rPr>
                <w:rFonts w:ascii="Arial" w:hAnsi="Arial"/>
                <w:color w:val="000000"/>
                <w:sz w:val="20"/>
              </w:rPr>
            </w:pPr>
            <w:r>
              <w:rPr>
                <w:rFonts w:ascii="Arial" w:hAnsi="Arial"/>
                <w:color w:val="000000"/>
                <w:sz w:val="20"/>
              </w:rPr>
              <w:t>Based on Regeneron’s turnover rate compared to the industry average. In 2022, our turnover rate was 9.0% compared to an industry average of 21.9%. Industry average is based on data of U.S. life sciences companies reported in Aon’s 2022 Salary Increase and Turnover Study.</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0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59" descr=""/>
                          <pic:cNvPicPr>
                            <a:picLocks noChangeAspect="1" noChangeArrowheads="1"/>
                          </pic:cNvPicPr>
                        </pic:nvPicPr>
                        <pic:blipFill>
                          <a:blip r:embed="rId160"/>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55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07" w:name="new_id-98"/>
      <w:bookmarkEnd w:id="107"/>
      <w:r>
        <w:rPr>
          <w:rFonts w:ascii="Arial" w:hAnsi="Arial"/>
          <w:b/>
          <w:i w:val="false"/>
          <w:caps w:val="false"/>
          <w:smallCaps w:val="false"/>
          <w:color w:val="D31B5D"/>
          <w:sz w:val="30"/>
          <w:bdr w:val="single" w:sz="12" w:space="2" w:color="245BA7"/>
        </w:rPr>
        <w:t xml:space="preserve">2022 BUSINESS HIGHLIGHTS </w:t>
      </w:r>
    </w:p>
    <w:p>
      <w:pPr>
        <w:pStyle w:val="TextBody"/>
        <w:pBdr/>
        <w:spacing w:before="0" w:after="210"/>
        <w:ind w:left="0" w:right="0" w:hanging="0"/>
        <w:rPr>
          <w:rFonts w:ascii="Arial" w:hAnsi="Arial"/>
          <w:color w:val="000000"/>
          <w:sz w:val="21"/>
        </w:rPr>
      </w:pPr>
      <w:r>
        <w:rPr>
          <w:rFonts w:ascii="Arial" w:hAnsi="Arial"/>
          <w:color w:val="000000"/>
          <w:sz w:val="21"/>
        </w:rPr>
        <w:t>In 2022, we made significant progress in all key areas of our business. We also continued to demonstrate our commitment to driving sustainable, long-term shareholder value creation, including by investing $3.6 billion in research and development and $590 million in capital expenditures (primarily to expand R&amp;D facilities at our corporate headquarters and construct a fill/finish manufacturing facility). We highlight select 2022 accomplishments below and provide a comprehensive overview of our 2022 achievements, as well as the Compensation Committee’s assessment of those achievements, in the subsections “Components of Executive Pay: What We Pay and Why We Pay It—Annual Cash Incentives” and “Compensation Dashboard—Additional Compensation Information—Annual Cash Incentives.”</w:t>
      </w:r>
    </w:p>
    <w:tbl>
      <w:tblPr>
        <w:tblW w:w="10205" w:type="dxa"/>
        <w:jc w:val="left"/>
        <w:tblInd w:w="0" w:type="dxa"/>
        <w:tblCellMar>
          <w:top w:w="165" w:type="dxa"/>
          <w:left w:w="28" w:type="dxa"/>
          <w:bottom w:w="0" w:type="dxa"/>
          <w:right w:w="28" w:type="dxa"/>
        </w:tblCellMar>
      </w:tblPr>
      <w:tblGrid>
        <w:gridCol w:w="4781"/>
        <w:gridCol w:w="146"/>
        <w:gridCol w:w="5278"/>
      </w:tblGrid>
      <w:tr>
        <w:trPr/>
        <w:tc>
          <w:tcPr>
            <w:tcW w:w="4781" w:type="dxa"/>
            <w:tcBorders>
              <w:top w:val="single" w:sz="48" w:space="0" w:color="83D0F5"/>
              <w:left w:val="single" w:sz="48" w:space="0" w:color="83D0F5"/>
              <w:right w:val="single" w:sz="48" w:space="0" w:color="83D0F5"/>
            </w:tcBorders>
            <w:shd w:fill="auto" w:val="clear"/>
            <w:vAlign w:val="center"/>
          </w:tcPr>
          <w:p>
            <w:pPr>
              <w:pStyle w:val="TableContents"/>
              <w:pBdr/>
              <w:spacing w:before="0" w:after="45"/>
              <w:ind w:left="240" w:right="240" w:hanging="0"/>
              <w:rPr>
                <w:rFonts w:ascii="Arial" w:hAnsi="Arial"/>
                <w:b/>
                <w:color w:val="245BA7"/>
                <w:sz w:val="26"/>
              </w:rPr>
            </w:pPr>
            <w:r>
              <w:rPr>
                <w:rFonts w:ascii="Arial" w:hAnsi="Arial"/>
                <w:b/>
                <w:color w:val="245BA7"/>
                <w:sz w:val="26"/>
              </w:rPr>
              <w:t>Regulatory Actions</w:t>
            </w:r>
          </w:p>
        </w:tc>
        <w:tc>
          <w:tcPr>
            <w:tcW w:w="146" w:type="dxa"/>
            <w:tcBorders/>
            <w:shd w:fill="FFFFFF" w:val="clear"/>
            <w:tcMar>
              <w:top w:w="28" w:type="dxa"/>
              <w:bottom w:w="28" w:type="dxa"/>
            </w:tcMar>
            <w:vAlign w:val="center"/>
          </w:tcPr>
          <w:p>
            <w:pPr>
              <w:pStyle w:val="TableContents"/>
              <w:spacing w:before="0" w:after="0"/>
              <w:ind w:left="0" w:right="0" w:hanging="0"/>
              <w:rPr/>
            </w:pPr>
            <w:r>
              <w:rPr/>
              <w:t> </w:t>
            </w:r>
          </w:p>
        </w:tc>
        <w:tc>
          <w:tcPr>
            <w:tcW w:w="5278" w:type="dxa"/>
            <w:tcBorders>
              <w:top w:val="single" w:sz="48" w:space="0" w:color="83D0F5"/>
              <w:left w:val="single" w:sz="48" w:space="0" w:color="83D0F5"/>
              <w:right w:val="single" w:sz="48" w:space="0" w:color="83D0F5"/>
            </w:tcBorders>
            <w:shd w:fill="auto" w:val="clear"/>
            <w:vAlign w:val="center"/>
          </w:tcPr>
          <w:p>
            <w:pPr>
              <w:pStyle w:val="TableContents"/>
              <w:pBdr/>
              <w:spacing w:before="0" w:after="45"/>
              <w:ind w:left="240" w:right="240" w:hanging="0"/>
              <w:rPr>
                <w:rFonts w:ascii="Arial" w:hAnsi="Arial"/>
                <w:b/>
                <w:color w:val="245BA7"/>
                <w:sz w:val="26"/>
              </w:rPr>
            </w:pPr>
            <w:r>
              <w:rPr>
                <w:rFonts w:ascii="Arial" w:hAnsi="Arial"/>
                <w:b/>
                <w:color w:val="245BA7"/>
                <w:sz w:val="26"/>
              </w:rPr>
              <w:t>Clinical and Significant Pipeline Advances</w:t>
            </w:r>
          </w:p>
        </w:tc>
      </w:tr>
      <w:tr>
        <w:trPr/>
        <w:tc>
          <w:tcPr>
            <w:tcW w:w="4781" w:type="dxa"/>
            <w:tcBorders>
              <w:left w:val="single" w:sz="48" w:space="0" w:color="83D0F5"/>
              <w:bottom w:val="single" w:sz="48" w:space="0" w:color="83D0F5"/>
              <w:right w:val="single" w:sz="48" w:space="0" w:color="83D0F5"/>
            </w:tcBorders>
            <w:shd w:fill="auto" w:val="clear"/>
            <w:tcMar>
              <w:top w:w="0" w:type="dxa"/>
              <w:bottom w:w="28" w:type="dxa"/>
            </w:tcMar>
            <w:vAlign w:val="center"/>
          </w:tcPr>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b/>
                <w:color w:val="000000"/>
                <w:sz w:val="20"/>
              </w:rPr>
              <w:t>EYLEA:</w:t>
            </w:r>
            <w:r>
              <w:rPr>
                <w:rFonts w:ascii="Arial" w:hAnsi="Arial"/>
                <w:color w:val="000000"/>
                <w:sz w:val="20"/>
              </w:rPr>
              <w:t xml:space="preserve"> Pediatric exclusivity granted by FDA based on completion of retinopathy of prematurity study, extending period of U.S. market exclusivity by an additional six months through May 17, 2024</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b/>
                <w:color w:val="000000"/>
                <w:sz w:val="20"/>
              </w:rPr>
            </w:pPr>
            <w:r>
              <w:rPr>
                <w:rFonts w:ascii="Arial" w:hAnsi="Arial"/>
                <w:b/>
                <w:color w:val="000000"/>
                <w:sz w:val="20"/>
              </w:rPr>
              <w:t>Dupixent:</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color w:val="000000"/>
                <w:sz w:val="20"/>
              </w:rPr>
              <w:t>FDA approval for the treatment of adults and adolescents with eosinophilic esophagitis (“EoE”) (first and only treatment approved by the FDA for this indication)</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color w:val="000000"/>
                <w:sz w:val="20"/>
              </w:rPr>
              <w:t>FDA and European Commission (“EC”) approvals for the treatment of prurigo nodularis (first and only targeted medicine specifically indicated to treat this disease)</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color w:val="000000"/>
                <w:sz w:val="20"/>
              </w:rPr>
              <w:t>FDA approval for pediatric atopic dermatitis (first biologic approved for children 6 months-5 years of age)</w:t>
            </w:r>
          </w:p>
          <w:p>
            <w:pPr>
              <w:pStyle w:val="TableContents"/>
              <w:pBdr/>
              <w:spacing w:before="0" w:after="0"/>
              <w:ind w:left="0" w:right="0" w:hanging="0"/>
              <w:jc w:val="left"/>
              <w:rPr>
                <w:caps w:val="false"/>
                <w:smallCaps w:val="false"/>
                <w:color w:val="D31B5D"/>
              </w:rPr>
            </w:pPr>
            <w:r>
              <w:rPr>
                <w:caps w:val="false"/>
                <w:smallCaps w:val="false"/>
                <w:color w:val="D31B5D"/>
              </w:rPr>
              <w:t> </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b/>
                <w:color w:val="000000"/>
                <w:sz w:val="20"/>
              </w:rPr>
            </w:pPr>
            <w:r>
              <w:rPr>
                <w:rFonts w:ascii="Arial" w:hAnsi="Arial"/>
                <w:b/>
                <w:color w:val="000000"/>
                <w:sz w:val="20"/>
              </w:rPr>
              <w:t>Libtayo:</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color w:val="000000"/>
                <w:sz w:val="20"/>
              </w:rPr>
              <w:t>FDA approval in combination with chemotherapy for the treatment of non-small cell lung cancer (“NSCLC”)</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100"/>
              <w:ind w:left="240" w:right="27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EC approval and Ministry of Health, Labour and Welfare (“MHLW”) approval in Japan for the treatment of cervical cancer</w:t>
            </w:r>
          </w:p>
        </w:tc>
        <w:tc>
          <w:tcPr>
            <w:tcW w:w="146" w:type="dxa"/>
            <w:tcBorders/>
            <w:shd w:fill="FFFFFF" w:val="clear"/>
            <w:tcMar>
              <w:top w:w="28" w:type="dxa"/>
              <w:bottom w:w="28" w:type="dxa"/>
            </w:tcMar>
            <w:vAlign w:val="center"/>
          </w:tcPr>
          <w:p>
            <w:pPr>
              <w:pStyle w:val="TableContents"/>
              <w:spacing w:before="0" w:after="0"/>
              <w:ind w:left="0" w:right="0" w:hanging="0"/>
              <w:rPr/>
            </w:pPr>
            <w:r>
              <w:rPr/>
              <w:t> </w:t>
            </w:r>
          </w:p>
        </w:tc>
        <w:tc>
          <w:tcPr>
            <w:tcW w:w="5278" w:type="dxa"/>
            <w:tcBorders>
              <w:left w:val="single" w:sz="48" w:space="0" w:color="83D0F5"/>
              <w:bottom w:val="single" w:sz="48" w:space="0" w:color="83D0F5"/>
              <w:right w:val="single" w:sz="48" w:space="0" w:color="83D0F5"/>
            </w:tcBorders>
            <w:shd w:fill="auto" w:val="clear"/>
            <w:tcMar>
              <w:top w:w="0" w:type="dxa"/>
              <w:bottom w:w="28" w:type="dxa"/>
            </w:tcMar>
            <w:vAlign w:val="center"/>
          </w:tcPr>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b/>
                <w:color w:val="000000"/>
                <w:sz w:val="20"/>
              </w:rPr>
              <w:t>Aflibercept 8 mg:</w:t>
            </w:r>
            <w:r>
              <w:rPr>
                <w:rFonts w:ascii="Arial" w:hAnsi="Arial"/>
                <w:color w:val="000000"/>
                <w:sz w:val="20"/>
              </w:rPr>
              <w:t xml:space="preserve"> Reported that Phase 3 trials in diabetic macular edema (“DME”) and wet age-related macular degeneration (“wet AMD”) met their primary endpoints</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b/>
                <w:color w:val="000000"/>
                <w:sz w:val="20"/>
              </w:rPr>
              <w:t>Dupixent:</w:t>
            </w:r>
            <w:r>
              <w:rPr>
                <w:rFonts w:ascii="Arial" w:hAnsi="Arial"/>
                <w:color w:val="000000"/>
                <w:sz w:val="20"/>
              </w:rPr>
              <w:t xml:space="preserve"> Reported that Phase 3 trial in EoE in pediatrics met its primary endpoint</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b/>
                <w:color w:val="000000"/>
                <w:sz w:val="20"/>
              </w:rPr>
            </w:pPr>
            <w:r>
              <w:rPr>
                <w:rFonts w:ascii="Arial" w:hAnsi="Arial"/>
                <w:b/>
                <w:color w:val="000000"/>
                <w:sz w:val="20"/>
              </w:rPr>
              <w:t xml:space="preserve">Oncology Programs: </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color w:val="000000"/>
                <w:sz w:val="20"/>
              </w:rPr>
              <w:t>Presented potentially pivotal Phase 2 data for odronextamab (bispecific antibody targeting CD20 and CD3) in B-cell non-Hodgkin lymphoma and linvoseltamab (bispecific antibody targeting BCMA and CD3) in multiple myeloma</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color w:val="000000"/>
                <w:sz w:val="20"/>
              </w:rPr>
              <w:t>Presented positive data from Phase 1 studies of fianlimab (in combination with Libtayo) in advanced melanoma and NSCLC</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color w:val="000000"/>
                <w:sz w:val="20"/>
              </w:rPr>
              <w:t>Presented positive initial data for two novel bispecific antibodies in solid tumors–REGN5093 (targeting two distinct MET epitopes) and ubamatamab (targeting MUC16 and CD3)</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color w:val="000000"/>
                <w:sz w:val="20"/>
              </w:rPr>
              <w:t xml:space="preserve">Reported encouraging initial data from an ongoing Phase 1/2 trial investigating REGN5678 (bispecific antibody targeting PSMA and CD28) in combination with Libtayo in prostate cancer </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100"/>
              <w:ind w:left="240" w:right="270" w:hanging="0"/>
              <w:rPr>
                <w:rFonts w:ascii="Arial" w:hAnsi="Arial"/>
                <w:b w:val="false"/>
                <w:i w:val="false"/>
                <w:caps w:val="false"/>
                <w:smallCaps w:val="false"/>
                <w:color w:val="000000"/>
                <w:sz w:val="20"/>
              </w:rPr>
            </w:pPr>
            <w:r>
              <w:rPr>
                <w:rFonts w:ascii="Arial" w:hAnsi="Arial"/>
                <w:b/>
                <w:i w:val="false"/>
                <w:caps w:val="false"/>
                <w:smallCaps w:val="false"/>
                <w:color w:val="000000"/>
                <w:sz w:val="20"/>
              </w:rPr>
              <w:t xml:space="preserve">Pipeline Growth: </w:t>
            </w:r>
            <w:r>
              <w:rPr>
                <w:rFonts w:ascii="Arial" w:hAnsi="Arial"/>
                <w:b w:val="false"/>
                <w:i w:val="false"/>
                <w:caps w:val="false"/>
                <w:smallCaps w:val="false"/>
                <w:color w:val="000000"/>
                <w:sz w:val="20"/>
              </w:rPr>
              <w:t>Initiated approximately 20 clinical trials for new or existing programs</w:t>
            </w:r>
          </w:p>
        </w:tc>
      </w:tr>
      <w:tr>
        <w:trPr/>
        <w:tc>
          <w:tcPr>
            <w:tcW w:w="4781" w:type="dxa"/>
            <w:tcBorders/>
            <w:shd w:fill="auto" w:val="clear"/>
            <w:tcMar>
              <w:top w:w="28" w:type="dxa"/>
              <w:bottom w:w="28" w:type="dxa"/>
            </w:tcMar>
            <w:vAlign w:val="center"/>
          </w:tcPr>
          <w:p>
            <w:pPr>
              <w:pStyle w:val="TableContents"/>
              <w:pBdr/>
              <w:spacing w:before="0" w:after="0"/>
              <w:ind w:left="0" w:right="0" w:hanging="0"/>
              <w:rPr>
                <w:color w:val="000000"/>
              </w:rPr>
            </w:pPr>
            <w:r>
              <w:rPr>
                <w:color w:val="000000"/>
              </w:rPr>
              <w:t> </w:t>
            </w:r>
          </w:p>
        </w:tc>
        <w:tc>
          <w:tcPr>
            <w:tcW w:w="146" w:type="dxa"/>
            <w:tcBorders/>
            <w:shd w:fill="FFFFFF" w:val="clear"/>
            <w:tcMar>
              <w:top w:w="28" w:type="dxa"/>
              <w:bottom w:w="28" w:type="dxa"/>
            </w:tcMar>
            <w:vAlign w:val="center"/>
          </w:tcPr>
          <w:p>
            <w:pPr>
              <w:pStyle w:val="TableContents"/>
              <w:spacing w:before="0" w:after="0"/>
              <w:ind w:left="0" w:right="0" w:hanging="0"/>
              <w:rPr/>
            </w:pPr>
            <w:r>
              <w:rPr/>
              <w:t> </w:t>
            </w:r>
          </w:p>
        </w:tc>
        <w:tc>
          <w:tcPr>
            <w:tcW w:w="5278" w:type="dxa"/>
            <w:tcBorders/>
            <w:shd w:fill="auto" w:val="clear"/>
            <w:tcMar>
              <w:top w:w="28" w:type="dxa"/>
              <w:bottom w:w="28" w:type="dxa"/>
            </w:tcMar>
            <w:vAlign w:val="center"/>
          </w:tcPr>
          <w:p>
            <w:pPr>
              <w:pStyle w:val="TableContents"/>
              <w:pBdr/>
              <w:spacing w:before="0" w:after="0"/>
              <w:ind w:left="0" w:right="0" w:hanging="0"/>
              <w:rPr>
                <w:color w:val="000000"/>
              </w:rPr>
            </w:pPr>
            <w:r>
              <w:rPr>
                <w:color w:val="000000"/>
              </w:rPr>
              <w:t> </w:t>
            </w:r>
          </w:p>
        </w:tc>
      </w:tr>
    </w:tbl>
    <w:tbl>
      <w:tblPr>
        <w:tblW w:w="10205" w:type="dxa"/>
        <w:jc w:val="left"/>
        <w:tblInd w:w="0" w:type="dxa"/>
        <w:tblCellMar>
          <w:top w:w="165" w:type="dxa"/>
          <w:left w:w="28" w:type="dxa"/>
          <w:bottom w:w="0" w:type="dxa"/>
          <w:right w:w="28" w:type="dxa"/>
        </w:tblCellMar>
      </w:tblPr>
      <w:tblGrid>
        <w:gridCol w:w="5556"/>
        <w:gridCol w:w="146"/>
        <w:gridCol w:w="4503"/>
      </w:tblGrid>
      <w:tr>
        <w:trPr/>
        <w:tc>
          <w:tcPr>
            <w:tcW w:w="5556" w:type="dxa"/>
            <w:tcBorders>
              <w:top w:val="single" w:sz="48" w:space="0" w:color="83D0F5"/>
              <w:left w:val="single" w:sz="48" w:space="0" w:color="83D0F5"/>
              <w:right w:val="single" w:sz="48" w:space="0" w:color="83D0F5"/>
            </w:tcBorders>
            <w:shd w:fill="auto" w:val="clear"/>
            <w:vAlign w:val="center"/>
          </w:tcPr>
          <w:p>
            <w:pPr>
              <w:pStyle w:val="TableContents"/>
              <w:pBdr/>
              <w:spacing w:before="0" w:after="45"/>
              <w:ind w:left="240" w:right="240" w:hanging="0"/>
              <w:rPr>
                <w:rFonts w:ascii="Arial" w:hAnsi="Arial"/>
                <w:b/>
                <w:color w:val="245BA7"/>
                <w:sz w:val="26"/>
              </w:rPr>
            </w:pPr>
            <w:r>
              <w:rPr>
                <w:rFonts w:ascii="Arial" w:hAnsi="Arial"/>
                <w:b/>
                <w:color w:val="245BA7"/>
                <w:sz w:val="26"/>
              </w:rPr>
              <w:t>Commercial and Operational Execution</w:t>
            </w:r>
          </w:p>
        </w:tc>
        <w:tc>
          <w:tcPr>
            <w:tcW w:w="146" w:type="dxa"/>
            <w:tcBorders/>
            <w:shd w:fill="FFFFFF" w:val="clear"/>
            <w:tcMar>
              <w:top w:w="28" w:type="dxa"/>
              <w:bottom w:w="28" w:type="dxa"/>
            </w:tcMar>
            <w:vAlign w:val="center"/>
          </w:tcPr>
          <w:p>
            <w:pPr>
              <w:pStyle w:val="TableContents"/>
              <w:spacing w:before="0" w:after="0"/>
              <w:ind w:left="0" w:right="0" w:hanging="0"/>
              <w:rPr/>
            </w:pPr>
            <w:r>
              <w:rPr/>
              <w:t> </w:t>
            </w:r>
          </w:p>
        </w:tc>
        <w:tc>
          <w:tcPr>
            <w:tcW w:w="4503" w:type="dxa"/>
            <w:tcBorders>
              <w:top w:val="single" w:sz="48" w:space="0" w:color="83D0F5"/>
              <w:left w:val="single" w:sz="48" w:space="0" w:color="83D0F5"/>
              <w:right w:val="single" w:sz="48" w:space="0" w:color="83D0F5"/>
            </w:tcBorders>
            <w:shd w:fill="auto" w:val="clear"/>
            <w:vAlign w:val="center"/>
          </w:tcPr>
          <w:p>
            <w:pPr>
              <w:pStyle w:val="TableContents"/>
              <w:pBdr/>
              <w:spacing w:before="0" w:after="45"/>
              <w:ind w:left="240" w:right="240" w:hanging="0"/>
              <w:rPr>
                <w:rFonts w:ascii="Arial" w:hAnsi="Arial"/>
                <w:b/>
                <w:color w:val="245BA7"/>
                <w:sz w:val="26"/>
              </w:rPr>
            </w:pPr>
            <w:r>
              <w:rPr>
                <w:rFonts w:ascii="Arial" w:hAnsi="Arial"/>
                <w:b/>
                <w:color w:val="245BA7"/>
                <w:sz w:val="26"/>
              </w:rPr>
              <w:t>Financial Execution and Talent Management</w:t>
            </w:r>
          </w:p>
        </w:tc>
      </w:tr>
      <w:tr>
        <w:trPr/>
        <w:tc>
          <w:tcPr>
            <w:tcW w:w="5556" w:type="dxa"/>
            <w:tcBorders>
              <w:left w:val="single" w:sz="48" w:space="0" w:color="83D0F5"/>
              <w:bottom w:val="single" w:sz="48" w:space="0" w:color="83D0F5"/>
              <w:right w:val="single" w:sz="48" w:space="0" w:color="83D0F5"/>
            </w:tcBorders>
            <w:shd w:fill="auto" w:val="clear"/>
            <w:tcMar>
              <w:top w:w="0" w:type="dxa"/>
              <w:bottom w:w="28" w:type="dxa"/>
            </w:tcMar>
            <w:vAlign w:val="center"/>
          </w:tcPr>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b/>
                <w:color w:val="000000"/>
                <w:sz w:val="20"/>
              </w:rPr>
              <w:t>EYLEA:</w:t>
            </w:r>
            <w:r>
              <w:rPr>
                <w:rFonts w:ascii="Arial" w:hAnsi="Arial"/>
                <w:color w:val="000000"/>
                <w:sz w:val="20"/>
              </w:rPr>
              <w:t xml:space="preserve"> Full-year 2022 U.S. net product sales increased 8% to $6.26 billion versus 2021</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b/>
                <w:color w:val="000000"/>
                <w:sz w:val="20"/>
              </w:rPr>
              <w:t xml:space="preserve">Dupixent: </w:t>
            </w:r>
            <w:r>
              <w:rPr>
                <w:rFonts w:ascii="Arial" w:hAnsi="Arial"/>
                <w:color w:val="000000"/>
                <w:sz w:val="20"/>
              </w:rPr>
              <w:t>Full-year 2022 global net product sales increased 40% to $8.68 billion</w:t>
            </w:r>
            <w:r>
              <w:rPr>
                <w:rFonts w:ascii="Arial" w:hAnsi="Arial"/>
                <w:color w:val="000000"/>
                <w:sz w:val="12"/>
              </w:rPr>
              <w:t>1</w:t>
            </w:r>
            <w:r>
              <w:rPr>
                <w:rFonts w:ascii="Arial" w:hAnsi="Arial"/>
                <w:color w:val="000000"/>
                <w:sz w:val="20"/>
              </w:rPr>
              <w:t xml:space="preserve"> versus 2021</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b/>
                <w:color w:val="000000"/>
                <w:sz w:val="20"/>
              </w:rPr>
              <w:t xml:space="preserve">Libtayo: </w:t>
            </w:r>
            <w:r>
              <w:rPr>
                <w:rFonts w:ascii="Arial" w:hAnsi="Arial"/>
                <w:color w:val="000000"/>
                <w:sz w:val="20"/>
              </w:rPr>
              <w:t>Full-year 2022 global net product sales increased 26% to $578.0 million</w:t>
            </w:r>
            <w:r>
              <w:rPr>
                <w:rFonts w:ascii="Arial" w:hAnsi="Arial"/>
                <w:color w:val="000000"/>
                <w:sz w:val="12"/>
              </w:rPr>
              <w:t>1</w:t>
            </w:r>
            <w:r>
              <w:rPr>
                <w:rFonts w:ascii="Arial" w:hAnsi="Arial"/>
                <w:color w:val="000000"/>
                <w:sz w:val="20"/>
              </w:rPr>
              <w:t xml:space="preserve"> versus 2021</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b/>
                <w:color w:val="000000"/>
                <w:sz w:val="20"/>
              </w:rPr>
            </w:pPr>
            <w:r>
              <w:rPr>
                <w:rFonts w:ascii="Arial" w:hAnsi="Arial"/>
                <w:b/>
                <w:color w:val="000000"/>
                <w:sz w:val="20"/>
              </w:rPr>
              <w:t>Commercial Expansion:</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color w:val="000000"/>
                <w:sz w:val="20"/>
              </w:rPr>
              <w:t>Completed acquisition of Sanofi’s stake in Libtayo, providing Regeneron with exclusive worldwide development, commercialization, and manufacturing rights to the medicine</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color w:val="000000"/>
                <w:sz w:val="20"/>
              </w:rPr>
              <w:t>Established commercial capabilities in additional countries outside the United States</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100"/>
              <w:ind w:left="240" w:right="270" w:hanging="0"/>
              <w:rPr>
                <w:rFonts w:ascii="Arial" w:hAnsi="Arial"/>
                <w:b w:val="false"/>
                <w:i w:val="false"/>
                <w:caps w:val="false"/>
                <w:smallCaps w:val="false"/>
                <w:color w:val="000000"/>
                <w:sz w:val="20"/>
              </w:rPr>
            </w:pPr>
            <w:r>
              <w:rPr>
                <w:rFonts w:ascii="Arial" w:hAnsi="Arial"/>
                <w:b/>
                <w:i w:val="false"/>
                <w:caps w:val="false"/>
                <w:smallCaps w:val="false"/>
                <w:color w:val="000000"/>
                <w:sz w:val="20"/>
              </w:rPr>
              <w:t xml:space="preserve">Industrial Operations and Product Supply: </w:t>
            </w:r>
            <w:r>
              <w:rPr>
                <w:rFonts w:ascii="Arial" w:hAnsi="Arial"/>
                <w:b w:val="false"/>
                <w:i w:val="false"/>
                <w:caps w:val="false"/>
                <w:smallCaps w:val="false"/>
                <w:color w:val="000000"/>
                <w:sz w:val="20"/>
              </w:rPr>
              <w:t>Expanded manufacturing capabilities while substantially rebuilding bulk and finished goods inventory (following resource reallocation to the production of COVID-19 monoclonal antibodies)</w:t>
            </w:r>
          </w:p>
        </w:tc>
        <w:tc>
          <w:tcPr>
            <w:tcW w:w="146" w:type="dxa"/>
            <w:tcBorders/>
            <w:shd w:fill="FFFFFF" w:val="clear"/>
            <w:tcMar>
              <w:top w:w="28" w:type="dxa"/>
              <w:bottom w:w="28" w:type="dxa"/>
            </w:tcMar>
            <w:vAlign w:val="center"/>
          </w:tcPr>
          <w:p>
            <w:pPr>
              <w:pStyle w:val="TableContents"/>
              <w:spacing w:before="0" w:after="0"/>
              <w:ind w:left="0" w:right="0" w:hanging="0"/>
              <w:rPr/>
            </w:pPr>
            <w:r>
              <w:rPr/>
              <w:t> </w:t>
            </w:r>
          </w:p>
        </w:tc>
        <w:tc>
          <w:tcPr>
            <w:tcW w:w="4503" w:type="dxa"/>
            <w:tcBorders>
              <w:left w:val="single" w:sz="48" w:space="0" w:color="83D0F5"/>
              <w:bottom w:val="single" w:sz="48" w:space="0" w:color="83D0F5"/>
              <w:right w:val="single" w:sz="48" w:space="0" w:color="83D0F5"/>
            </w:tcBorders>
            <w:shd w:fill="auto" w:val="clear"/>
            <w:tcMar>
              <w:top w:w="0" w:type="dxa"/>
              <w:bottom w:w="28" w:type="dxa"/>
            </w:tcMar>
            <w:vAlign w:val="center"/>
          </w:tcPr>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b/>
                <w:color w:val="000000"/>
                <w:sz w:val="20"/>
              </w:rPr>
              <w:t>Revenue:</w:t>
            </w:r>
            <w:r>
              <w:rPr>
                <w:rFonts w:ascii="Arial" w:hAnsi="Arial"/>
                <w:color w:val="000000"/>
                <w:sz w:val="20"/>
              </w:rPr>
              <w:t xml:space="preserve"> Full-year 2022 revenues decreased 24% to $12.17 billion versus 2021; excluding REGEN-COV and Ronapreve,</w:t>
            </w:r>
            <w:r>
              <w:rPr>
                <w:rFonts w:ascii="Arial" w:hAnsi="Arial"/>
                <w:color w:val="000000"/>
                <w:sz w:val="12"/>
              </w:rPr>
              <w:t>2</w:t>
            </w:r>
            <w:r>
              <w:rPr>
                <w:rFonts w:ascii="Arial" w:hAnsi="Arial"/>
                <w:color w:val="000000"/>
                <w:sz w:val="20"/>
              </w:rPr>
              <w:t xml:space="preserve"> revenues increased 17%</w:t>
            </w:r>
            <w:r>
              <w:rPr>
                <w:rFonts w:ascii="Arial" w:hAnsi="Arial"/>
                <w:color w:val="000000"/>
                <w:sz w:val="12"/>
              </w:rPr>
              <w:t>3</w:t>
            </w:r>
            <w:r>
              <w:rPr>
                <w:rFonts w:ascii="Arial" w:hAnsi="Arial"/>
                <w:color w:val="000000"/>
                <w:sz w:val="20"/>
              </w:rPr>
              <w:t xml:space="preserve"> versus 2021</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b/>
                <w:color w:val="000000"/>
                <w:sz w:val="20"/>
              </w:rPr>
              <w:t>EPS:</w:t>
            </w:r>
            <w:r>
              <w:rPr>
                <w:rFonts w:ascii="Arial" w:hAnsi="Arial"/>
                <w:color w:val="000000"/>
                <w:sz w:val="20"/>
              </w:rPr>
              <w:t xml:space="preserve"> GAAP and non-GAAP diluted net income per share, or EPS, for full-year 2022 of $38.22 and $44.98,</w:t>
            </w:r>
            <w:r>
              <w:rPr>
                <w:rFonts w:ascii="Arial" w:hAnsi="Arial"/>
                <w:color w:val="000000"/>
                <w:sz w:val="12"/>
              </w:rPr>
              <w:t>3</w:t>
            </w:r>
            <w:r>
              <w:rPr>
                <w:rFonts w:ascii="Arial" w:hAnsi="Arial"/>
                <w:color w:val="000000"/>
                <w:sz w:val="20"/>
              </w:rPr>
              <w:t xml:space="preserve"> respectively</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0"/>
              <w:ind w:left="240" w:right="270" w:hanging="0"/>
              <w:rPr>
                <w:rFonts w:ascii="Arial" w:hAnsi="Arial"/>
                <w:color w:val="000000"/>
                <w:sz w:val="20"/>
              </w:rPr>
            </w:pPr>
            <w:r>
              <w:rPr>
                <w:rFonts w:ascii="Arial" w:hAnsi="Arial"/>
                <w:b/>
                <w:color w:val="000000"/>
                <w:sz w:val="20"/>
              </w:rPr>
              <w:t xml:space="preserve">Share Repurchase Programs: </w:t>
            </w:r>
            <w:r>
              <w:rPr>
                <w:rFonts w:ascii="Arial" w:hAnsi="Arial"/>
                <w:color w:val="000000"/>
                <w:sz w:val="20"/>
              </w:rPr>
              <w:t>Repurchased $2.1 billion of common stock</w:t>
            </w:r>
          </w:p>
          <w:p>
            <w:pPr>
              <w:pStyle w:val="TableContents"/>
              <w:ind w:left="240" w:right="240" w:hanging="0"/>
              <w:rPr>
                <w:caps w:val="false"/>
                <w:smallCaps w:val="false"/>
              </w:rPr>
            </w:pPr>
            <w:r>
              <w:rPr>
                <w:caps w:val="false"/>
                <w:smallCaps w:val="false"/>
              </w:rPr>
              <w:t> </w:t>
            </w:r>
          </w:p>
          <w:p>
            <w:pPr>
              <w:pStyle w:val="TableContents"/>
              <w:spacing w:before="0" w:after="0"/>
              <w:ind w:left="240" w:right="270" w:hanging="0"/>
              <w:rPr>
                <w:color w:val="245BA7"/>
              </w:rPr>
            </w:pPr>
            <w:r>
              <w:rPr>
                <w:color w:val="245BA7"/>
              </w:rPr>
              <w:t>•</w:t>
            </w:r>
          </w:p>
          <w:p>
            <w:pPr>
              <w:pStyle w:val="TableContents"/>
              <w:pBdr/>
              <w:spacing w:before="0" w:after="100"/>
              <w:ind w:left="240" w:right="270" w:hanging="0"/>
              <w:rPr>
                <w:rFonts w:ascii="Arial" w:hAnsi="Arial"/>
                <w:b w:val="false"/>
                <w:i w:val="false"/>
                <w:caps w:val="false"/>
                <w:smallCaps w:val="false"/>
                <w:color w:val="000000"/>
                <w:sz w:val="20"/>
              </w:rPr>
            </w:pPr>
            <w:r>
              <w:rPr>
                <w:rFonts w:ascii="Arial" w:hAnsi="Arial"/>
                <w:b/>
                <w:i w:val="false"/>
                <w:caps w:val="false"/>
                <w:smallCaps w:val="false"/>
                <w:color w:val="000000"/>
                <w:sz w:val="20"/>
              </w:rPr>
              <w:t xml:space="preserve">Global Growth and Retention: </w:t>
            </w:r>
            <w:r>
              <w:rPr>
                <w:rFonts w:ascii="Arial" w:hAnsi="Arial"/>
                <w:b w:val="false"/>
                <w:i w:val="false"/>
                <w:caps w:val="false"/>
                <w:smallCaps w:val="false"/>
                <w:color w:val="000000"/>
                <w:sz w:val="20"/>
              </w:rPr>
              <w:t>Headcount reached nearly 12,000 employees, up 14% year-over-year, while turnover rate stayed at less than half the industry average</w:t>
            </w:r>
          </w:p>
        </w:tc>
      </w:tr>
      <w:tr>
        <w:trPr/>
        <w:tc>
          <w:tcPr>
            <w:tcW w:w="5556" w:type="dxa"/>
            <w:tcBorders/>
            <w:shd w:fill="auto" w:val="clear"/>
            <w:tcMar>
              <w:top w:w="28" w:type="dxa"/>
              <w:bottom w:w="28" w:type="dxa"/>
            </w:tcMar>
            <w:vAlign w:val="center"/>
          </w:tcPr>
          <w:p>
            <w:pPr>
              <w:pStyle w:val="TableContents"/>
              <w:pBdr/>
              <w:spacing w:before="0" w:after="0"/>
              <w:ind w:left="0" w:right="0" w:hanging="0"/>
              <w:rPr>
                <w:color w:val="000000"/>
              </w:rPr>
            </w:pPr>
            <w:r>
              <w:rPr>
                <w:color w:val="000000"/>
              </w:rPr>
              <w:t> </w:t>
            </w:r>
          </w:p>
        </w:tc>
        <w:tc>
          <w:tcPr>
            <w:tcW w:w="146" w:type="dxa"/>
            <w:tcBorders/>
            <w:shd w:fill="FFFFFF" w:val="clear"/>
            <w:tcMar>
              <w:top w:w="28" w:type="dxa"/>
              <w:bottom w:w="28" w:type="dxa"/>
            </w:tcMar>
            <w:vAlign w:val="center"/>
          </w:tcPr>
          <w:p>
            <w:pPr>
              <w:pStyle w:val="TableContents"/>
              <w:spacing w:before="0" w:after="0"/>
              <w:ind w:left="0" w:right="0" w:hanging="0"/>
              <w:rPr/>
            </w:pPr>
            <w:r>
              <w:rPr/>
              <w:t> </w:t>
            </w:r>
          </w:p>
        </w:tc>
        <w:tc>
          <w:tcPr>
            <w:tcW w:w="4503" w:type="dxa"/>
            <w:tcBorders/>
            <w:shd w:fill="auto" w:val="clear"/>
            <w:tcMar>
              <w:top w:w="28" w:type="dxa"/>
              <w:bottom w:w="28" w:type="dxa"/>
            </w:tcMar>
            <w:vAlign w:val="center"/>
          </w:tcPr>
          <w:p>
            <w:pPr>
              <w:pStyle w:val="TableContents"/>
              <w:pBdr/>
              <w:spacing w:before="0" w:after="0"/>
              <w:ind w:left="0" w:right="0" w:hanging="0"/>
              <w:rPr>
                <w:color w:val="000000"/>
              </w:rPr>
            </w:pPr>
            <w:r>
              <w:rPr>
                <w:color w:val="000000"/>
              </w:rPr>
              <w:t> </w:t>
            </w:r>
          </w:p>
        </w:tc>
      </w:tr>
    </w:tbl>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w:t>
            </w:r>
          </w:p>
          <w:p>
            <w:pPr>
              <w:pStyle w:val="TableContents"/>
              <w:pBdr/>
              <w:spacing w:before="0" w:after="0"/>
              <w:ind w:left="0" w:right="30" w:hanging="0"/>
              <w:rPr>
                <w:rFonts w:ascii="Arial" w:hAnsi="Arial"/>
                <w:color w:val="000000"/>
                <w:sz w:val="20"/>
              </w:rPr>
            </w:pPr>
            <w:r>
              <w:rPr>
                <w:rFonts w:ascii="Arial" w:hAnsi="Arial"/>
                <w:color w:val="000000"/>
                <w:sz w:val="20"/>
              </w:rPr>
              <w:t>Our collaborator Sanofi records global net product sales of Dupixent and, prior to July 1, 2022, recorded net product sales of Libtayo outside the United States.</w:t>
            </w:r>
          </w:p>
        </w:tc>
      </w:tr>
    </w:tbl>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2</w:t>
            </w:r>
          </w:p>
          <w:p>
            <w:pPr>
              <w:pStyle w:val="TableContents"/>
              <w:pBdr/>
              <w:spacing w:before="0" w:after="0"/>
              <w:ind w:left="0" w:right="30" w:hanging="0"/>
              <w:rPr>
                <w:rFonts w:ascii="Arial" w:hAnsi="Arial"/>
                <w:color w:val="000000"/>
                <w:sz w:val="20"/>
              </w:rPr>
            </w:pPr>
            <w:r>
              <w:rPr>
                <w:rFonts w:ascii="Arial" w:hAnsi="Arial"/>
                <w:color w:val="000000"/>
                <w:sz w:val="20"/>
              </w:rPr>
              <w:t>The casirivimab and imdevimab antibody cocktail is known as REGEN-COV</w:t>
            </w:r>
            <w:r>
              <w:rPr>
                <w:rFonts w:ascii="Arial" w:hAnsi="Arial"/>
                <w:color w:val="000000"/>
                <w:sz w:val="12"/>
              </w:rPr>
              <w:t>®</w:t>
            </w:r>
            <w:r>
              <w:rPr>
                <w:rFonts w:ascii="Arial" w:hAnsi="Arial"/>
                <w:color w:val="000000"/>
                <w:sz w:val="20"/>
              </w:rPr>
              <w:t xml:space="preserve"> in the United States and Ronaprove</w:t>
            </w:r>
            <w:r>
              <w:rPr>
                <w:rFonts w:ascii="Arial" w:hAnsi="Arial"/>
                <w:color w:val="000000"/>
                <w:sz w:val="12"/>
              </w:rPr>
              <w:t>TM</w:t>
            </w:r>
            <w:r>
              <w:rPr>
                <w:rFonts w:ascii="Arial" w:hAnsi="Arial"/>
                <w:color w:val="000000"/>
                <w:sz w:val="20"/>
              </w:rPr>
              <w:t xml:space="preserve"> in other countries. The Company records net product sales of REGEN-COV in the United States and Roche records net product sales of Ronapreve outside the United States. REGEN-COV was authorized under an emergency use authorization from the FDA for COVID-19 from November 2020 until January 2022 when the EUA was revised to exclude its use in geographic regions where infection or exposure is likely due to a variant that is not susceptible to the treatment.</w:t>
            </w:r>
          </w:p>
        </w:tc>
      </w:tr>
    </w:tbl>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3</w:t>
            </w:r>
          </w:p>
          <w:p>
            <w:pPr>
              <w:pStyle w:val="TableContents"/>
              <w:pBdr/>
              <w:spacing w:before="0" w:after="0"/>
              <w:ind w:left="0" w:right="30" w:hanging="0"/>
              <w:rPr>
                <w:rFonts w:ascii="Arial" w:hAnsi="Arial"/>
                <w:color w:val="000000"/>
                <w:sz w:val="20"/>
              </w:rPr>
            </w:pPr>
            <w:r>
              <w:rPr>
                <w:rFonts w:ascii="Arial" w:hAnsi="Arial"/>
                <w:color w:val="000000"/>
                <w:sz w:val="20"/>
              </w:rPr>
              <w:t>Revenues excluding REGEN-COV and Ronapreve, non-GAAP net income, and non-GAAP net income per share, or EPS, are not measures calculated in accordance with GAAP. See Appendix A for a definition of these measures and a reconciliation of each of these measures to the most directly comparable GAAP financial measure.</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0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60" descr=""/>
                          <pic:cNvPicPr>
                            <a:picLocks noChangeAspect="1" noChangeArrowheads="1"/>
                          </pic:cNvPicPr>
                        </pic:nvPicPr>
                        <pic:blipFill>
                          <a:blip r:embed="rId161"/>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56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135"/>
        <w:ind w:left="0" w:right="0" w:hanging="0"/>
        <w:rPr>
          <w:rFonts w:ascii="Arial" w:hAnsi="Arial"/>
          <w:color w:val="000000"/>
          <w:sz w:val="21"/>
        </w:rPr>
      </w:pPr>
      <w:r>
        <w:rPr>
          <w:rFonts w:ascii="Arial" w:hAnsi="Arial"/>
          <w:color w:val="000000"/>
          <w:sz w:val="21"/>
        </w:rPr>
        <w:t>Our stock performed well in 2022, delivering a total shareholder return (“TSR”) of 14%. In addition, our stock outperformed the benchmarks shown below over the 3-year and 5-year periods ended December 31, 2022. While we cannot predict or control the performance of our stock price in any particular period, we believe that our Company’s performance is best assessed from a long-term perspective, consistent with the long-term nature of the drug discovery and development cycle. We also believe that if we continue to deliver pipeline, operational, and financial results, the creation of shareholder value and stock price appreciation will follow.</w:t>
      </w:r>
    </w:p>
    <w:p>
      <w:pPr>
        <w:pStyle w:val="TextBody"/>
        <w:pBdr/>
        <w:spacing w:before="0" w:after="105"/>
        <w:ind w:left="0" w:right="0" w:hanging="0"/>
        <w:rPr>
          <w:rFonts w:ascii="Arial" w:hAnsi="Arial"/>
          <w:b/>
          <w:color w:val="D31B5D"/>
          <w:sz w:val="18"/>
        </w:rPr>
      </w:pPr>
      <w:bookmarkStart w:id="108" w:name="new_id-99"/>
      <w:bookmarkEnd w:id="108"/>
      <w:r>
        <w:rPr>
          <w:rFonts w:ascii="Arial" w:hAnsi="Arial"/>
          <w:b/>
          <w:color w:val="D31B5D"/>
          <w:sz w:val="18"/>
        </w:rPr>
        <w:t xml:space="preserve">Regeneron TSR vs. Market* </w:t>
      </w:r>
    </w:p>
    <w:p>
      <w:pPr>
        <w:pStyle w:val="TextBody"/>
        <w:spacing w:before="0" w:after="0"/>
        <w:jc w:val="center"/>
        <w:rPr/>
      </w:pPr>
      <w:r>
        <w:rPr/>
        <w:drawing>
          <wp:inline distT="0" distB="0" distL="0" distR="0">
            <wp:extent cx="7620000" cy="2095500"/>
            <wp:effectExtent l="0" t="0" r="0" b="0"/>
            <wp:docPr id="20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61" descr=""/>
                    <pic:cNvPicPr>
                      <a:picLocks noChangeAspect="1" noChangeArrowheads="1"/>
                    </pic:cNvPicPr>
                  </pic:nvPicPr>
                  <pic:blipFill>
                    <a:blip r:embed="rId162"/>
                    <a:stretch>
                      <a:fillRect/>
                    </a:stretch>
                  </pic:blipFill>
                  <pic:spPr bwMode="auto">
                    <a:xfrm>
                      <a:off x="0" y="0"/>
                      <a:ext cx="7620000" cy="2095500"/>
                    </a:xfrm>
                    <a:prstGeom prst="rect">
                      <a:avLst/>
                    </a:prstGeom>
                  </pic:spPr>
                </pic:pic>
              </a:graphicData>
            </a:graphic>
          </wp:inline>
        </w:drawing>
      </w:r>
      <w:r>
        <w:rPr/>
        <w:t xml:space="preserve"> </w:t>
      </w:r>
    </w:p>
    <w:tbl>
      <w:tblPr>
        <w:tblW w:w="8345" w:type="dxa"/>
        <w:jc w:val="left"/>
        <w:tblInd w:w="0" w:type="dxa"/>
        <w:tblCellMar>
          <w:top w:w="0" w:type="dxa"/>
          <w:left w:w="0" w:type="dxa"/>
          <w:bottom w:w="0" w:type="dxa"/>
          <w:right w:w="0" w:type="dxa"/>
        </w:tblCellMar>
      </w:tblPr>
      <w:tblGrid>
        <w:gridCol w:w="8345"/>
      </w:tblGrid>
      <w:tr>
        <w:trPr/>
        <w:tc>
          <w:tcPr>
            <w:tcW w:w="834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0"/>
              <w:ind w:left="0" w:right="30" w:hanging="0"/>
              <w:rPr>
                <w:rFonts w:ascii="Arial" w:hAnsi="Arial"/>
                <w:color w:val="000000"/>
                <w:sz w:val="20"/>
              </w:rPr>
            </w:pPr>
            <w:r>
              <w:rPr>
                <w:rFonts w:ascii="Arial" w:hAnsi="Arial"/>
                <w:color w:val="000000"/>
                <w:sz w:val="20"/>
              </w:rPr>
              <w:t>TSR data reflect total returns (stock price appreciation and, if applicable, reinvested dividends).</w:t>
            </w:r>
          </w:p>
        </w:tc>
      </w:tr>
    </w:tbl>
    <w:p>
      <w:pPr>
        <w:pStyle w:val="TextBody"/>
        <w:pBdr/>
        <w:spacing w:before="0" w:after="210"/>
        <w:ind w:left="0" w:right="0" w:hanging="0"/>
        <w:rPr>
          <w:color w:val="000000"/>
        </w:rPr>
      </w:pPr>
      <w:r>
        <w:rPr>
          <w:color w:val="000000"/>
        </w:rPr>
        <w:t> </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09" w:name="new_id-100"/>
      <w:bookmarkEnd w:id="109"/>
      <w:r>
        <w:rPr>
          <w:rFonts w:ascii="Arial" w:hAnsi="Arial"/>
          <w:b/>
          <w:i w:val="false"/>
          <w:caps w:val="false"/>
          <w:smallCaps w:val="false"/>
          <w:color w:val="D31B5D"/>
          <w:sz w:val="30"/>
          <w:bdr w:val="single" w:sz="12" w:space="2" w:color="245BA7"/>
        </w:rPr>
        <w:t xml:space="preserve">2022 COMPENSATION HIGHLIGHTS </w:t>
      </w:r>
    </w:p>
    <w:p>
      <w:pPr>
        <w:pStyle w:val="TextBody"/>
        <w:pBdr/>
        <w:spacing w:before="0" w:after="210"/>
        <w:ind w:left="0" w:right="0" w:hanging="0"/>
        <w:rPr>
          <w:rFonts w:ascii="Arial" w:hAnsi="Arial"/>
          <w:color w:val="000000"/>
          <w:sz w:val="21"/>
        </w:rPr>
      </w:pPr>
      <w:r>
        <w:rPr>
          <w:rFonts w:ascii="Arial" w:hAnsi="Arial"/>
          <w:color w:val="000000"/>
          <w:sz w:val="21"/>
        </w:rPr>
        <w:t>We remain committed to our compensation philosophy and always strive to design our compensation program to support the long-term success of Regeneron. However, the specific features of our compensation program continue to evolve as the Company grows, our competition changes, and our business and operating environments transform. A decade ago, we had one-fifth of the employees we have today, a Company-wide equity compensation program comprised entirely of stock options, and equity award guidelines that sized all awards based on the number of underlying shares, resulting in an annual burn rate of almost 5% of common shares outstanding. In recognition of the impact of our growth on the use of equity and in response to shareholder feedback, commencing in 2013, we implemented eight straight years of equity award guideline reductions; and in 2019 and 2020, we introduced and then expanded the use of full-value awards as a component of our annual equity awards. Thanks in part to these changes and the continued calibration of the size and mix of annual equity awards Company-wide, we achieved a burn rate of 2.7% in 2022, the lowest level in more than a decade, despite keeping our broad-based equity program intact and growing to nearly 12,000 employees.</w:t>
      </w:r>
    </w:p>
    <w:p>
      <w:pPr>
        <w:pStyle w:val="TextBody"/>
        <w:pBdr/>
        <w:spacing w:before="0" w:after="210"/>
        <w:ind w:left="0" w:right="0" w:hanging="0"/>
        <w:rPr>
          <w:rFonts w:ascii="Arial" w:hAnsi="Arial"/>
          <w:color w:val="000000"/>
          <w:sz w:val="21"/>
        </w:rPr>
      </w:pPr>
      <w:r>
        <w:rPr>
          <w:rFonts w:ascii="Arial" w:hAnsi="Arial"/>
          <w:color w:val="000000"/>
          <w:sz w:val="21"/>
        </w:rPr>
        <w:t>Key compensation decisions and compensation-related outcomes in 2022 are highlighted below.</w:t>
      </w:r>
    </w:p>
    <w:p>
      <w:pPr>
        <w:pStyle w:val="TextBody"/>
        <w:spacing w:before="0" w:after="0"/>
        <w:ind w:left="0" w:right="30" w:hanging="0"/>
        <w:rPr>
          <w:rFonts w:ascii="Arial" w:hAnsi="Arial"/>
          <w:b/>
          <w:color w:val="245BA7"/>
          <w:sz w:val="21"/>
        </w:rPr>
      </w:pPr>
      <w:r>
        <w:rPr>
          <w:rFonts w:ascii="Arial" w:hAnsi="Arial"/>
          <w:b/>
          <w:color w:val="245BA7"/>
          <w:sz w:val="21"/>
        </w:rPr>
        <w:t>1.</w:t>
      </w:r>
    </w:p>
    <w:p>
      <w:pPr>
        <w:pStyle w:val="TextBody"/>
        <w:pBdr/>
        <w:spacing w:before="0" w:after="0"/>
        <w:ind w:left="0" w:right="30" w:hanging="0"/>
        <w:rPr>
          <w:rFonts w:ascii="Arial" w:hAnsi="Arial"/>
          <w:color w:val="000000"/>
          <w:sz w:val="21"/>
        </w:rPr>
      </w:pPr>
      <w:r>
        <w:rPr>
          <w:rFonts w:ascii="Arial" w:hAnsi="Arial"/>
          <w:b/>
          <w:color w:val="245BA7"/>
          <w:sz w:val="21"/>
        </w:rPr>
        <w:t>No Additional Equity Awards for CEO and CSO.</w:t>
      </w:r>
      <w:r>
        <w:rPr>
          <w:rFonts w:ascii="Arial" w:hAnsi="Arial"/>
          <w:color w:val="000000"/>
          <w:sz w:val="21"/>
        </w:rPr>
        <w:t xml:space="preserve"> Consistent with the commitment of the board and the Compensation Committee in December 2020 when our CEO and CSO were each granted front-loaded performance restricted stock units (“PSUs”) in lieu of five years’ worth of annual equity awards (a pledge that was reiterated during our subsequent shareholder engagement), no equity awards were granted to these executives in 2022. See “Compensation Discussion and Analysis–Components of Executive Pay: What We Pay and Why We Pay It–Annual Equity Awards” for more information on these PSU awards.</w:t>
      </w:r>
    </w:p>
    <w:p>
      <w:pPr>
        <w:pStyle w:val="TextBody"/>
        <w:spacing w:before="0" w:after="0"/>
        <w:ind w:left="0" w:right="30" w:hanging="0"/>
        <w:rPr>
          <w:rFonts w:ascii="Arial" w:hAnsi="Arial"/>
          <w:b/>
          <w:color w:val="245BA7"/>
          <w:sz w:val="21"/>
        </w:rPr>
      </w:pPr>
      <w:r>
        <w:rPr>
          <w:rFonts w:ascii="Arial" w:hAnsi="Arial"/>
          <w:b/>
          <w:color w:val="245BA7"/>
          <w:sz w:val="21"/>
        </w:rPr>
        <w:t>2.</w:t>
      </w:r>
    </w:p>
    <w:p>
      <w:pPr>
        <w:pStyle w:val="TextBody"/>
        <w:pBdr/>
        <w:spacing w:before="0" w:after="0"/>
        <w:ind w:left="0" w:right="30" w:hanging="0"/>
        <w:rPr>
          <w:rFonts w:ascii="Arial" w:hAnsi="Arial"/>
          <w:color w:val="000000"/>
          <w:sz w:val="21"/>
        </w:rPr>
      </w:pPr>
      <w:r>
        <w:rPr>
          <w:rFonts w:ascii="Arial" w:hAnsi="Arial"/>
          <w:b/>
          <w:color w:val="245BA7"/>
          <w:sz w:val="21"/>
        </w:rPr>
        <w:t>Further Reduction of Burn Rate Through Continued Calibration of Size and Mix of Equity Awards to Other NEOs and Broad-Based Employees.</w:t>
      </w:r>
      <w:r>
        <w:rPr>
          <w:rFonts w:ascii="Arial" w:hAnsi="Arial"/>
          <w:color w:val="000000"/>
          <w:sz w:val="21"/>
        </w:rPr>
        <w:t xml:space="preserve"> In 2022, our burn rate was 2.7%, the lowest level in over a decade, despite keeping our broad-based equity program intact and increasing the number of our employees by 14% year-over-year, as shown in the chart below. As had been the case since 2019, the Compensation Committee used a mix of stock options and full-value equity awards for NEOs below the CEO/CSO level and for other employees in 2022, with the full-value awards consisting of restricted stock awards (“RSAs”) and, for employees outside the United States, restricted stock units (“RSUs”).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0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62" descr=""/>
                          <pic:cNvPicPr>
                            <a:picLocks noChangeAspect="1" noChangeArrowheads="1"/>
                          </pic:cNvPicPr>
                        </pic:nvPicPr>
                        <pic:blipFill>
                          <a:blip r:embed="rId163"/>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57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105"/>
        <w:ind w:left="0" w:right="0" w:hanging="0"/>
        <w:rPr>
          <w:rFonts w:ascii="Arial" w:hAnsi="Arial"/>
          <w:b/>
          <w:color w:val="D31B5D"/>
          <w:sz w:val="18"/>
        </w:rPr>
      </w:pPr>
      <w:bookmarkStart w:id="110" w:name="new_id-101"/>
      <w:bookmarkEnd w:id="110"/>
      <w:r>
        <w:rPr>
          <w:rFonts w:ascii="Arial" w:hAnsi="Arial"/>
          <w:b/>
          <w:color w:val="D31B5D"/>
          <w:sz w:val="18"/>
        </w:rPr>
        <w:t xml:space="preserve">Regeneron Stock Utilization vs. Headcount* </w:t>
      </w:r>
    </w:p>
    <w:p>
      <w:pPr>
        <w:pStyle w:val="TextBody"/>
        <w:spacing w:before="0" w:after="0"/>
        <w:jc w:val="center"/>
        <w:rPr/>
      </w:pPr>
      <w:r>
        <w:rPr/>
        <w:drawing>
          <wp:inline distT="0" distB="0" distL="0" distR="0">
            <wp:extent cx="6162675" cy="2514600"/>
            <wp:effectExtent l="0" t="0" r="0" b="0"/>
            <wp:docPr id="20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63" descr=""/>
                    <pic:cNvPicPr>
                      <a:picLocks noChangeAspect="1" noChangeArrowheads="1"/>
                    </pic:cNvPicPr>
                  </pic:nvPicPr>
                  <pic:blipFill>
                    <a:blip r:embed="rId164"/>
                    <a:stretch>
                      <a:fillRect/>
                    </a:stretch>
                  </pic:blipFill>
                  <pic:spPr bwMode="auto">
                    <a:xfrm>
                      <a:off x="0" y="0"/>
                      <a:ext cx="6162675" cy="2514600"/>
                    </a:xfrm>
                    <a:prstGeom prst="rect">
                      <a:avLst/>
                    </a:prstGeom>
                  </pic:spPr>
                </pic:pic>
              </a:graphicData>
            </a:graphic>
          </wp:inline>
        </w:drawing>
      </w:r>
      <w:r>
        <w:rPr/>
        <w:t xml:space="preserve"> </w:t>
      </w:r>
    </w:p>
    <w:tbl>
      <w:tblPr>
        <w:tblW w:w="10205" w:type="dxa"/>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0"/>
              <w:ind w:left="0" w:right="30" w:hanging="0"/>
              <w:rPr>
                <w:rFonts w:ascii="Arial" w:hAnsi="Arial"/>
                <w:color w:val="000000"/>
                <w:sz w:val="20"/>
              </w:rPr>
            </w:pPr>
            <w:r>
              <w:rPr>
                <w:rFonts w:ascii="Arial" w:hAnsi="Arial"/>
                <w:color w:val="000000"/>
                <w:sz w:val="20"/>
              </w:rPr>
              <w:t>Burn rate calculated by dividing (a) the sum of (i) the number of shares subject to equity awards (stock options, RSAs, and RSUs) granted during the year and (ii) PSUs earned during the year (if any), by (b) the basic weighted-average number of shares of common stock and Class A stock outstanding during the year. Headcount numbers based on the number of employees as of December 31 of the applicable year.</w:t>
            </w:r>
          </w:p>
        </w:tc>
      </w:tr>
    </w:tbl>
    <w:p>
      <w:pPr>
        <w:pStyle w:val="TextBody"/>
        <w:pBdr/>
        <w:spacing w:before="0" w:after="210"/>
        <w:ind w:left="0" w:right="0" w:hanging="0"/>
        <w:rPr>
          <w:color w:val="000000"/>
        </w:rPr>
      </w:pPr>
      <w:r>
        <w:rPr>
          <w:color w:val="000000"/>
        </w:rPr>
        <w:t> </w:t>
      </w:r>
    </w:p>
    <w:p>
      <w:pPr>
        <w:pStyle w:val="TextBody"/>
        <w:spacing w:before="0" w:after="0"/>
        <w:ind w:left="0" w:right="30" w:hanging="0"/>
        <w:rPr>
          <w:rFonts w:ascii="Arial" w:hAnsi="Arial"/>
          <w:b/>
          <w:color w:val="245BA7"/>
          <w:sz w:val="21"/>
        </w:rPr>
      </w:pPr>
      <w:r>
        <w:rPr>
          <w:rFonts w:ascii="Arial" w:hAnsi="Arial"/>
          <w:b/>
          <w:color w:val="245BA7"/>
          <w:sz w:val="21"/>
        </w:rPr>
        <w:t>3.</w:t>
      </w:r>
    </w:p>
    <w:p>
      <w:pPr>
        <w:pStyle w:val="TextBody"/>
        <w:pBdr/>
        <w:spacing w:before="0" w:after="0"/>
        <w:ind w:left="0" w:right="30" w:hanging="0"/>
        <w:rPr>
          <w:rFonts w:ascii="Arial" w:hAnsi="Arial"/>
          <w:color w:val="000000"/>
          <w:sz w:val="21"/>
        </w:rPr>
      </w:pPr>
      <w:r>
        <w:rPr>
          <w:rFonts w:ascii="Arial" w:hAnsi="Arial"/>
          <w:b/>
          <w:color w:val="245BA7"/>
          <w:sz w:val="21"/>
        </w:rPr>
        <w:t>Company Performance Multiplier for Annual Cash Incentive Awards Approved at 1.9 (same as in 2021).</w:t>
      </w:r>
      <w:r>
        <w:rPr>
          <w:rFonts w:ascii="Arial" w:hAnsi="Arial"/>
          <w:color w:val="000000"/>
          <w:sz w:val="21"/>
        </w:rPr>
        <w:t xml:space="preserve"> For 2022, the Compensation Committee determined and approved the Company performance multiplier for annual cash incentive awards to all eligible employees at 1.9 (out of a possible range of 0 to 2.0). In so doing, the Compensation Committee, following a thorough assessment within a pre-established framework that included consideration of the Company’s progress toward a targeted selection of potential milestones identified at the beginning of the year, recognized another year of outstanding Company performance. See the subsection “Components of Executive Pay: What We Pay and Why We Pay It—Annual Cash Incentives” for more information on the Committee’s process in setting the Company performance multiplier for 2022.</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11" w:name="new_id-102"/>
      <w:bookmarkEnd w:id="111"/>
      <w:r>
        <w:rPr>
          <w:rFonts w:ascii="Arial" w:hAnsi="Arial"/>
          <w:b/>
          <w:i w:val="false"/>
          <w:caps w:val="false"/>
          <w:smallCaps w:val="false"/>
          <w:color w:val="D31B5D"/>
          <w:sz w:val="30"/>
          <w:bdr w:val="single" w:sz="12" w:space="2" w:color="245BA7"/>
        </w:rPr>
        <w:t xml:space="preserve">SHAREHOLDER ENGAGEMENT AND FEEDBACK </w:t>
      </w:r>
    </w:p>
    <w:p>
      <w:pPr>
        <w:pStyle w:val="TextBody"/>
        <w:pBdr/>
        <w:spacing w:before="0" w:after="210"/>
        <w:ind w:left="0" w:right="0" w:hanging="0"/>
        <w:rPr>
          <w:rFonts w:ascii="Arial" w:hAnsi="Arial"/>
          <w:color w:val="000000"/>
          <w:sz w:val="21"/>
        </w:rPr>
      </w:pPr>
      <w:r>
        <w:rPr>
          <w:rFonts w:ascii="Arial" w:hAnsi="Arial"/>
          <w:color w:val="000000"/>
          <w:sz w:val="21"/>
        </w:rPr>
        <w:t>In addition to establishing an executive compensation program that aligns with our corporate culture and pay philosophy, we seek the views of our shareholders and annually engage with our investors to solicit ideas, input, and direct feedback. We do this not only formally through our say-on-pay vote (which we now hold annually in recognition of shareholder feedback and preference) but also through direct discussions with shareholders and informal exchanges in other settings. In the last decade, we have actively and regularly engaged with shareholders to receive feedback on many important areas including governance, compensation, and corporate responsibility matters. Feedback from these outreach efforts informs the Compensation Committee’s decision-making when evaluating our current compensation program and considering any potential modifications.</w:t>
      </w:r>
    </w:p>
    <w:p>
      <w:pPr>
        <w:pStyle w:val="TextBody"/>
        <w:pBdr/>
        <w:spacing w:before="0" w:after="210"/>
        <w:ind w:left="0" w:right="0" w:hanging="0"/>
        <w:rPr>
          <w:rFonts w:ascii="Arial" w:hAnsi="Arial"/>
          <w:color w:val="000000"/>
          <w:sz w:val="21"/>
        </w:rPr>
      </w:pPr>
      <w:r>
        <w:rPr>
          <w:rFonts w:ascii="Arial" w:hAnsi="Arial"/>
          <w:color w:val="000000"/>
          <w:sz w:val="21"/>
        </w:rPr>
        <w:t>At our 2022 annual shareholder meeting, our say-on-pay proposal received the support of 87.8% of votes cast, the highest level of support in the last decade. The Compensation Committee believes that our compensation program has been appropriately structured to attract, retain, and motivate our executive team, aligning executive interests with those of shareholders. Nevertheless, we continued to engage with investors in 2022 to make sure we understand their perspectives and views of our compensation program and philosophy. Since the 2022 annual shareholder meeting, we reached out to shareholders collectively representing over 60% of the public shares (i.e., shares of common stock outstanding as of December 31, 2022, excluding shares held by our directors and executive officers). This outreach resulted in one-on-one discussions with shareholders representing nearly 50% of our public shares.</w:t>
      </w:r>
    </w:p>
    <w:p>
      <w:pPr>
        <w:pStyle w:val="TextBody"/>
        <w:pBdr/>
        <w:spacing w:before="0" w:after="210"/>
        <w:ind w:left="0" w:right="0" w:hanging="0"/>
        <w:rPr>
          <w:rFonts w:ascii="Arial" w:hAnsi="Arial"/>
          <w:color w:val="000000"/>
          <w:sz w:val="21"/>
        </w:rPr>
      </w:pPr>
      <w:r>
        <w:rPr>
          <w:rFonts w:ascii="Arial" w:hAnsi="Arial"/>
          <w:color w:val="000000"/>
          <w:sz w:val="21"/>
        </w:rPr>
        <w:t>The feedback we received in 2022 was generally in support of our executive pay program and continued to be an important factor in board and committee discussions. See the subsection “Compensation Discussion and Analysis–Compensation Processes–Shareholder Input and Outreach and the 2022 Say-on-Pay Vote Result” for a more detailed discussion of our shareholder engagement program as well as a summary of recent actions taken in response to shareholder feedback.</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0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64" descr=""/>
                          <pic:cNvPicPr>
                            <a:picLocks noChangeAspect="1" noChangeArrowheads="1"/>
                          </pic:cNvPicPr>
                        </pic:nvPicPr>
                        <pic:blipFill>
                          <a:blip r:embed="rId165"/>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58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12" w:name="new_id-103"/>
      <w:bookmarkEnd w:id="112"/>
      <w:r>
        <w:rPr>
          <w:rFonts w:ascii="Arial" w:hAnsi="Arial"/>
          <w:b/>
          <w:i w:val="false"/>
          <w:caps w:val="false"/>
          <w:smallCaps w:val="false"/>
          <w:color w:val="D31B5D"/>
          <w:sz w:val="30"/>
          <w:bdr w:val="single" w:sz="12" w:space="2" w:color="245BA7"/>
        </w:rPr>
        <w:t xml:space="preserve">HOW OUR PAY PROGRAM WORKS </w:t>
      </w:r>
    </w:p>
    <w:p>
      <w:pPr>
        <w:pStyle w:val="TextBody"/>
        <w:pBdr/>
        <w:spacing w:before="0" w:after="210"/>
        <w:ind w:left="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Our compensation program’s structure and design are shaped by our corporate culture, defined by employees dedicated to our mission; our business strategy and ongoing, company-wide pay philosophy; and our process for seeking and carefully considering valuable shareholder feedback each year. The compensation program for our NEOs follows the same principles we apply throughout the organization, with an even greater emphasis on equity compensation to ensure our leadership’s interests are aligned with our long-term shareholders.</w:t>
      </w:r>
    </w:p>
    <w:p>
      <w:pPr>
        <w:pStyle w:val="TextBody"/>
        <w:pBdr/>
        <w:spacing w:before="0" w:after="0"/>
        <w:jc w:val="center"/>
        <w:rPr>
          <w:caps w:val="false"/>
          <w:smallCaps w:val="false"/>
          <w:color w:val="000000"/>
        </w:rPr>
      </w:pPr>
      <w:r>
        <w:rPr>
          <w:caps w:val="false"/>
          <w:smallCaps w:val="false"/>
          <w:color w:val="000000"/>
        </w:rPr>
        <w:drawing>
          <wp:inline distT="0" distB="0" distL="0" distR="0">
            <wp:extent cx="7620000" cy="2447925"/>
            <wp:effectExtent l="0" t="0" r="0" b="0"/>
            <wp:docPr id="20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65" descr=""/>
                    <pic:cNvPicPr>
                      <a:picLocks noChangeAspect="1" noChangeArrowheads="1"/>
                    </pic:cNvPicPr>
                  </pic:nvPicPr>
                  <pic:blipFill>
                    <a:blip r:embed="rId166"/>
                    <a:stretch>
                      <a:fillRect/>
                    </a:stretch>
                  </pic:blipFill>
                  <pic:spPr bwMode="auto">
                    <a:xfrm>
                      <a:off x="0" y="0"/>
                      <a:ext cx="7620000" cy="2447925"/>
                    </a:xfrm>
                    <a:prstGeom prst="rect">
                      <a:avLst/>
                    </a:prstGeom>
                  </pic:spPr>
                </pic:pic>
              </a:graphicData>
            </a:graphic>
          </wp:inline>
        </w:drawing>
      </w:r>
    </w:p>
    <w:p>
      <w:pPr>
        <w:pStyle w:val="TextBody"/>
        <w:pBdr/>
        <w:spacing w:before="0" w:after="0"/>
        <w:ind w:left="0" w:right="0" w:hanging="0"/>
        <w:rPr>
          <w:color w:val="000000"/>
        </w:rPr>
      </w:pPr>
      <w:r>
        <w:rPr>
          <w:color w:val="000000"/>
        </w:rPr>
        <w:t> </w:t>
      </w:r>
    </w:p>
    <w:p>
      <w:pPr>
        <w:pStyle w:val="TextBody"/>
        <w:pBdr/>
        <w:spacing w:before="0" w:after="210"/>
        <w:ind w:left="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To create an effective executive compensation structure, our Compensation Committee relied on the following compensation elements for our NEOs in 2022. These compensation elements are generally consistent with the compensation framework utilized in recent years (except that our CEO and CSO did not receive any PSUs or other equity awards in 2022).</w:t>
      </w:r>
    </w:p>
    <w:tbl>
      <w:tblPr>
        <w:tblW w:w="10205" w:type="dxa"/>
        <w:jc w:val="left"/>
        <w:tblInd w:w="0" w:type="dxa"/>
        <w:tblCellMar>
          <w:top w:w="0" w:type="dxa"/>
          <w:left w:w="0" w:type="dxa"/>
          <w:bottom w:w="75" w:type="dxa"/>
          <w:right w:w="0" w:type="dxa"/>
        </w:tblCellMar>
      </w:tblPr>
      <w:tblGrid>
        <w:gridCol w:w="279"/>
        <w:gridCol w:w="1111"/>
        <w:gridCol w:w="1770"/>
        <w:gridCol w:w="3286"/>
        <w:gridCol w:w="3759"/>
      </w:tblGrid>
      <w:tr>
        <w:trPr/>
        <w:tc>
          <w:tcPr>
            <w:tcW w:w="279" w:type="dxa"/>
            <w:tcBorders>
              <w:bottom w:val="single" w:sz="12" w:space="0" w:color="245BA7"/>
            </w:tcBorders>
            <w:shd w:fill="auto" w:val="clear"/>
            <w:vAlign w:val="center"/>
          </w:tcPr>
          <w:p>
            <w:pPr>
              <w:pStyle w:val="TableContents"/>
              <w:pBdr/>
              <w:spacing w:before="15" w:after="0"/>
              <w:ind w:left="0" w:right="0" w:hanging="0"/>
              <w:jc w:val="center"/>
              <w:rPr>
                <w:color w:val="245BA7"/>
              </w:rPr>
            </w:pPr>
            <w:r>
              <w:rPr>
                <w:color w:val="245BA7"/>
              </w:rPr>
              <w:t> </w:t>
            </w:r>
          </w:p>
        </w:tc>
        <w:tc>
          <w:tcPr>
            <w:tcW w:w="1111" w:type="dxa"/>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Period</w:t>
            </w:r>
          </w:p>
        </w:tc>
        <w:tc>
          <w:tcPr>
            <w:tcW w:w="1770" w:type="dxa"/>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Element</w:t>
            </w:r>
          </w:p>
        </w:tc>
        <w:tc>
          <w:tcPr>
            <w:tcW w:w="3286" w:type="dxa"/>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Objective</w:t>
            </w:r>
          </w:p>
        </w:tc>
        <w:tc>
          <w:tcPr>
            <w:tcW w:w="3759" w:type="dxa"/>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Performance Measured/Rewarded</w:t>
            </w:r>
          </w:p>
        </w:tc>
      </w:tr>
      <w:tr>
        <w:trPr/>
        <w:tc>
          <w:tcPr>
            <w:tcW w:w="279" w:type="dxa"/>
            <w:tcBorders>
              <w:top w:val="single" w:sz="2" w:space="0" w:color="DADADA"/>
              <w:bottom w:val="single" w:sz="12" w:space="0" w:color="575756"/>
            </w:tcBorders>
            <w:shd w:fill="DADADA" w:val="clear"/>
            <w:tcMar>
              <w:top w:w="28" w:type="dxa"/>
              <w:bottom w:w="28" w:type="dxa"/>
            </w:tcMar>
            <w:vAlign w:val="center"/>
          </w:tcPr>
          <w:p>
            <w:pPr>
              <w:pStyle w:val="TableContents"/>
              <w:spacing w:before="0" w:after="283"/>
              <w:jc w:val="center"/>
              <w:rPr/>
            </w:pPr>
            <w:r>
              <w:rPr/>
              <w:drawing>
                <wp:inline distT="0" distB="0" distL="0" distR="0">
                  <wp:extent cx="104775" cy="295275"/>
                  <wp:effectExtent l="0" t="0" r="0" b="0"/>
                  <wp:docPr id="21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66" descr=""/>
                          <pic:cNvPicPr>
                            <a:picLocks noChangeAspect="1" noChangeArrowheads="1"/>
                          </pic:cNvPicPr>
                        </pic:nvPicPr>
                        <pic:blipFill>
                          <a:blip r:embed="rId167"/>
                          <a:stretch>
                            <a:fillRect/>
                          </a:stretch>
                        </pic:blipFill>
                        <pic:spPr bwMode="auto">
                          <a:xfrm>
                            <a:off x="0" y="0"/>
                            <a:ext cx="104775" cy="295275"/>
                          </a:xfrm>
                          <a:prstGeom prst="rect">
                            <a:avLst/>
                          </a:prstGeom>
                        </pic:spPr>
                      </pic:pic>
                    </a:graphicData>
                  </a:graphic>
                </wp:inline>
              </w:drawing>
            </w:r>
            <w:r>
              <w:rPr/>
              <w:t xml:space="preserve"> </w:t>
            </w:r>
          </w:p>
        </w:tc>
        <w:tc>
          <w:tcPr>
            <w:tcW w:w="1111" w:type="dxa"/>
            <w:tcBorders>
              <w:top w:val="single" w:sz="2" w:space="0" w:color="F2F2F2"/>
              <w:bottom w:val="single" w:sz="12" w:space="0" w:color="575756"/>
            </w:tcBorders>
            <w:shd w:fill="F2F2F2" w:val="clear"/>
            <w:tcMar>
              <w:top w:w="30" w:type="dxa"/>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Annual</w:t>
            </w:r>
          </w:p>
        </w:tc>
        <w:tc>
          <w:tcPr>
            <w:tcW w:w="1770" w:type="dxa"/>
            <w:tcBorders>
              <w:top w:val="single" w:sz="2" w:space="0" w:color="F2F2F2"/>
              <w:bottom w:val="single" w:sz="12" w:space="0" w:color="575756"/>
            </w:tcBorders>
            <w:shd w:fill="F2F2F2" w:val="clear"/>
            <w:tcMar>
              <w:top w:w="30" w:type="dxa"/>
              <w:bottom w:w="30" w:type="dxa"/>
            </w:tcMar>
            <w:vAlign w:val="center"/>
          </w:tcPr>
          <w:p>
            <w:pPr>
              <w:pStyle w:val="TableContents"/>
              <w:pBdr/>
              <w:spacing w:before="60" w:after="60"/>
              <w:ind w:left="75" w:right="75" w:hanging="0"/>
              <w:rPr>
                <w:rFonts w:ascii="Arial" w:hAnsi="Arial"/>
                <w:b/>
                <w:color w:val="000000"/>
                <w:sz w:val="20"/>
              </w:rPr>
            </w:pPr>
            <w:r>
              <w:rPr>
                <w:rFonts w:ascii="Arial" w:hAnsi="Arial"/>
                <w:b/>
                <w:color w:val="000000"/>
                <w:sz w:val="20"/>
              </w:rPr>
              <w:t>Base Salary</w:t>
            </w:r>
          </w:p>
        </w:tc>
        <w:tc>
          <w:tcPr>
            <w:tcW w:w="3286" w:type="dxa"/>
            <w:tcBorders>
              <w:top w:val="single" w:sz="2" w:space="0" w:color="F2F2F2"/>
              <w:bottom w:val="single" w:sz="12" w:space="0" w:color="575756"/>
            </w:tcBorders>
            <w:shd w:fill="F2F2F2" w:val="clear"/>
            <w:tcMar>
              <w:top w:w="30" w:type="dxa"/>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Recognizes an individual’s role and responsibilities and serves as an important retention vehicle</w:t>
            </w:r>
          </w:p>
        </w:tc>
        <w:tc>
          <w:tcPr>
            <w:tcW w:w="3759" w:type="dxa"/>
            <w:tcBorders>
              <w:top w:val="single" w:sz="2" w:space="0" w:color="F2F2F2"/>
              <w:bottom w:val="single" w:sz="12" w:space="0" w:color="575756"/>
            </w:tcBorders>
            <w:shd w:fill="F2F2F2" w:val="clear"/>
            <w:tcMar>
              <w:top w:w="30" w:type="dxa"/>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Reviewed annually and set based on market competitiveness, individual performance, and other internal considerations</w:t>
            </w:r>
          </w:p>
        </w:tc>
      </w:tr>
      <w:tr>
        <w:trPr/>
        <w:tc>
          <w:tcPr>
            <w:tcW w:w="279" w:type="dxa"/>
            <w:vMerge w:val="restart"/>
            <w:tcBorders>
              <w:top w:val="single" w:sz="2" w:space="0" w:color="D3DEED"/>
              <w:bottom w:val="single" w:sz="12" w:space="0" w:color="245BA7"/>
            </w:tcBorders>
            <w:shd w:fill="D3DEED" w:val="clear"/>
            <w:tcMar>
              <w:top w:w="28" w:type="dxa"/>
              <w:bottom w:w="28" w:type="dxa"/>
            </w:tcMar>
            <w:vAlign w:val="center"/>
          </w:tcPr>
          <w:p>
            <w:pPr>
              <w:pStyle w:val="TableContents"/>
              <w:spacing w:before="0" w:after="283"/>
              <w:jc w:val="center"/>
              <w:rPr/>
            </w:pPr>
            <w:r>
              <w:rPr/>
              <w:drawing>
                <wp:inline distT="0" distB="0" distL="0" distR="0">
                  <wp:extent cx="104775" cy="1123950"/>
                  <wp:effectExtent l="0" t="0" r="0" b="0"/>
                  <wp:docPr id="21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67" descr=""/>
                          <pic:cNvPicPr>
                            <a:picLocks noChangeAspect="1" noChangeArrowheads="1"/>
                          </pic:cNvPicPr>
                        </pic:nvPicPr>
                        <pic:blipFill>
                          <a:blip r:embed="rId168"/>
                          <a:stretch>
                            <a:fillRect/>
                          </a:stretch>
                        </pic:blipFill>
                        <pic:spPr bwMode="auto">
                          <a:xfrm>
                            <a:off x="0" y="0"/>
                            <a:ext cx="104775" cy="1123950"/>
                          </a:xfrm>
                          <a:prstGeom prst="rect">
                            <a:avLst/>
                          </a:prstGeom>
                        </pic:spPr>
                      </pic:pic>
                    </a:graphicData>
                  </a:graphic>
                </wp:inline>
              </w:drawing>
            </w:r>
            <w:r>
              <w:rPr/>
              <w:t xml:space="preserve"> </w:t>
            </w:r>
          </w:p>
        </w:tc>
        <w:tc>
          <w:tcPr>
            <w:tcW w:w="1111" w:type="dxa"/>
            <w:tcBorders>
              <w:top w:val="single" w:sz="2" w:space="0" w:color="E9EFF6"/>
              <w:bottom w:val="single" w:sz="12" w:space="0" w:color="575756"/>
            </w:tcBorders>
            <w:shd w:fill="E9EFF6" w:val="clear"/>
            <w:tcMar>
              <w:top w:w="30" w:type="dxa"/>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Annual</w:t>
            </w:r>
          </w:p>
        </w:tc>
        <w:tc>
          <w:tcPr>
            <w:tcW w:w="1770" w:type="dxa"/>
            <w:tcBorders>
              <w:top w:val="single" w:sz="2" w:space="0" w:color="E9EFF6"/>
              <w:bottom w:val="single" w:sz="12" w:space="0" w:color="575756"/>
            </w:tcBorders>
            <w:shd w:fill="E9EFF6" w:val="clear"/>
            <w:tcMar>
              <w:top w:w="30" w:type="dxa"/>
              <w:bottom w:w="30" w:type="dxa"/>
            </w:tcMar>
            <w:vAlign w:val="center"/>
          </w:tcPr>
          <w:p>
            <w:pPr>
              <w:pStyle w:val="TableContents"/>
              <w:pBdr/>
              <w:spacing w:before="60" w:after="60"/>
              <w:ind w:left="75" w:right="75" w:hanging="0"/>
              <w:rPr>
                <w:rFonts w:ascii="Arial" w:hAnsi="Arial"/>
                <w:b/>
                <w:color w:val="000000"/>
                <w:sz w:val="20"/>
              </w:rPr>
            </w:pPr>
            <w:r>
              <w:rPr>
                <w:rFonts w:ascii="Arial" w:hAnsi="Arial"/>
                <w:b/>
                <w:color w:val="000000"/>
                <w:sz w:val="20"/>
              </w:rPr>
              <w:t>Annual Cash Incentive</w:t>
            </w:r>
          </w:p>
        </w:tc>
        <w:tc>
          <w:tcPr>
            <w:tcW w:w="3286" w:type="dxa"/>
            <w:tcBorders>
              <w:top w:val="single" w:sz="2" w:space="0" w:color="E9EFF6"/>
              <w:bottom w:val="single" w:sz="12" w:space="0" w:color="575756"/>
            </w:tcBorders>
            <w:shd w:fill="E9EFF6" w:val="clear"/>
            <w:tcMar>
              <w:top w:w="30" w:type="dxa"/>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Motivates and rewards our executives for short-term achievements and milestones towards our long-term goals</w:t>
            </w:r>
          </w:p>
        </w:tc>
        <w:tc>
          <w:tcPr>
            <w:tcW w:w="3759" w:type="dxa"/>
            <w:tcBorders>
              <w:top w:val="single" w:sz="2" w:space="0" w:color="E9EFF6"/>
              <w:bottom w:val="single" w:sz="12" w:space="0" w:color="575756"/>
            </w:tcBorders>
            <w:shd w:fill="E9EFF6" w:val="clear"/>
            <w:tcMar>
              <w:top w:w="30" w:type="dxa"/>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Corporate performance (CEO and CSO); corporate performance and individual contributions to that achievement (other NEOs)</w:t>
            </w:r>
          </w:p>
        </w:tc>
      </w:tr>
      <w:tr>
        <w:trPr/>
        <w:tc>
          <w:tcPr>
            <w:tcW w:w="279" w:type="dxa"/>
            <w:vMerge w:val="continue"/>
            <w:tcBorders>
              <w:top w:val="single" w:sz="2" w:space="0" w:color="D3DEED"/>
              <w:bottom w:val="single" w:sz="12" w:space="0" w:color="245BA7"/>
            </w:tcBorders>
            <w:shd w:fill="D3DEED" w:val="clear"/>
            <w:tcMar>
              <w:top w:w="28" w:type="dxa"/>
              <w:bottom w:w="28" w:type="dxa"/>
            </w:tcMar>
            <w:vAlign w:val="center"/>
          </w:tcPr>
          <w:p>
            <w:pPr>
              <w:pStyle w:val="Normal"/>
              <w:rPr/>
            </w:pPr>
            <w:r>
              <w:rPr/>
            </w:r>
          </w:p>
        </w:tc>
        <w:tc>
          <w:tcPr>
            <w:tcW w:w="1111" w:type="dxa"/>
            <w:tcBorders>
              <w:top w:val="single" w:sz="2" w:space="0" w:color="E9EFF6"/>
              <w:bottom w:val="single" w:sz="12" w:space="0" w:color="575756"/>
            </w:tcBorders>
            <w:shd w:fill="E9EFF6" w:val="clear"/>
            <w:tcMar>
              <w:top w:w="30" w:type="dxa"/>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Long-Term</w:t>
            </w:r>
          </w:p>
        </w:tc>
        <w:tc>
          <w:tcPr>
            <w:tcW w:w="1770" w:type="dxa"/>
            <w:tcBorders>
              <w:top w:val="single" w:sz="2" w:space="0" w:color="E9EFF6"/>
              <w:bottom w:val="single" w:sz="12" w:space="0" w:color="575756"/>
            </w:tcBorders>
            <w:shd w:fill="E9EFF6" w:val="clear"/>
            <w:tcMar>
              <w:top w:w="30" w:type="dxa"/>
              <w:bottom w:w="30" w:type="dxa"/>
            </w:tcMar>
            <w:vAlign w:val="center"/>
          </w:tcPr>
          <w:p>
            <w:pPr>
              <w:pStyle w:val="TableContents"/>
              <w:pBdr/>
              <w:spacing w:before="60" w:after="60"/>
              <w:ind w:left="75" w:right="75" w:hanging="0"/>
              <w:rPr>
                <w:rFonts w:ascii="Arial" w:hAnsi="Arial"/>
                <w:color w:val="000000"/>
                <w:sz w:val="20"/>
              </w:rPr>
            </w:pPr>
            <w:r>
              <w:rPr>
                <w:rFonts w:ascii="Arial" w:hAnsi="Arial"/>
                <w:b/>
                <w:color w:val="000000"/>
                <w:sz w:val="20"/>
              </w:rPr>
              <w:t>Stock Options</w:t>
            </w:r>
            <w:r>
              <w:rPr>
                <w:rFonts w:ascii="Arial" w:hAnsi="Arial"/>
                <w:color w:val="000000"/>
                <w:sz w:val="20"/>
              </w:rPr>
              <w:t xml:space="preserve"> (NEOs other than CEO and CSO)</w:t>
            </w:r>
          </w:p>
        </w:tc>
        <w:tc>
          <w:tcPr>
            <w:tcW w:w="3286" w:type="dxa"/>
            <w:tcBorders>
              <w:top w:val="single" w:sz="2" w:space="0" w:color="E9EFF6"/>
              <w:bottom w:val="single" w:sz="12" w:space="0" w:color="575756"/>
            </w:tcBorders>
            <w:shd w:fill="E9EFF6" w:val="clear"/>
            <w:tcMar>
              <w:top w:w="30" w:type="dxa"/>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Aligns the interests of other NEOs with shareholders; rewards shareholder value creation after the date of grant</w:t>
            </w:r>
          </w:p>
        </w:tc>
        <w:tc>
          <w:tcPr>
            <w:tcW w:w="3759" w:type="dxa"/>
            <w:tcBorders>
              <w:top w:val="single" w:sz="2" w:space="0" w:color="E9EFF6"/>
              <w:bottom w:val="single" w:sz="12" w:space="0" w:color="575756"/>
            </w:tcBorders>
            <w:shd w:fill="E9EFF6" w:val="clear"/>
            <w:tcMar>
              <w:top w:w="30" w:type="dxa"/>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Vest in equal annual increments over four years; 10-year term</w:t>
            </w:r>
          </w:p>
        </w:tc>
      </w:tr>
      <w:tr>
        <w:trPr/>
        <w:tc>
          <w:tcPr>
            <w:tcW w:w="279" w:type="dxa"/>
            <w:vMerge w:val="continue"/>
            <w:tcBorders>
              <w:top w:val="single" w:sz="2" w:space="0" w:color="D3DEED"/>
              <w:bottom w:val="single" w:sz="12" w:space="0" w:color="245BA7"/>
            </w:tcBorders>
            <w:shd w:fill="D3DEED" w:val="clear"/>
            <w:tcMar>
              <w:top w:w="28" w:type="dxa"/>
              <w:bottom w:w="28" w:type="dxa"/>
            </w:tcMar>
            <w:vAlign w:val="center"/>
          </w:tcPr>
          <w:p>
            <w:pPr>
              <w:pStyle w:val="Normal"/>
              <w:rPr/>
            </w:pPr>
            <w:r>
              <w:rPr/>
            </w:r>
          </w:p>
        </w:tc>
        <w:tc>
          <w:tcPr>
            <w:tcW w:w="1111" w:type="dxa"/>
            <w:tcBorders>
              <w:top w:val="single" w:sz="2" w:space="0" w:color="E9EFF6"/>
              <w:bottom w:val="single" w:sz="12" w:space="0" w:color="245BA7"/>
            </w:tcBorders>
            <w:shd w:fill="E9EFF6" w:val="clear"/>
            <w:tcMar>
              <w:top w:w="30" w:type="dxa"/>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Long-Term</w:t>
            </w:r>
          </w:p>
        </w:tc>
        <w:tc>
          <w:tcPr>
            <w:tcW w:w="1770" w:type="dxa"/>
            <w:tcBorders>
              <w:top w:val="single" w:sz="2" w:space="0" w:color="E9EFF6"/>
              <w:bottom w:val="single" w:sz="12" w:space="0" w:color="245BA7"/>
            </w:tcBorders>
            <w:shd w:fill="E9EFF6" w:val="clear"/>
            <w:tcMar>
              <w:top w:w="30" w:type="dxa"/>
              <w:bottom w:w="30" w:type="dxa"/>
            </w:tcMar>
            <w:vAlign w:val="center"/>
          </w:tcPr>
          <w:p>
            <w:pPr>
              <w:pStyle w:val="TableContents"/>
              <w:pBdr/>
              <w:spacing w:before="60" w:after="60"/>
              <w:ind w:left="75" w:right="75" w:hanging="0"/>
              <w:rPr>
                <w:rFonts w:ascii="Arial" w:hAnsi="Arial"/>
                <w:color w:val="000000"/>
                <w:sz w:val="20"/>
              </w:rPr>
            </w:pPr>
            <w:r>
              <w:rPr>
                <w:rFonts w:ascii="Arial" w:hAnsi="Arial"/>
                <w:b/>
                <w:color w:val="000000"/>
                <w:sz w:val="20"/>
              </w:rPr>
              <w:t xml:space="preserve">RSAs </w:t>
            </w:r>
            <w:r>
              <w:rPr>
                <w:rFonts w:ascii="Arial" w:hAnsi="Arial"/>
                <w:color w:val="000000"/>
                <w:sz w:val="20"/>
              </w:rPr>
              <w:t>(NEOs other than CEO and CSO)</w:t>
            </w:r>
          </w:p>
        </w:tc>
        <w:tc>
          <w:tcPr>
            <w:tcW w:w="3286" w:type="dxa"/>
            <w:tcBorders>
              <w:top w:val="single" w:sz="2" w:space="0" w:color="E9EFF6"/>
              <w:bottom w:val="single" w:sz="12" w:space="0" w:color="245BA7"/>
            </w:tcBorders>
            <w:shd w:fill="E9EFF6" w:val="clear"/>
            <w:tcMar>
              <w:top w:w="30" w:type="dxa"/>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Reinforces long-term focus and rewards high performance</w:t>
            </w:r>
          </w:p>
        </w:tc>
        <w:tc>
          <w:tcPr>
            <w:tcW w:w="3759" w:type="dxa"/>
            <w:tcBorders>
              <w:top w:val="single" w:sz="2" w:space="0" w:color="E9EFF6"/>
              <w:bottom w:val="single" w:sz="12" w:space="0" w:color="245BA7"/>
            </w:tcBorders>
            <w:shd w:fill="E9EFF6" w:val="clear"/>
            <w:tcMar>
              <w:top w:w="30" w:type="dxa"/>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Vest 50% on the second anniversary of the date of grant and 50% on fourth anniversary of the date of grant</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1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68" descr=""/>
                          <pic:cNvPicPr>
                            <a:picLocks noChangeAspect="1" noChangeArrowheads="1"/>
                          </pic:cNvPicPr>
                        </pic:nvPicPr>
                        <pic:blipFill>
                          <a:blip r:embed="rId169"/>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59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13" w:name="new_id-104"/>
      <w:bookmarkEnd w:id="113"/>
      <w:r>
        <w:rPr>
          <w:rFonts w:ascii="Arial" w:hAnsi="Arial"/>
          <w:b/>
          <w:i w:val="false"/>
          <w:caps w:val="false"/>
          <w:smallCaps w:val="false"/>
          <w:color w:val="D31B5D"/>
          <w:sz w:val="30"/>
          <w:bdr w:val="single" w:sz="12" w:space="2" w:color="245BA7"/>
        </w:rPr>
        <w:t xml:space="preserve">KEY GOVERNANCE FEATURES </w:t>
      </w:r>
    </w:p>
    <w:p>
      <w:pPr>
        <w:pStyle w:val="TextBody"/>
        <w:pBdr/>
        <w:spacing w:before="0" w:after="210"/>
        <w:ind w:left="0" w:right="0" w:hanging="0"/>
        <w:rPr>
          <w:rFonts w:ascii="Arial" w:hAnsi="Arial"/>
          <w:color w:val="000000"/>
          <w:sz w:val="21"/>
        </w:rPr>
      </w:pPr>
      <w:r>
        <w:rPr>
          <w:rFonts w:ascii="Arial" w:hAnsi="Arial"/>
          <w:color w:val="000000"/>
          <w:sz w:val="21"/>
        </w:rPr>
        <w:t>Our Compensation Committee independently oversees the executive compensation program with the support of an independent compensation consultant and management. Our compensation program demonstrates strong governance, minimizing inappropriate risk-taking behavior while protecting shareholder rights and interests. The following is a summary of Regeneron’s key executive compensation best practices and policies.</w:t>
      </w:r>
    </w:p>
    <w:p>
      <w:pPr>
        <w:pStyle w:val="TextBody"/>
        <w:pBdr/>
        <w:spacing w:before="0" w:after="0"/>
        <w:ind w:left="135" w:right="0" w:hanging="0"/>
        <w:rPr>
          <w:rFonts w:ascii="Arial" w:hAnsi="Arial"/>
          <w:b/>
          <w:color w:val="FFFFFF"/>
          <w:sz w:val="30"/>
          <w:highlight w:val="darkBlue"/>
          <w:bdr w:val="single" w:sz="2" w:space="6" w:color="245BA7"/>
        </w:rPr>
      </w:pPr>
      <w:bookmarkStart w:id="114" w:name="new_id-105"/>
      <w:bookmarkEnd w:id="114"/>
      <w:r>
        <w:rPr>
          <w:rFonts w:ascii="Arial" w:hAnsi="Arial"/>
          <w:b/>
          <w:color w:val="FFFFFF"/>
          <w:sz w:val="30"/>
          <w:highlight w:val="darkBlue"/>
          <w:bdr w:val="single" w:sz="2" w:space="6" w:color="245BA7"/>
        </w:rPr>
        <w:t xml:space="preserve">WHAT WE DO </w:t>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olumn">
                  <wp:align>right</wp:align>
                </wp:positionH>
                <wp:positionV relativeFrom="line">
                  <wp:posOffset>635</wp:posOffset>
                </wp:positionV>
                <wp:extent cx="3110230" cy="1410970"/>
                <wp:effectExtent l="0" t="0" r="0" b="0"/>
                <wp:wrapSquare wrapText="largest"/>
                <wp:docPr id="213" name="Frame33"/>
                <a:graphic xmlns:a="http://schemas.openxmlformats.org/drawingml/2006/main">
                  <a:graphicData uri="http://schemas.microsoft.com/office/word/2010/wordprocessingShape">
                    <wps:wsp>
                      <wps:cNvSpPr txBox="1"/>
                      <wps:spPr>
                        <a:xfrm>
                          <a:off x="0" y="0"/>
                          <a:ext cx="3110230" cy="1410970"/>
                        </a:xfrm>
                        <a:prstGeom prst="rect"/>
                      </wps:spPr>
                      <wps:txbx>
                        <w:txbxContent>
                          <w:tbl>
                            <w:tblPr>
                              <w:tblW w:w="10205" w:type="dxa"/>
                              <w:jc w:val="left"/>
                              <w:tblInd w:w="0" w:type="dxa"/>
                              <w:tblCellMar>
                                <w:top w:w="28" w:type="dxa"/>
                                <w:left w:w="28" w:type="dxa"/>
                                <w:bottom w:w="28" w:type="dxa"/>
                                <w:right w:w="28" w:type="dxa"/>
                              </w:tblCellMar>
                            </w:tblPr>
                            <w:tblGrid>
                              <w:gridCol w:w="422"/>
                              <w:gridCol w:w="9783"/>
                            </w:tblGrid>
                            <w:tr>
                              <w:trPr/>
                              <w:tc>
                                <w:tcPr>
                                  <w:tcW w:w="422" w:type="dxa"/>
                                  <w:tcBorders/>
                                  <w:shd w:fill="auto" w:val="clear"/>
                                  <w:vAlign w:val="center"/>
                                </w:tcPr>
                                <w:p>
                                  <w:pPr>
                                    <w:pStyle w:val="TableContents"/>
                                    <w:spacing w:before="0" w:after="283"/>
                                    <w:jc w:val="left"/>
                                    <w:rPr/>
                                  </w:pPr>
                                  <w:r>
                                    <w:rPr/>
                                    <w:drawing>
                                      <wp:inline distT="0" distB="0" distL="0" distR="0">
                                        <wp:extent cx="171450" cy="171450"/>
                                        <wp:effectExtent l="0" t="0" r="0" b="0"/>
                                        <wp:docPr id="21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70" descr=""/>
                                                <pic:cNvPicPr>
                                                  <a:picLocks noChangeAspect="1" noChangeArrowheads="1"/>
                                                </pic:cNvPicPr>
                                              </pic:nvPicPr>
                                              <pic:blipFill>
                                                <a:blip r:embed="rId170"/>
                                                <a:stretch>
                                                  <a:fillRect/>
                                                </a:stretch>
                                              </pic:blipFill>
                                              <pic:spPr bwMode="auto">
                                                <a:xfrm>
                                                  <a:off x="0" y="0"/>
                                                  <a:ext cx="171450" cy="171450"/>
                                                </a:xfrm>
                                                <a:prstGeom prst="rect">
                                                  <a:avLst/>
                                                </a:prstGeom>
                                              </pic:spPr>
                                            </pic:pic>
                                          </a:graphicData>
                                        </a:graphic>
                                      </wp:inline>
                                    </w:drawing>
                                  </w:r>
                                  <w:r>
                                    <w:rPr/>
                                    <w:t xml:space="preserve"> </w:t>
                                  </w:r>
                                </w:p>
                              </w:tc>
                              <w:tc>
                                <w:tcPr>
                                  <w:tcW w:w="9783"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Align our compensation philosophy and program design with our culture and business strategy</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Long-term oriented</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Focused on product pipeline</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Employee/shareholder mindset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1.1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CellMar>
                          <w:top w:w="28" w:type="dxa"/>
                          <w:left w:w="28" w:type="dxa"/>
                          <w:bottom w:w="28" w:type="dxa"/>
                          <w:right w:w="28" w:type="dxa"/>
                        </w:tblCellMar>
                      </w:tblPr>
                      <w:tblGrid>
                        <w:gridCol w:w="422"/>
                        <w:gridCol w:w="9783"/>
                      </w:tblGrid>
                      <w:tr>
                        <w:trPr/>
                        <w:tc>
                          <w:tcPr>
                            <w:tcW w:w="422" w:type="dxa"/>
                            <w:tcBorders/>
                            <w:shd w:fill="auto" w:val="clear"/>
                            <w:vAlign w:val="center"/>
                          </w:tcPr>
                          <w:p>
                            <w:pPr>
                              <w:pStyle w:val="TableContents"/>
                              <w:spacing w:before="0" w:after="283"/>
                              <w:jc w:val="left"/>
                              <w:rPr/>
                            </w:pPr>
                            <w:r>
                              <w:rPr/>
                              <w:drawing>
                                <wp:inline distT="0" distB="0" distL="0" distR="0">
                                  <wp:extent cx="171450" cy="171450"/>
                                  <wp:effectExtent l="0" t="0" r="0" b="0"/>
                                  <wp:docPr id="215"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70" descr=""/>
                                          <pic:cNvPicPr>
                                            <a:picLocks noChangeAspect="1" noChangeArrowheads="1"/>
                                          </pic:cNvPicPr>
                                        </pic:nvPicPr>
                                        <pic:blipFill>
                                          <a:blip r:embed="rId170"/>
                                          <a:stretch>
                                            <a:fillRect/>
                                          </a:stretch>
                                        </pic:blipFill>
                                        <pic:spPr bwMode="auto">
                                          <a:xfrm>
                                            <a:off x="0" y="0"/>
                                            <a:ext cx="171450" cy="171450"/>
                                          </a:xfrm>
                                          <a:prstGeom prst="rect">
                                            <a:avLst/>
                                          </a:prstGeom>
                                        </pic:spPr>
                                      </pic:pic>
                                    </a:graphicData>
                                  </a:graphic>
                                </wp:inline>
                              </w:drawing>
                            </w:r>
                            <w:r>
                              <w:rPr/>
                              <w:t xml:space="preserve"> </w:t>
                            </w:r>
                          </w:p>
                        </w:tc>
                        <w:tc>
                          <w:tcPr>
                            <w:tcW w:w="9783"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Align our compensation philosophy and program design with our culture and business strategy</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Long-term oriented</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Focused on product pipeline</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Employee/shareholder mindset</w:t>
                      </w:r>
                    </w:p>
                  </w:txbxContent>
                </v:textbox>
                <w10:wrap type="square" side="left"/>
              </v:rect>
            </w:pict>
          </mc:Fallback>
        </mc:AlternateConten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3110230" cy="1384935"/>
                <wp:effectExtent l="0" t="0" r="0" b="0"/>
                <wp:wrapSquare wrapText="largest"/>
                <wp:docPr id="216" name="Frame32"/>
                <a:graphic xmlns:a="http://schemas.openxmlformats.org/drawingml/2006/main">
                  <a:graphicData uri="http://schemas.microsoft.com/office/word/2010/wordprocessingShape">
                    <wps:wsp>
                      <wps:cNvSpPr txBox="1"/>
                      <wps:spPr>
                        <a:xfrm>
                          <a:off x="0" y="0"/>
                          <a:ext cx="3110230" cy="1384935"/>
                        </a:xfrm>
                        <a:prstGeom prst="rect"/>
                      </wps:spPr>
                      <wps:txbx>
                        <w:txbxContent>
                          <w:tbl>
                            <w:tblPr>
                              <w:tblW w:w="3702" w:type="dxa"/>
                              <w:jc w:val="left"/>
                              <w:tblInd w:w="0" w:type="dxa"/>
                              <w:tblCellMar>
                                <w:top w:w="28" w:type="dxa"/>
                                <w:left w:w="28" w:type="dxa"/>
                                <w:bottom w:w="28" w:type="dxa"/>
                                <w:right w:w="28" w:type="dxa"/>
                              </w:tblCellMar>
                            </w:tblPr>
                            <w:tblGrid>
                              <w:gridCol w:w="431"/>
                              <w:gridCol w:w="3271"/>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17"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69" descr=""/>
                                                <pic:cNvPicPr>
                                                  <a:picLocks noChangeAspect="1" noChangeArrowheads="1"/>
                                                </pic:cNvPicPr>
                                              </pic:nvPicPr>
                                              <pic:blipFill>
                                                <a:blip r:embed="rId171"/>
                                                <a:stretch>
                                                  <a:fillRect/>
                                                </a:stretch>
                                              </pic:blipFill>
                                              <pic:spPr bwMode="auto">
                                                <a:xfrm>
                                                  <a:off x="0" y="0"/>
                                                  <a:ext cx="171450" cy="171450"/>
                                                </a:xfrm>
                                                <a:prstGeom prst="rect">
                                                  <a:avLst/>
                                                </a:prstGeom>
                                              </pic:spPr>
                                            </pic:pic>
                                          </a:graphicData>
                                        </a:graphic>
                                      </wp:inline>
                                    </w:drawing>
                                  </w:r>
                                  <w:r>
                                    <w:rPr/>
                                    <w:t xml:space="preserve"> </w:t>
                                  </w:r>
                                </w:p>
                              </w:tc>
                              <w:tc>
                                <w:tcPr>
                                  <w:tcW w:w="3271"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Align pay with performance</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All CEO and CSO direct pay is performance-based and “at-risk” (except for base salary)</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94% of CEO direct pay “at-risk” in 2022 </w:t>
                              <w:br/>
                              <w:t>(see next page)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09.05pt;mso-wrap-distance-left:0pt;mso-wrap-distance-right:0pt;mso-wrap-distance-top:0pt;mso-wrap-distance-bottom:0pt;margin-top:0pt;mso-position-vertical:top;mso-position-vertical-relative:text;margin-left:0pt;mso-position-horizontal:left;mso-position-horizontal-relative:text">
                <v:textbox>
                  <w:txbxContent>
                    <w:tbl>
                      <w:tblPr>
                        <w:tblW w:w="3702" w:type="dxa"/>
                        <w:jc w:val="left"/>
                        <w:tblInd w:w="0" w:type="dxa"/>
                        <w:tblCellMar>
                          <w:top w:w="28" w:type="dxa"/>
                          <w:left w:w="28" w:type="dxa"/>
                          <w:bottom w:w="28" w:type="dxa"/>
                          <w:right w:w="28" w:type="dxa"/>
                        </w:tblCellMar>
                      </w:tblPr>
                      <w:tblGrid>
                        <w:gridCol w:w="431"/>
                        <w:gridCol w:w="3271"/>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18"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69" descr=""/>
                                          <pic:cNvPicPr>
                                            <a:picLocks noChangeAspect="1" noChangeArrowheads="1"/>
                                          </pic:cNvPicPr>
                                        </pic:nvPicPr>
                                        <pic:blipFill>
                                          <a:blip r:embed="rId171"/>
                                          <a:stretch>
                                            <a:fillRect/>
                                          </a:stretch>
                                        </pic:blipFill>
                                        <pic:spPr bwMode="auto">
                                          <a:xfrm>
                                            <a:off x="0" y="0"/>
                                            <a:ext cx="171450" cy="171450"/>
                                          </a:xfrm>
                                          <a:prstGeom prst="rect">
                                            <a:avLst/>
                                          </a:prstGeom>
                                        </pic:spPr>
                                      </pic:pic>
                                    </a:graphicData>
                                  </a:graphic>
                                </wp:inline>
                              </w:drawing>
                            </w:r>
                            <w:r>
                              <w:rPr/>
                              <w:t xml:space="preserve"> </w:t>
                            </w:r>
                          </w:p>
                        </w:tc>
                        <w:tc>
                          <w:tcPr>
                            <w:tcW w:w="3271"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Align pay with performance</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All CEO and CSO direct pay is performance-based and “at-risk” (except for base salary)</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94% of CEO direct pay “at-risk” in 2022 </w:t>
                        <w:br/>
                        <w:t>(see next page)</w:t>
                      </w:r>
                    </w:p>
                  </w:txbxContent>
                </v:textbox>
                <w10:wrap type="square" side="right"/>
              </v:rect>
            </w:pict>
          </mc:Fallback>
        </mc:AlternateContent>
      </w:r>
    </w:p>
    <w:tbl>
      <w:tblPr>
        <w:tblW w:w="255" w:type="dxa"/>
        <w:jc w:val="left"/>
        <w:tblInd w:w="0" w:type="dxa"/>
        <w:tblCellMar>
          <w:top w:w="0" w:type="dxa"/>
          <w:left w:w="0" w:type="dxa"/>
          <w:bottom w:w="28" w:type="dxa"/>
          <w:right w:w="0" w:type="dxa"/>
        </w:tblCellMar>
      </w:tblPr>
      <w:tblGrid>
        <w:gridCol w:w="90"/>
        <w:gridCol w:w="75"/>
        <w:gridCol w:w="90"/>
      </w:tblGrid>
      <w:tr>
        <w:trPr/>
        <w:tc>
          <w:tcPr>
            <w:tcW w:w="90" w:type="dxa"/>
            <w:tcBorders>
              <w:bottom w:val="single" w:sz="12" w:space="0" w:color="245BA7"/>
            </w:tcBorders>
            <w:shd w:fill="auto" w:val="clear"/>
            <w:vAlign w:val="center"/>
          </w:tcPr>
          <w:p>
            <w:pPr>
              <w:pStyle w:val="TableContents"/>
              <w:pBdr/>
              <w:spacing w:before="0" w:after="0"/>
              <w:ind w:left="15" w:right="15" w:hanging="0"/>
              <w:rPr>
                <w:color w:val="245BA7"/>
              </w:rPr>
            </w:pPr>
            <w:r>
              <w:rPr>
                <w:color w:val="245BA7"/>
              </w:rPr>
              <w:t> </w:t>
            </w:r>
          </w:p>
        </w:tc>
        <w:tc>
          <w:tcPr>
            <w:tcW w:w="75" w:type="dxa"/>
            <w:tcBorders/>
            <w:shd w:fill="auto" w:val="clear"/>
            <w:tcMar>
              <w:bottom w:w="0" w:type="dxa"/>
            </w:tcMar>
            <w:vAlign w:val="center"/>
          </w:tcPr>
          <w:p>
            <w:pPr>
              <w:pStyle w:val="TableContents"/>
              <w:pBdr/>
              <w:spacing w:before="0" w:after="0"/>
              <w:ind w:left="15" w:right="15" w:hanging="0"/>
              <w:rPr>
                <w:color w:val="245BA7"/>
              </w:rPr>
            </w:pPr>
            <w:r>
              <w:rPr>
                <w:color w:val="245BA7"/>
              </w:rPr>
              <w:t> </w:t>
            </w:r>
          </w:p>
        </w:tc>
        <w:tc>
          <w:tcPr>
            <w:tcW w:w="90" w:type="dxa"/>
            <w:tcBorders>
              <w:bottom w:val="single" w:sz="12" w:space="0" w:color="245BA7"/>
            </w:tcBorders>
            <w:shd w:fill="auto" w:val="clear"/>
            <w:vAlign w:val="center"/>
          </w:tcPr>
          <w:p>
            <w:pPr>
              <w:pStyle w:val="TableContents"/>
              <w:pBdr/>
              <w:spacing w:before="0" w:after="0"/>
              <w:ind w:left="15" w:right="15" w:hanging="0"/>
              <w:rPr>
                <w:color w:val="245BA7"/>
              </w:rPr>
            </w:pPr>
            <w:r>
              <w:rPr>
                <w:color w:val="245BA7"/>
              </w:rPr>
              <w:t> </w:t>
            </w:r>
          </w:p>
        </w:tc>
      </w:tr>
    </w:tbl>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olumn">
                  <wp:align>right</wp:align>
                </wp:positionH>
                <wp:positionV relativeFrom="line">
                  <wp:posOffset>635</wp:posOffset>
                </wp:positionV>
                <wp:extent cx="3110230" cy="1384935"/>
                <wp:effectExtent l="0" t="0" r="0" b="0"/>
                <wp:wrapSquare wrapText="largest"/>
                <wp:docPr id="219" name="Frame35"/>
                <a:graphic xmlns:a="http://schemas.openxmlformats.org/drawingml/2006/main">
                  <a:graphicData uri="http://schemas.microsoft.com/office/word/2010/wordprocessingShape">
                    <wps:wsp>
                      <wps:cNvSpPr txBox="1"/>
                      <wps:spPr>
                        <a:xfrm>
                          <a:off x="0" y="0"/>
                          <a:ext cx="3110230" cy="1384935"/>
                        </a:xfrm>
                        <a:prstGeom prst="rect"/>
                      </wps:spPr>
                      <wps:txbx>
                        <w:txbxContent>
                          <w:tbl>
                            <w:tblPr>
                              <w:tblW w:w="6012" w:type="dxa"/>
                              <w:jc w:val="left"/>
                              <w:tblInd w:w="0" w:type="dxa"/>
                              <w:tblCellMar>
                                <w:top w:w="28" w:type="dxa"/>
                                <w:left w:w="28" w:type="dxa"/>
                                <w:bottom w:w="28" w:type="dxa"/>
                                <w:right w:w="28" w:type="dxa"/>
                              </w:tblCellMar>
                            </w:tblPr>
                            <w:tblGrid>
                              <w:gridCol w:w="431"/>
                              <w:gridCol w:w="5581"/>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20"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72" descr=""/>
                                                <pic:cNvPicPr>
                                                  <a:picLocks noChangeAspect="1" noChangeArrowheads="1"/>
                                                </pic:cNvPicPr>
                                              </pic:nvPicPr>
                                              <pic:blipFill>
                                                <a:blip r:embed="rId172"/>
                                                <a:stretch>
                                                  <a:fillRect/>
                                                </a:stretch>
                                              </pic:blipFill>
                                              <pic:spPr bwMode="auto">
                                                <a:xfrm>
                                                  <a:off x="0" y="0"/>
                                                  <a:ext cx="171450" cy="171450"/>
                                                </a:xfrm>
                                                <a:prstGeom prst="rect">
                                                  <a:avLst/>
                                                </a:prstGeom>
                                              </pic:spPr>
                                            </pic:pic>
                                          </a:graphicData>
                                        </a:graphic>
                                      </wp:inline>
                                    </w:drawing>
                                  </w:r>
                                  <w:r>
                                    <w:rPr/>
                                    <w:t xml:space="preserve"> </w:t>
                                  </w:r>
                                </w:p>
                              </w:tc>
                              <w:tc>
                                <w:tcPr>
                                  <w:tcW w:w="5581"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Maintain a strong recoupment (clawback) policy</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Applies to bonus and other incentive compensation</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Applies regardless of whether paid or payable in cash, equity, or otherwise and regardless of whether earned or vested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09.05pt;mso-wrap-distance-left:0pt;mso-wrap-distance-right:0pt;mso-wrap-distance-top:0pt;mso-wrap-distance-bottom:0pt;margin-top:0pt;mso-position-vertical:top;mso-position-vertical-relative:text;margin-left:265.35pt;mso-position-horizontal:right;mso-position-horizontal-relative:text">
                <v:textbox>
                  <w:txbxContent>
                    <w:tbl>
                      <w:tblPr>
                        <w:tblW w:w="6012" w:type="dxa"/>
                        <w:jc w:val="left"/>
                        <w:tblInd w:w="0" w:type="dxa"/>
                        <w:tblCellMar>
                          <w:top w:w="28" w:type="dxa"/>
                          <w:left w:w="28" w:type="dxa"/>
                          <w:bottom w:w="28" w:type="dxa"/>
                          <w:right w:w="28" w:type="dxa"/>
                        </w:tblCellMar>
                      </w:tblPr>
                      <w:tblGrid>
                        <w:gridCol w:w="431"/>
                        <w:gridCol w:w="5581"/>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21"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72" descr=""/>
                                          <pic:cNvPicPr>
                                            <a:picLocks noChangeAspect="1" noChangeArrowheads="1"/>
                                          </pic:cNvPicPr>
                                        </pic:nvPicPr>
                                        <pic:blipFill>
                                          <a:blip r:embed="rId172"/>
                                          <a:stretch>
                                            <a:fillRect/>
                                          </a:stretch>
                                        </pic:blipFill>
                                        <pic:spPr bwMode="auto">
                                          <a:xfrm>
                                            <a:off x="0" y="0"/>
                                            <a:ext cx="171450" cy="171450"/>
                                          </a:xfrm>
                                          <a:prstGeom prst="rect">
                                            <a:avLst/>
                                          </a:prstGeom>
                                        </pic:spPr>
                                      </pic:pic>
                                    </a:graphicData>
                                  </a:graphic>
                                </wp:inline>
                              </w:drawing>
                            </w:r>
                            <w:r>
                              <w:rPr/>
                              <w:t xml:space="preserve"> </w:t>
                            </w:r>
                          </w:p>
                        </w:tc>
                        <w:tc>
                          <w:tcPr>
                            <w:tcW w:w="5581"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Maintain a strong recoupment (clawback) policy</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Applies to bonus and other incentive compensation</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Applies regardless of whether paid or payable in cash, equity, or otherwise and regardless of whether earned or vested</w:t>
                      </w:r>
                    </w:p>
                  </w:txbxContent>
                </v:textbox>
                <w10:wrap type="square" side="left"/>
              </v:rect>
            </w:pict>
          </mc:Fallback>
        </mc:AlternateConten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3110230" cy="1999615"/>
                <wp:effectExtent l="0" t="0" r="0" b="0"/>
                <wp:wrapSquare wrapText="largest"/>
                <wp:docPr id="222" name="Frame34"/>
                <a:graphic xmlns:a="http://schemas.openxmlformats.org/drawingml/2006/main">
                  <a:graphicData uri="http://schemas.microsoft.com/office/word/2010/wordprocessingShape">
                    <wps:wsp>
                      <wps:cNvSpPr txBox="1"/>
                      <wps:spPr>
                        <a:xfrm>
                          <a:off x="0" y="0"/>
                          <a:ext cx="3110230" cy="1999615"/>
                        </a:xfrm>
                        <a:prstGeom prst="rect"/>
                      </wps:spPr>
                      <wps:txbx>
                        <w:txbxContent>
                          <w:tbl>
                            <w:tblPr>
                              <w:tblW w:w="5712" w:type="dxa"/>
                              <w:jc w:val="left"/>
                              <w:tblInd w:w="0" w:type="dxa"/>
                              <w:tblCellMar>
                                <w:top w:w="28" w:type="dxa"/>
                                <w:left w:w="28" w:type="dxa"/>
                                <w:bottom w:w="28" w:type="dxa"/>
                                <w:right w:w="28" w:type="dxa"/>
                              </w:tblCellMar>
                            </w:tblPr>
                            <w:tblGrid>
                              <w:gridCol w:w="431"/>
                              <w:gridCol w:w="5281"/>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23"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71" descr=""/>
                                                <pic:cNvPicPr>
                                                  <a:picLocks noChangeAspect="1" noChangeArrowheads="1"/>
                                                </pic:cNvPicPr>
                                              </pic:nvPicPr>
                                              <pic:blipFill>
                                                <a:blip r:embed="rId173"/>
                                                <a:stretch>
                                                  <a:fillRect/>
                                                </a:stretch>
                                              </pic:blipFill>
                                              <pic:spPr bwMode="auto">
                                                <a:xfrm>
                                                  <a:off x="0" y="0"/>
                                                  <a:ext cx="171450" cy="171450"/>
                                                </a:xfrm>
                                                <a:prstGeom prst="rect">
                                                  <a:avLst/>
                                                </a:prstGeom>
                                              </pic:spPr>
                                            </pic:pic>
                                          </a:graphicData>
                                        </a:graphic>
                                      </wp:inline>
                                    </w:drawing>
                                  </w:r>
                                  <w:r>
                                    <w:rPr/>
                                    <w:t xml:space="preserve"> </w:t>
                                  </w:r>
                                </w:p>
                              </w:tc>
                              <w:tc>
                                <w:tcPr>
                                  <w:tcW w:w="5281"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Align management and shareholder interests</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Equity compensation is a key component of our compensation program</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Alignment over the long term: stock options vest over four years with a ten-year term; RSAs vest over four or five years; 2020 PSUs (granted to CEO and CSO) include five-year performance and vesting periods and a three-year post-vesting holding period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7.45pt;mso-wrap-distance-left:0pt;mso-wrap-distance-right:0pt;mso-wrap-distance-top:0pt;mso-wrap-distance-bottom:0pt;margin-top:0pt;mso-position-vertical:top;mso-position-vertical-relative:text;margin-left:0pt;mso-position-horizontal:left;mso-position-horizontal-relative:text">
                <v:textbox>
                  <w:txbxContent>
                    <w:tbl>
                      <w:tblPr>
                        <w:tblW w:w="5712" w:type="dxa"/>
                        <w:jc w:val="left"/>
                        <w:tblInd w:w="0" w:type="dxa"/>
                        <w:tblCellMar>
                          <w:top w:w="28" w:type="dxa"/>
                          <w:left w:w="28" w:type="dxa"/>
                          <w:bottom w:w="28" w:type="dxa"/>
                          <w:right w:w="28" w:type="dxa"/>
                        </w:tblCellMar>
                      </w:tblPr>
                      <w:tblGrid>
                        <w:gridCol w:w="431"/>
                        <w:gridCol w:w="5281"/>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2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71" descr=""/>
                                          <pic:cNvPicPr>
                                            <a:picLocks noChangeAspect="1" noChangeArrowheads="1"/>
                                          </pic:cNvPicPr>
                                        </pic:nvPicPr>
                                        <pic:blipFill>
                                          <a:blip r:embed="rId173"/>
                                          <a:stretch>
                                            <a:fillRect/>
                                          </a:stretch>
                                        </pic:blipFill>
                                        <pic:spPr bwMode="auto">
                                          <a:xfrm>
                                            <a:off x="0" y="0"/>
                                            <a:ext cx="171450" cy="171450"/>
                                          </a:xfrm>
                                          <a:prstGeom prst="rect">
                                            <a:avLst/>
                                          </a:prstGeom>
                                        </pic:spPr>
                                      </pic:pic>
                                    </a:graphicData>
                                  </a:graphic>
                                </wp:inline>
                              </w:drawing>
                            </w:r>
                            <w:r>
                              <w:rPr/>
                              <w:t xml:space="preserve"> </w:t>
                            </w:r>
                          </w:p>
                        </w:tc>
                        <w:tc>
                          <w:tcPr>
                            <w:tcW w:w="5281"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Align management and shareholder interests</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Equity compensation is a key component of our compensation program</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Alignment over the long term: stock options vest over four years with a ten-year term; RSAs vest over four or five years; 2020 PSUs (granted to CEO and CSO) include five-year performance and vesting periods and a three-year post-vesting holding period</w:t>
                      </w:r>
                    </w:p>
                  </w:txbxContent>
                </v:textbox>
                <w10:wrap type="square" side="right"/>
              </v:rect>
            </w:pict>
          </mc:Fallback>
        </mc:AlternateContent>
      </w:r>
    </w:p>
    <w:tbl>
      <w:tblPr>
        <w:tblW w:w="255" w:type="dxa"/>
        <w:jc w:val="left"/>
        <w:tblInd w:w="0" w:type="dxa"/>
        <w:tblCellMar>
          <w:top w:w="0" w:type="dxa"/>
          <w:left w:w="0" w:type="dxa"/>
          <w:bottom w:w="28" w:type="dxa"/>
          <w:right w:w="0" w:type="dxa"/>
        </w:tblCellMar>
      </w:tblPr>
      <w:tblGrid>
        <w:gridCol w:w="90"/>
        <w:gridCol w:w="75"/>
        <w:gridCol w:w="90"/>
      </w:tblGrid>
      <w:tr>
        <w:trPr/>
        <w:tc>
          <w:tcPr>
            <w:tcW w:w="90" w:type="dxa"/>
            <w:tcBorders>
              <w:bottom w:val="single" w:sz="12" w:space="0" w:color="245BA7"/>
            </w:tcBorders>
            <w:shd w:fill="auto" w:val="clear"/>
            <w:vAlign w:val="center"/>
          </w:tcPr>
          <w:p>
            <w:pPr>
              <w:pStyle w:val="TableContents"/>
              <w:pBdr/>
              <w:spacing w:before="0" w:after="0"/>
              <w:ind w:left="15" w:right="15" w:hanging="0"/>
              <w:rPr>
                <w:color w:val="245BA7"/>
              </w:rPr>
            </w:pPr>
            <w:r>
              <w:rPr>
                <w:color w:val="245BA7"/>
              </w:rPr>
              <w:t> </w:t>
            </w:r>
          </w:p>
        </w:tc>
        <w:tc>
          <w:tcPr>
            <w:tcW w:w="75" w:type="dxa"/>
            <w:tcBorders/>
            <w:shd w:fill="auto" w:val="clear"/>
            <w:tcMar>
              <w:bottom w:w="0" w:type="dxa"/>
            </w:tcMar>
            <w:vAlign w:val="center"/>
          </w:tcPr>
          <w:p>
            <w:pPr>
              <w:pStyle w:val="TableContents"/>
              <w:pBdr/>
              <w:spacing w:before="0" w:after="0"/>
              <w:ind w:left="15" w:right="15" w:hanging="0"/>
              <w:rPr>
                <w:color w:val="245BA7"/>
              </w:rPr>
            </w:pPr>
            <w:r>
              <w:rPr>
                <w:color w:val="245BA7"/>
              </w:rPr>
              <w:t> </w:t>
            </w:r>
          </w:p>
        </w:tc>
        <w:tc>
          <w:tcPr>
            <w:tcW w:w="90" w:type="dxa"/>
            <w:tcBorders>
              <w:bottom w:val="single" w:sz="12" w:space="0" w:color="245BA7"/>
            </w:tcBorders>
            <w:shd w:fill="auto" w:val="clear"/>
            <w:vAlign w:val="center"/>
          </w:tcPr>
          <w:p>
            <w:pPr>
              <w:pStyle w:val="TableContents"/>
              <w:pBdr/>
              <w:spacing w:before="0" w:after="0"/>
              <w:ind w:left="15" w:right="15" w:hanging="0"/>
              <w:rPr>
                <w:color w:val="245BA7"/>
              </w:rPr>
            </w:pPr>
            <w:r>
              <w:rPr>
                <w:color w:val="245BA7"/>
              </w:rPr>
              <w:t> </w:t>
            </w:r>
          </w:p>
        </w:tc>
      </w:tr>
    </w:tbl>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olumn">
                  <wp:align>right</wp:align>
                </wp:positionH>
                <wp:positionV relativeFrom="line">
                  <wp:posOffset>635</wp:posOffset>
                </wp:positionV>
                <wp:extent cx="3110230" cy="1363345"/>
                <wp:effectExtent l="0" t="0" r="0" b="0"/>
                <wp:wrapSquare wrapText="largest"/>
                <wp:docPr id="225" name="Frame37"/>
                <a:graphic xmlns:a="http://schemas.openxmlformats.org/drawingml/2006/main">
                  <a:graphicData uri="http://schemas.microsoft.com/office/word/2010/wordprocessingShape">
                    <wps:wsp>
                      <wps:cNvSpPr txBox="1"/>
                      <wps:spPr>
                        <a:xfrm>
                          <a:off x="0" y="0"/>
                          <a:ext cx="3110230" cy="1363345"/>
                        </a:xfrm>
                        <a:prstGeom prst="rect"/>
                      </wps:spPr>
                      <wps:txbx>
                        <w:txbxContent>
                          <w:tbl>
                            <w:tblPr>
                              <w:tblW w:w="6132" w:type="dxa"/>
                              <w:jc w:val="left"/>
                              <w:tblInd w:w="0" w:type="dxa"/>
                              <w:tblCellMar>
                                <w:top w:w="28" w:type="dxa"/>
                                <w:left w:w="28" w:type="dxa"/>
                                <w:bottom w:w="28" w:type="dxa"/>
                                <w:right w:w="28" w:type="dxa"/>
                              </w:tblCellMar>
                            </w:tblPr>
                            <w:tblGrid>
                              <w:gridCol w:w="431"/>
                              <w:gridCol w:w="5701"/>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26"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74" descr=""/>
                                                <pic:cNvPicPr>
                                                  <a:picLocks noChangeAspect="1" noChangeArrowheads="1"/>
                                                </pic:cNvPicPr>
                                              </pic:nvPicPr>
                                              <pic:blipFill>
                                                <a:blip r:embed="rId174"/>
                                                <a:stretch>
                                                  <a:fillRect/>
                                                </a:stretch>
                                              </pic:blipFill>
                                              <pic:spPr bwMode="auto">
                                                <a:xfrm>
                                                  <a:off x="0" y="0"/>
                                                  <a:ext cx="171450" cy="171450"/>
                                                </a:xfrm>
                                                <a:prstGeom prst="rect">
                                                  <a:avLst/>
                                                </a:prstGeom>
                                              </pic:spPr>
                                            </pic:pic>
                                          </a:graphicData>
                                        </a:graphic>
                                      </wp:inline>
                                    </w:drawing>
                                  </w:r>
                                  <w:r>
                                    <w:rPr/>
                                    <w:t xml:space="preserve"> </w:t>
                                  </w:r>
                                </w:p>
                              </w:tc>
                              <w:tc>
                                <w:tcPr>
                                  <w:tcW w:w="5701"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Retain an independent compensation consultant</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Independent compensation consultant provides advice directly to the Compensation Committee on all key compensation decisions, as well as recommendations for compensation plans, budgets, and strategies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07.35pt;mso-wrap-distance-left:0pt;mso-wrap-distance-right:0pt;mso-wrap-distance-top:0pt;mso-wrap-distance-bottom:0pt;margin-top:0pt;mso-position-vertical:top;mso-position-vertical-relative:text;margin-left:265.35pt;mso-position-horizontal:right;mso-position-horizontal-relative:text">
                <v:textbox>
                  <w:txbxContent>
                    <w:tbl>
                      <w:tblPr>
                        <w:tblW w:w="6132" w:type="dxa"/>
                        <w:jc w:val="left"/>
                        <w:tblInd w:w="0" w:type="dxa"/>
                        <w:tblCellMar>
                          <w:top w:w="28" w:type="dxa"/>
                          <w:left w:w="28" w:type="dxa"/>
                          <w:bottom w:w="28" w:type="dxa"/>
                          <w:right w:w="28" w:type="dxa"/>
                        </w:tblCellMar>
                      </w:tblPr>
                      <w:tblGrid>
                        <w:gridCol w:w="431"/>
                        <w:gridCol w:w="5701"/>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2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74" descr=""/>
                                          <pic:cNvPicPr>
                                            <a:picLocks noChangeAspect="1" noChangeArrowheads="1"/>
                                          </pic:cNvPicPr>
                                        </pic:nvPicPr>
                                        <pic:blipFill>
                                          <a:blip r:embed="rId174"/>
                                          <a:stretch>
                                            <a:fillRect/>
                                          </a:stretch>
                                        </pic:blipFill>
                                        <pic:spPr bwMode="auto">
                                          <a:xfrm>
                                            <a:off x="0" y="0"/>
                                            <a:ext cx="171450" cy="171450"/>
                                          </a:xfrm>
                                          <a:prstGeom prst="rect">
                                            <a:avLst/>
                                          </a:prstGeom>
                                        </pic:spPr>
                                      </pic:pic>
                                    </a:graphicData>
                                  </a:graphic>
                                </wp:inline>
                              </w:drawing>
                            </w:r>
                            <w:r>
                              <w:rPr/>
                              <w:t xml:space="preserve"> </w:t>
                            </w:r>
                          </w:p>
                        </w:tc>
                        <w:tc>
                          <w:tcPr>
                            <w:tcW w:w="5701"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Retain an independent compensation consultant</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Independent compensation consultant provides advice directly to the Compensation Committee on all key compensation decisions, as well as recommendations for compensation plans, budgets, and strategies</w:t>
                      </w:r>
                    </w:p>
                  </w:txbxContent>
                </v:textbox>
                <w10:wrap type="square" side="left"/>
              </v:rect>
            </w:pict>
          </mc:Fallback>
        </mc:AlternateConten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3110230" cy="1384935"/>
                <wp:effectExtent l="0" t="0" r="0" b="0"/>
                <wp:wrapSquare wrapText="largest"/>
                <wp:docPr id="228" name="Frame36"/>
                <a:graphic xmlns:a="http://schemas.openxmlformats.org/drawingml/2006/main">
                  <a:graphicData uri="http://schemas.microsoft.com/office/word/2010/wordprocessingShape">
                    <wps:wsp>
                      <wps:cNvSpPr txBox="1"/>
                      <wps:spPr>
                        <a:xfrm>
                          <a:off x="0" y="0"/>
                          <a:ext cx="3110230" cy="1384935"/>
                        </a:xfrm>
                        <a:prstGeom prst="rect"/>
                      </wps:spPr>
                      <wps:txbx>
                        <w:txbxContent>
                          <w:tbl>
                            <w:tblPr>
                              <w:tblW w:w="5547" w:type="dxa"/>
                              <w:jc w:val="left"/>
                              <w:tblInd w:w="0" w:type="dxa"/>
                              <w:tblCellMar>
                                <w:top w:w="28" w:type="dxa"/>
                                <w:left w:w="28" w:type="dxa"/>
                                <w:bottom w:w="28" w:type="dxa"/>
                                <w:right w:w="28" w:type="dxa"/>
                              </w:tblCellMar>
                            </w:tblPr>
                            <w:tblGrid>
                              <w:gridCol w:w="431"/>
                              <w:gridCol w:w="5116"/>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29"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73" descr=""/>
                                                <pic:cNvPicPr>
                                                  <a:picLocks noChangeAspect="1" noChangeArrowheads="1"/>
                                                </pic:cNvPicPr>
                                              </pic:nvPicPr>
                                              <pic:blipFill>
                                                <a:blip r:embed="rId175"/>
                                                <a:stretch>
                                                  <a:fillRect/>
                                                </a:stretch>
                                              </pic:blipFill>
                                              <pic:spPr bwMode="auto">
                                                <a:xfrm>
                                                  <a:off x="0" y="0"/>
                                                  <a:ext cx="171450" cy="171450"/>
                                                </a:xfrm>
                                                <a:prstGeom prst="rect">
                                                  <a:avLst/>
                                                </a:prstGeom>
                                              </pic:spPr>
                                            </pic:pic>
                                          </a:graphicData>
                                        </a:graphic>
                                      </wp:inline>
                                    </w:drawing>
                                  </w:r>
                                  <w:r>
                                    <w:rPr/>
                                    <w:t xml:space="preserve"> </w:t>
                                  </w:r>
                                </w:p>
                              </w:tc>
                              <w:tc>
                                <w:tcPr>
                                  <w:tcW w:w="5116"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Maintain robust stock ownership guidelines</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CEO and CSO: Shares with a value at least </w:t>
                              <w:br/>
                              <w:t>6x base salary</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Other NEOs: Shares with a value at least </w:t>
                              <w:br/>
                              <w:t>2x base salary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09.05pt;mso-wrap-distance-left:0pt;mso-wrap-distance-right:0pt;mso-wrap-distance-top:0pt;mso-wrap-distance-bottom:0pt;margin-top:0pt;mso-position-vertical:top;mso-position-vertical-relative:text;margin-left:0pt;mso-position-horizontal:left;mso-position-horizontal-relative:text">
                <v:textbox>
                  <w:txbxContent>
                    <w:tbl>
                      <w:tblPr>
                        <w:tblW w:w="5547" w:type="dxa"/>
                        <w:jc w:val="left"/>
                        <w:tblInd w:w="0" w:type="dxa"/>
                        <w:tblCellMar>
                          <w:top w:w="28" w:type="dxa"/>
                          <w:left w:w="28" w:type="dxa"/>
                          <w:bottom w:w="28" w:type="dxa"/>
                          <w:right w:w="28" w:type="dxa"/>
                        </w:tblCellMar>
                      </w:tblPr>
                      <w:tblGrid>
                        <w:gridCol w:w="431"/>
                        <w:gridCol w:w="5116"/>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30"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73" descr=""/>
                                          <pic:cNvPicPr>
                                            <a:picLocks noChangeAspect="1" noChangeArrowheads="1"/>
                                          </pic:cNvPicPr>
                                        </pic:nvPicPr>
                                        <pic:blipFill>
                                          <a:blip r:embed="rId175"/>
                                          <a:stretch>
                                            <a:fillRect/>
                                          </a:stretch>
                                        </pic:blipFill>
                                        <pic:spPr bwMode="auto">
                                          <a:xfrm>
                                            <a:off x="0" y="0"/>
                                            <a:ext cx="171450" cy="171450"/>
                                          </a:xfrm>
                                          <a:prstGeom prst="rect">
                                            <a:avLst/>
                                          </a:prstGeom>
                                        </pic:spPr>
                                      </pic:pic>
                                    </a:graphicData>
                                  </a:graphic>
                                </wp:inline>
                              </w:drawing>
                            </w:r>
                            <w:r>
                              <w:rPr/>
                              <w:t xml:space="preserve"> </w:t>
                            </w:r>
                          </w:p>
                        </w:tc>
                        <w:tc>
                          <w:tcPr>
                            <w:tcW w:w="5116"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Maintain robust stock ownership guidelines</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CEO and CSO: Shares with a value at least </w:t>
                        <w:br/>
                        <w:t>6x base salary</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Other NEOs: Shares with a value at least </w:t>
                        <w:br/>
                        <w:t>2x base salary</w:t>
                      </w:r>
                    </w:p>
                  </w:txbxContent>
                </v:textbox>
                <w10:wrap type="square" side="right"/>
              </v:rect>
            </w:pict>
          </mc:Fallback>
        </mc:AlternateContent>
      </w:r>
    </w:p>
    <w:tbl>
      <w:tblPr>
        <w:tblW w:w="255" w:type="dxa"/>
        <w:jc w:val="left"/>
        <w:tblInd w:w="0" w:type="dxa"/>
        <w:tblCellMar>
          <w:top w:w="0" w:type="dxa"/>
          <w:left w:w="0" w:type="dxa"/>
          <w:bottom w:w="28" w:type="dxa"/>
          <w:right w:w="0" w:type="dxa"/>
        </w:tblCellMar>
      </w:tblPr>
      <w:tblGrid>
        <w:gridCol w:w="90"/>
        <w:gridCol w:w="75"/>
        <w:gridCol w:w="90"/>
      </w:tblGrid>
      <w:tr>
        <w:trPr/>
        <w:tc>
          <w:tcPr>
            <w:tcW w:w="90" w:type="dxa"/>
            <w:tcBorders>
              <w:bottom w:val="single" w:sz="12" w:space="0" w:color="245BA7"/>
            </w:tcBorders>
            <w:shd w:fill="auto" w:val="clear"/>
            <w:vAlign w:val="center"/>
          </w:tcPr>
          <w:p>
            <w:pPr>
              <w:pStyle w:val="TableContents"/>
              <w:pBdr/>
              <w:spacing w:before="0" w:after="0"/>
              <w:ind w:left="15" w:right="15" w:hanging="0"/>
              <w:rPr>
                <w:color w:val="245BA7"/>
              </w:rPr>
            </w:pPr>
            <w:r>
              <w:rPr>
                <w:color w:val="245BA7"/>
              </w:rPr>
              <w:t> </w:t>
            </w:r>
          </w:p>
        </w:tc>
        <w:tc>
          <w:tcPr>
            <w:tcW w:w="75" w:type="dxa"/>
            <w:tcBorders/>
            <w:shd w:fill="auto" w:val="clear"/>
            <w:tcMar>
              <w:bottom w:w="0" w:type="dxa"/>
            </w:tcMar>
            <w:vAlign w:val="center"/>
          </w:tcPr>
          <w:p>
            <w:pPr>
              <w:pStyle w:val="TableContents"/>
              <w:pBdr/>
              <w:spacing w:before="0" w:after="0"/>
              <w:ind w:left="15" w:right="15" w:hanging="0"/>
              <w:rPr>
                <w:color w:val="245BA7"/>
              </w:rPr>
            </w:pPr>
            <w:r>
              <w:rPr>
                <w:color w:val="245BA7"/>
              </w:rPr>
              <w:t> </w:t>
            </w:r>
          </w:p>
        </w:tc>
        <w:tc>
          <w:tcPr>
            <w:tcW w:w="90" w:type="dxa"/>
            <w:tcBorders>
              <w:bottom w:val="single" w:sz="12" w:space="0" w:color="245BA7"/>
            </w:tcBorders>
            <w:shd w:fill="auto" w:val="clear"/>
            <w:vAlign w:val="center"/>
          </w:tcPr>
          <w:p>
            <w:pPr>
              <w:pStyle w:val="TableContents"/>
              <w:pBdr/>
              <w:spacing w:before="0" w:after="0"/>
              <w:ind w:left="15" w:right="15" w:hanging="0"/>
              <w:rPr>
                <w:color w:val="245BA7"/>
              </w:rPr>
            </w:pPr>
            <w:r>
              <w:rPr>
                <w:color w:val="245BA7"/>
              </w:rPr>
              <w:t> </w:t>
            </w:r>
          </w:p>
        </w:tc>
      </w:tr>
    </w:tbl>
    <w:p>
      <w:pPr>
        <w:pStyle w:val="TextBody"/>
        <w:pBdr/>
        <w:spacing w:before="0" w:after="210"/>
        <w:ind w:left="0" w:right="0" w:hanging="0"/>
        <w:rPr/>
      </w:pPr>
      <w:r>
        <w:rPr/>
      </w:r>
      <w:r>
        <mc:AlternateContent>
          <mc:Choice Requires="wps">
            <w:drawing>
              <wp:anchor behindDoc="0" distT="0" distB="0" distL="0" distR="0" simplePos="0" locked="0" layoutInCell="1" allowOverlap="1" relativeHeight="6">
                <wp:simplePos x="0" y="0"/>
                <wp:positionH relativeFrom="column">
                  <wp:align>right</wp:align>
                </wp:positionH>
                <wp:positionV relativeFrom="line">
                  <wp:posOffset>635</wp:posOffset>
                </wp:positionV>
                <wp:extent cx="3110230" cy="1538605"/>
                <wp:effectExtent l="0" t="0" r="0" b="0"/>
                <wp:wrapSquare wrapText="largest"/>
                <wp:docPr id="231" name="Frame39"/>
                <a:graphic xmlns:a="http://schemas.openxmlformats.org/drawingml/2006/main">
                  <a:graphicData uri="http://schemas.microsoft.com/office/word/2010/wordprocessingShape">
                    <wps:wsp>
                      <wps:cNvSpPr txBox="1"/>
                      <wps:spPr>
                        <a:xfrm>
                          <a:off x="0" y="0"/>
                          <a:ext cx="3110230" cy="1538605"/>
                        </a:xfrm>
                        <a:prstGeom prst="rect"/>
                      </wps:spPr>
                      <wps:txbx>
                        <w:txbxContent>
                          <w:tbl>
                            <w:tblPr>
                              <w:tblW w:w="10197" w:type="dxa"/>
                              <w:jc w:val="left"/>
                              <w:tblInd w:w="0" w:type="dxa"/>
                              <w:tblCellMar>
                                <w:top w:w="28" w:type="dxa"/>
                                <w:left w:w="28" w:type="dxa"/>
                                <w:bottom w:w="28" w:type="dxa"/>
                                <w:right w:w="28" w:type="dxa"/>
                              </w:tblCellMar>
                            </w:tblPr>
                            <w:tblGrid>
                              <w:gridCol w:w="431"/>
                              <w:gridCol w:w="9766"/>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32"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76" descr=""/>
                                                <pic:cNvPicPr>
                                                  <a:picLocks noChangeAspect="1" noChangeArrowheads="1"/>
                                                </pic:cNvPicPr>
                                              </pic:nvPicPr>
                                              <pic:blipFill>
                                                <a:blip r:embed="rId176"/>
                                                <a:stretch>
                                                  <a:fillRect/>
                                                </a:stretch>
                                              </pic:blipFill>
                                              <pic:spPr bwMode="auto">
                                                <a:xfrm>
                                                  <a:off x="0" y="0"/>
                                                  <a:ext cx="171450" cy="171450"/>
                                                </a:xfrm>
                                                <a:prstGeom prst="rect">
                                                  <a:avLst/>
                                                </a:prstGeom>
                                              </pic:spPr>
                                            </pic:pic>
                                          </a:graphicData>
                                        </a:graphic>
                                      </wp:inline>
                                    </w:drawing>
                                  </w:r>
                                  <w:r>
                                    <w:rPr/>
                                    <w:t xml:space="preserve"> </w:t>
                                  </w:r>
                                </w:p>
                              </w:tc>
                              <w:tc>
                                <w:tcPr>
                                  <w:tcW w:w="9766"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Actively and regularly engage with shareholders on executive compensation matters</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Robust engagement program in the last decade</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In 2022, reached out to shareholders collectively representing over 60% of public shares and held one-on-one discussions with shareholders representing approximately 50% of public shares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21.15pt;mso-wrap-distance-left:0pt;mso-wrap-distance-right:0pt;mso-wrap-distance-top:0pt;mso-wrap-distance-bottom:0pt;margin-top:0pt;mso-position-vertical:top;mso-position-vertical-relative:text;margin-left:265.35pt;mso-position-horizontal:right;mso-position-horizontal-relative:text">
                <v:textbox>
                  <w:txbxContent>
                    <w:tbl>
                      <w:tblPr>
                        <w:tblW w:w="10197" w:type="dxa"/>
                        <w:jc w:val="left"/>
                        <w:tblInd w:w="0" w:type="dxa"/>
                        <w:tblCellMar>
                          <w:top w:w="28" w:type="dxa"/>
                          <w:left w:w="28" w:type="dxa"/>
                          <w:bottom w:w="28" w:type="dxa"/>
                          <w:right w:w="28" w:type="dxa"/>
                        </w:tblCellMar>
                      </w:tblPr>
                      <w:tblGrid>
                        <w:gridCol w:w="431"/>
                        <w:gridCol w:w="9766"/>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33"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76" descr=""/>
                                          <pic:cNvPicPr>
                                            <a:picLocks noChangeAspect="1" noChangeArrowheads="1"/>
                                          </pic:cNvPicPr>
                                        </pic:nvPicPr>
                                        <pic:blipFill>
                                          <a:blip r:embed="rId176"/>
                                          <a:stretch>
                                            <a:fillRect/>
                                          </a:stretch>
                                        </pic:blipFill>
                                        <pic:spPr bwMode="auto">
                                          <a:xfrm>
                                            <a:off x="0" y="0"/>
                                            <a:ext cx="171450" cy="171450"/>
                                          </a:xfrm>
                                          <a:prstGeom prst="rect">
                                            <a:avLst/>
                                          </a:prstGeom>
                                        </pic:spPr>
                                      </pic:pic>
                                    </a:graphicData>
                                  </a:graphic>
                                </wp:inline>
                              </w:drawing>
                            </w:r>
                            <w:r>
                              <w:rPr/>
                              <w:t xml:space="preserve"> </w:t>
                            </w:r>
                          </w:p>
                        </w:tc>
                        <w:tc>
                          <w:tcPr>
                            <w:tcW w:w="9766"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Actively and regularly engage with shareholders on executive compensation matters</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Robust engagement program in the last decade</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In 2022, reached out to shareholders collectively representing over 60% of public shares and held one-on-one discussions with shareholders representing approximately 50% of public shares</w:t>
                      </w:r>
                    </w:p>
                  </w:txbxContent>
                </v:textbox>
                <w10:wrap type="square" side="left"/>
              </v:rect>
            </w:pict>
          </mc:Fallback>
        </mc:AlternateConten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10230" cy="902335"/>
                <wp:effectExtent l="0" t="0" r="0" b="0"/>
                <wp:wrapSquare wrapText="largest"/>
                <wp:docPr id="234" name="Frame38"/>
                <a:graphic xmlns:a="http://schemas.openxmlformats.org/drawingml/2006/main">
                  <a:graphicData uri="http://schemas.microsoft.com/office/word/2010/wordprocessingShape">
                    <wps:wsp>
                      <wps:cNvSpPr txBox="1"/>
                      <wps:spPr>
                        <a:xfrm>
                          <a:off x="0" y="0"/>
                          <a:ext cx="3110230" cy="902335"/>
                        </a:xfrm>
                        <a:prstGeom prst="rect"/>
                      </wps:spPr>
                      <wps:txbx>
                        <w:txbxContent>
                          <w:tbl>
                            <w:tblPr>
                              <w:tblW w:w="3432" w:type="dxa"/>
                              <w:jc w:val="left"/>
                              <w:tblInd w:w="0" w:type="dxa"/>
                              <w:tblCellMar>
                                <w:top w:w="28" w:type="dxa"/>
                                <w:left w:w="28" w:type="dxa"/>
                                <w:bottom w:w="28" w:type="dxa"/>
                                <w:right w:w="28" w:type="dxa"/>
                              </w:tblCellMar>
                            </w:tblPr>
                            <w:tblGrid>
                              <w:gridCol w:w="431"/>
                              <w:gridCol w:w="3001"/>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3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75" descr=""/>
                                                <pic:cNvPicPr>
                                                  <a:picLocks noChangeAspect="1" noChangeArrowheads="1"/>
                                                </pic:cNvPicPr>
                                              </pic:nvPicPr>
                                              <pic:blipFill>
                                                <a:blip r:embed="rId177"/>
                                                <a:stretch>
                                                  <a:fillRect/>
                                                </a:stretch>
                                              </pic:blipFill>
                                              <pic:spPr bwMode="auto">
                                                <a:xfrm>
                                                  <a:off x="0" y="0"/>
                                                  <a:ext cx="171450" cy="171450"/>
                                                </a:xfrm>
                                                <a:prstGeom prst="rect">
                                                  <a:avLst/>
                                                </a:prstGeom>
                                              </pic:spPr>
                                            </pic:pic>
                                          </a:graphicData>
                                        </a:graphic>
                                      </wp:inline>
                                    </w:drawing>
                                  </w:r>
                                  <w:r>
                                    <w:rPr/>
                                    <w:t xml:space="preserve"> </w:t>
                                  </w:r>
                                </w:p>
                              </w:tc>
                              <w:tc>
                                <w:tcPr>
                                  <w:tcW w:w="3001"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Annual say-on-pay votes</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Say-on-pay votes now held annually in recognition of shareholder feedback and preference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1.05pt;mso-wrap-distance-left:0pt;mso-wrap-distance-right:0pt;mso-wrap-distance-top:0pt;mso-wrap-distance-bottom:0pt;margin-top:0pt;mso-position-vertical:top;mso-position-vertical-relative:text;margin-left:0pt;mso-position-horizontal:left;mso-position-horizontal-relative:text">
                <v:textbox>
                  <w:txbxContent>
                    <w:tbl>
                      <w:tblPr>
                        <w:tblW w:w="3432" w:type="dxa"/>
                        <w:jc w:val="left"/>
                        <w:tblInd w:w="0" w:type="dxa"/>
                        <w:tblCellMar>
                          <w:top w:w="28" w:type="dxa"/>
                          <w:left w:w="28" w:type="dxa"/>
                          <w:bottom w:w="28" w:type="dxa"/>
                          <w:right w:w="28" w:type="dxa"/>
                        </w:tblCellMar>
                      </w:tblPr>
                      <w:tblGrid>
                        <w:gridCol w:w="431"/>
                        <w:gridCol w:w="3001"/>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36"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75" descr=""/>
                                          <pic:cNvPicPr>
                                            <a:picLocks noChangeAspect="1" noChangeArrowheads="1"/>
                                          </pic:cNvPicPr>
                                        </pic:nvPicPr>
                                        <pic:blipFill>
                                          <a:blip r:embed="rId177"/>
                                          <a:stretch>
                                            <a:fillRect/>
                                          </a:stretch>
                                        </pic:blipFill>
                                        <pic:spPr bwMode="auto">
                                          <a:xfrm>
                                            <a:off x="0" y="0"/>
                                            <a:ext cx="171450" cy="171450"/>
                                          </a:xfrm>
                                          <a:prstGeom prst="rect">
                                            <a:avLst/>
                                          </a:prstGeom>
                                        </pic:spPr>
                                      </pic:pic>
                                    </a:graphicData>
                                  </a:graphic>
                                </wp:inline>
                              </w:drawing>
                            </w:r>
                            <w:r>
                              <w:rPr/>
                              <w:t xml:space="preserve"> </w:t>
                            </w:r>
                          </w:p>
                        </w:tc>
                        <w:tc>
                          <w:tcPr>
                            <w:tcW w:w="3001"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Annual say-on-pay votes</w:t>
                            </w:r>
                          </w:p>
                        </w:tc>
                      </w:tr>
                    </w:tbl>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Say-on-pay votes now held annually in recognition of shareholder feedback and preference</w:t>
                      </w:r>
                    </w:p>
                  </w:txbxContent>
                </v:textbox>
                <w10:wrap type="square" side="right"/>
              </v:rect>
            </w:pict>
          </mc:Fallback>
        </mc:AlternateContent>
      </w:r>
    </w:p>
    <w:p>
      <w:pPr>
        <w:pStyle w:val="TextBody"/>
        <w:pBdr/>
        <w:spacing w:before="0" w:after="0"/>
        <w:ind w:left="135" w:right="0" w:hanging="0"/>
        <w:rPr>
          <w:rFonts w:ascii="Arial" w:hAnsi="Arial"/>
          <w:b/>
          <w:color w:val="FFFFFF"/>
          <w:sz w:val="30"/>
          <w:highlight w:val="darkBlue"/>
          <w:bdr w:val="single" w:sz="2" w:space="6" w:color="245BA7"/>
        </w:rPr>
      </w:pPr>
      <w:bookmarkStart w:id="115" w:name="new_id-106"/>
      <w:bookmarkEnd w:id="115"/>
      <w:r>
        <w:rPr>
          <w:rFonts w:ascii="Arial" w:hAnsi="Arial"/>
          <w:b/>
          <w:color w:val="FFFFFF"/>
          <w:sz w:val="30"/>
          <w:highlight w:val="darkBlue"/>
          <w:bdr w:val="single" w:sz="2" w:space="6" w:color="245BA7"/>
        </w:rPr>
        <w:t xml:space="preserve">WHAT WE DON’T DO </w:t>
      </w:r>
    </w:p>
    <w:p>
      <w:pPr>
        <w:pStyle w:val="TextBody"/>
        <w:pBdr/>
        <w:spacing w:before="0" w:after="0"/>
        <w:ind w:left="0" w:right="0" w:hanging="0"/>
        <w:rPr/>
      </w:pPr>
      <w:r>
        <w:rPr/>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594995"/>
                <wp:effectExtent l="0" t="0" r="0" b="0"/>
                <wp:wrapSquare wrapText="largest"/>
                <wp:docPr id="237" name="Frame40"/>
                <a:graphic xmlns:a="http://schemas.openxmlformats.org/drawingml/2006/main">
                  <a:graphicData uri="http://schemas.microsoft.com/office/word/2010/wordprocessingShape">
                    <wps:wsp>
                      <wps:cNvSpPr txBox="1"/>
                      <wps:spPr>
                        <a:xfrm>
                          <a:off x="0" y="0"/>
                          <a:ext cx="3110230" cy="594995"/>
                        </a:xfrm>
                        <a:prstGeom prst="rect"/>
                      </wps:spPr>
                      <wps:txbx>
                        <w:txbxContent>
                          <w:tbl>
                            <w:tblPr>
                              <w:tblW w:w="4572" w:type="dxa"/>
                              <w:jc w:val="left"/>
                              <w:tblInd w:w="0" w:type="dxa"/>
                              <w:tblCellMar>
                                <w:top w:w="28" w:type="dxa"/>
                                <w:left w:w="28" w:type="dxa"/>
                                <w:bottom w:w="28" w:type="dxa"/>
                                <w:right w:w="28" w:type="dxa"/>
                              </w:tblCellMar>
                            </w:tblPr>
                            <w:tblGrid>
                              <w:gridCol w:w="431"/>
                              <w:gridCol w:w="4141"/>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38"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77" descr=""/>
                                                <pic:cNvPicPr>
                                                  <a:picLocks noChangeAspect="1" noChangeArrowheads="1"/>
                                                </pic:cNvPicPr>
                                              </pic:nvPicPr>
                                              <pic:blipFill>
                                                <a:blip r:embed="rId178"/>
                                                <a:stretch>
                                                  <a:fillRect/>
                                                </a:stretch>
                                              </pic:blipFill>
                                              <pic:spPr bwMode="auto">
                                                <a:xfrm>
                                                  <a:off x="0" y="0"/>
                                                  <a:ext cx="171450" cy="171450"/>
                                                </a:xfrm>
                                                <a:prstGeom prst="rect">
                                                  <a:avLst/>
                                                </a:prstGeom>
                                              </pic:spPr>
                                            </pic:pic>
                                          </a:graphicData>
                                        </a:graphic>
                                      </wp:inline>
                                    </w:drawing>
                                  </w:r>
                                  <w:r>
                                    <w:rPr/>
                                    <w:t xml:space="preserve"> </w:t>
                                  </w:r>
                                </w:p>
                              </w:tc>
                              <w:tc>
                                <w:tcPr>
                                  <w:tcW w:w="4141"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Reprice or exchange stock options</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4572" w:type="dxa"/>
                        <w:jc w:val="left"/>
                        <w:tblInd w:w="0" w:type="dxa"/>
                        <w:tblCellMar>
                          <w:top w:w="28" w:type="dxa"/>
                          <w:left w:w="28" w:type="dxa"/>
                          <w:bottom w:w="28" w:type="dxa"/>
                          <w:right w:w="28" w:type="dxa"/>
                        </w:tblCellMar>
                      </w:tblPr>
                      <w:tblGrid>
                        <w:gridCol w:w="431"/>
                        <w:gridCol w:w="4141"/>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39"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77" descr=""/>
                                          <pic:cNvPicPr>
                                            <a:picLocks noChangeAspect="1" noChangeArrowheads="1"/>
                                          </pic:cNvPicPr>
                                        </pic:nvPicPr>
                                        <pic:blipFill>
                                          <a:blip r:embed="rId178"/>
                                          <a:stretch>
                                            <a:fillRect/>
                                          </a:stretch>
                                        </pic:blipFill>
                                        <pic:spPr bwMode="auto">
                                          <a:xfrm>
                                            <a:off x="0" y="0"/>
                                            <a:ext cx="171450" cy="171450"/>
                                          </a:xfrm>
                                          <a:prstGeom prst="rect">
                                            <a:avLst/>
                                          </a:prstGeom>
                                        </pic:spPr>
                                      </pic:pic>
                                    </a:graphicData>
                                  </a:graphic>
                                </wp:inline>
                              </w:drawing>
                            </w:r>
                            <w:r>
                              <w:rPr/>
                              <w:t xml:space="preserve"> </w:t>
                            </w:r>
                          </w:p>
                        </w:tc>
                        <w:tc>
                          <w:tcPr>
                            <w:tcW w:w="4141"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Reprice or exchange stock options</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2">
                <wp:simplePos x="0" y="0"/>
                <wp:positionH relativeFrom="column">
                  <wp:align>right</wp:align>
                </wp:positionH>
                <wp:positionV relativeFrom="line">
                  <wp:posOffset>635</wp:posOffset>
                </wp:positionV>
                <wp:extent cx="3110230" cy="594995"/>
                <wp:effectExtent l="0" t="0" r="0" b="0"/>
                <wp:wrapSquare wrapText="largest"/>
                <wp:docPr id="240" name="Frame41"/>
                <a:graphic xmlns:a="http://schemas.openxmlformats.org/drawingml/2006/main">
                  <a:graphicData uri="http://schemas.microsoft.com/office/word/2010/wordprocessingShape">
                    <wps:wsp>
                      <wps:cNvSpPr txBox="1"/>
                      <wps:spPr>
                        <a:xfrm>
                          <a:off x="0" y="0"/>
                          <a:ext cx="3110230" cy="594995"/>
                        </a:xfrm>
                        <a:prstGeom prst="rect"/>
                      </wps:spPr>
                      <wps:txbx>
                        <w:txbxContent>
                          <w:tbl>
                            <w:tblPr>
                              <w:tblW w:w="9507" w:type="dxa"/>
                              <w:jc w:val="left"/>
                              <w:tblInd w:w="0" w:type="dxa"/>
                              <w:tblCellMar>
                                <w:top w:w="28" w:type="dxa"/>
                                <w:left w:w="28" w:type="dxa"/>
                                <w:bottom w:w="28" w:type="dxa"/>
                                <w:right w:w="28" w:type="dxa"/>
                              </w:tblCellMar>
                            </w:tblPr>
                            <w:tblGrid>
                              <w:gridCol w:w="431"/>
                              <w:gridCol w:w="9076"/>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4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78" descr=""/>
                                                <pic:cNvPicPr>
                                                  <a:picLocks noChangeAspect="1" noChangeArrowheads="1"/>
                                                </pic:cNvPicPr>
                                              </pic:nvPicPr>
                                              <pic:blipFill>
                                                <a:blip r:embed="rId179"/>
                                                <a:stretch>
                                                  <a:fillRect/>
                                                </a:stretch>
                                              </pic:blipFill>
                                              <pic:spPr bwMode="auto">
                                                <a:xfrm>
                                                  <a:off x="0" y="0"/>
                                                  <a:ext cx="171450" cy="171450"/>
                                                </a:xfrm>
                                                <a:prstGeom prst="rect">
                                                  <a:avLst/>
                                                </a:prstGeom>
                                              </pic:spPr>
                                            </pic:pic>
                                          </a:graphicData>
                                        </a:graphic>
                                      </wp:inline>
                                    </w:drawing>
                                  </w:r>
                                  <w:r>
                                    <w:rPr/>
                                    <w:t xml:space="preserve"> </w:t>
                                  </w:r>
                                </w:p>
                              </w:tc>
                              <w:tc>
                                <w:tcPr>
                                  <w:tcW w:w="9076"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Provide excise tax gross-ups in any new compensation plans or arrangements</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85pt;mso-wrap-distance-left:0pt;mso-wrap-distance-right:0pt;mso-wrap-distance-top:0pt;mso-wrap-distance-bottom:0pt;margin-top:0pt;mso-position-vertical:top;mso-position-vertical-relative:text;margin-left:265.35pt;mso-position-horizontal:right;mso-position-horizontal-relative:text">
                <v:textbox>
                  <w:txbxContent>
                    <w:tbl>
                      <w:tblPr>
                        <w:tblW w:w="9507" w:type="dxa"/>
                        <w:jc w:val="left"/>
                        <w:tblInd w:w="0" w:type="dxa"/>
                        <w:tblCellMar>
                          <w:top w:w="28" w:type="dxa"/>
                          <w:left w:w="28" w:type="dxa"/>
                          <w:bottom w:w="28" w:type="dxa"/>
                          <w:right w:w="28" w:type="dxa"/>
                        </w:tblCellMar>
                      </w:tblPr>
                      <w:tblGrid>
                        <w:gridCol w:w="431"/>
                        <w:gridCol w:w="9076"/>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4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78" descr=""/>
                                          <pic:cNvPicPr>
                                            <a:picLocks noChangeAspect="1" noChangeArrowheads="1"/>
                                          </pic:cNvPicPr>
                                        </pic:nvPicPr>
                                        <pic:blipFill>
                                          <a:blip r:embed="rId179"/>
                                          <a:stretch>
                                            <a:fillRect/>
                                          </a:stretch>
                                        </pic:blipFill>
                                        <pic:spPr bwMode="auto">
                                          <a:xfrm>
                                            <a:off x="0" y="0"/>
                                            <a:ext cx="171450" cy="171450"/>
                                          </a:xfrm>
                                          <a:prstGeom prst="rect">
                                            <a:avLst/>
                                          </a:prstGeom>
                                        </pic:spPr>
                                      </pic:pic>
                                    </a:graphicData>
                                  </a:graphic>
                                </wp:inline>
                              </w:drawing>
                            </w:r>
                            <w:r>
                              <w:rPr/>
                              <w:t xml:space="preserve"> </w:t>
                            </w:r>
                          </w:p>
                        </w:tc>
                        <w:tc>
                          <w:tcPr>
                            <w:tcW w:w="9076"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Provide excise tax gross-ups in any new compensation plans or arrangements</w:t>
                            </w:r>
                          </w:p>
                        </w:tc>
                      </w:tr>
                    </w:tbl>
                    <w:p>
                      <w:pPr>
                        <w:pStyle w:val="TextBody"/>
                        <w:spacing w:before="0" w:after="283"/>
                        <w:rPr/>
                      </w:pPr>
                      <w:r>
                        <w:rPr/>
                      </w:r>
                    </w:p>
                  </w:txbxContent>
                </v:textbox>
                <w10:wrap type="square" side="left"/>
              </v:rect>
            </w:pict>
          </mc:Fallback>
        </mc:AlternateContent>
      </w:r>
    </w:p>
    <w:tbl>
      <w:tblPr>
        <w:tblW w:w="255" w:type="dxa"/>
        <w:jc w:val="left"/>
        <w:tblInd w:w="0" w:type="dxa"/>
        <w:tblCellMar>
          <w:top w:w="0" w:type="dxa"/>
          <w:left w:w="0" w:type="dxa"/>
          <w:bottom w:w="28" w:type="dxa"/>
          <w:right w:w="0" w:type="dxa"/>
        </w:tblCellMar>
      </w:tblPr>
      <w:tblGrid>
        <w:gridCol w:w="90"/>
        <w:gridCol w:w="75"/>
        <w:gridCol w:w="90"/>
      </w:tblGrid>
      <w:tr>
        <w:trPr/>
        <w:tc>
          <w:tcPr>
            <w:tcW w:w="90" w:type="dxa"/>
            <w:tcBorders>
              <w:bottom w:val="single" w:sz="12" w:space="0" w:color="245BA7"/>
            </w:tcBorders>
            <w:shd w:fill="auto" w:val="clear"/>
            <w:vAlign w:val="center"/>
          </w:tcPr>
          <w:p>
            <w:pPr>
              <w:pStyle w:val="TableContents"/>
              <w:pBdr/>
              <w:spacing w:before="0" w:after="0"/>
              <w:ind w:left="15" w:right="15" w:hanging="0"/>
              <w:rPr>
                <w:color w:val="245BA7"/>
              </w:rPr>
            </w:pPr>
            <w:r>
              <w:rPr>
                <w:color w:val="245BA7"/>
              </w:rPr>
              <w:t> </w:t>
            </w:r>
          </w:p>
        </w:tc>
        <w:tc>
          <w:tcPr>
            <w:tcW w:w="75" w:type="dxa"/>
            <w:tcBorders/>
            <w:shd w:fill="auto" w:val="clear"/>
            <w:tcMar>
              <w:bottom w:w="0" w:type="dxa"/>
            </w:tcMar>
            <w:vAlign w:val="center"/>
          </w:tcPr>
          <w:p>
            <w:pPr>
              <w:pStyle w:val="TableContents"/>
              <w:pBdr/>
              <w:spacing w:before="0" w:after="0"/>
              <w:ind w:left="15" w:right="15" w:hanging="0"/>
              <w:rPr>
                <w:color w:val="245BA7"/>
              </w:rPr>
            </w:pPr>
            <w:r>
              <w:rPr>
                <w:color w:val="245BA7"/>
              </w:rPr>
              <w:t> </w:t>
            </w:r>
          </w:p>
        </w:tc>
        <w:tc>
          <w:tcPr>
            <w:tcW w:w="90" w:type="dxa"/>
            <w:tcBorders>
              <w:bottom w:val="single" w:sz="12" w:space="0" w:color="245BA7"/>
            </w:tcBorders>
            <w:shd w:fill="auto" w:val="clear"/>
            <w:vAlign w:val="center"/>
          </w:tcPr>
          <w:p>
            <w:pPr>
              <w:pStyle w:val="TableContents"/>
              <w:pBdr/>
              <w:spacing w:before="0" w:after="0"/>
              <w:ind w:left="15" w:right="15" w:hanging="0"/>
              <w:rPr>
                <w:color w:val="245BA7"/>
              </w:rPr>
            </w:pPr>
            <w:r>
              <w:rPr>
                <w:color w:val="245BA7"/>
              </w:rPr>
              <w:t> </w:t>
            </w:r>
          </w:p>
        </w:tc>
      </w:tr>
    </w:tbl>
    <w:p>
      <w:pPr>
        <w:pStyle w:val="TextBody"/>
        <w:pBdr/>
        <w:spacing w:before="0" w:after="0"/>
        <w:ind w:left="0" w:right="0" w:hanging="0"/>
        <w:rPr/>
      </w:pPr>
      <w:r>
        <w:rPr/>
      </w:r>
      <w:r>
        <mc:AlternateContent>
          <mc:Choice Requires="wps">
            <w:drawing>
              <wp:anchor behindDoc="0" distT="0" distB="0" distL="0" distR="0" simplePos="0" locked="0" layoutInCell="1" allowOverlap="1" relativeHeight="54">
                <wp:simplePos x="0" y="0"/>
                <wp:positionH relativeFrom="column">
                  <wp:align>right</wp:align>
                </wp:positionH>
                <wp:positionV relativeFrom="line">
                  <wp:posOffset>635</wp:posOffset>
                </wp:positionV>
                <wp:extent cx="3110230" cy="594995"/>
                <wp:effectExtent l="0" t="0" r="0" b="0"/>
                <wp:wrapSquare wrapText="largest"/>
                <wp:docPr id="243" name="Frame43"/>
                <a:graphic xmlns:a="http://schemas.openxmlformats.org/drawingml/2006/main">
                  <a:graphicData uri="http://schemas.microsoft.com/office/word/2010/wordprocessingShape">
                    <wps:wsp>
                      <wps:cNvSpPr txBox="1"/>
                      <wps:spPr>
                        <a:xfrm>
                          <a:off x="0" y="0"/>
                          <a:ext cx="3110230" cy="594995"/>
                        </a:xfrm>
                        <a:prstGeom prst="rect"/>
                      </wps:spPr>
                      <wps:txbx>
                        <w:txbxContent>
                          <w:tbl>
                            <w:tblPr>
                              <w:tblW w:w="5037" w:type="dxa"/>
                              <w:jc w:val="left"/>
                              <w:tblInd w:w="0" w:type="dxa"/>
                              <w:tblCellMar>
                                <w:top w:w="28" w:type="dxa"/>
                                <w:left w:w="28" w:type="dxa"/>
                                <w:bottom w:w="28" w:type="dxa"/>
                                <w:right w:w="28" w:type="dxa"/>
                              </w:tblCellMar>
                            </w:tblPr>
                            <w:tblGrid>
                              <w:gridCol w:w="431"/>
                              <w:gridCol w:w="4606"/>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4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80" descr=""/>
                                                <pic:cNvPicPr>
                                                  <a:picLocks noChangeAspect="1" noChangeArrowheads="1"/>
                                                </pic:cNvPicPr>
                                              </pic:nvPicPr>
                                              <pic:blipFill>
                                                <a:blip r:embed="rId180"/>
                                                <a:stretch>
                                                  <a:fillRect/>
                                                </a:stretch>
                                              </pic:blipFill>
                                              <pic:spPr bwMode="auto">
                                                <a:xfrm>
                                                  <a:off x="0" y="0"/>
                                                  <a:ext cx="171450" cy="171450"/>
                                                </a:xfrm>
                                                <a:prstGeom prst="rect">
                                                  <a:avLst/>
                                                </a:prstGeom>
                                              </pic:spPr>
                                            </pic:pic>
                                          </a:graphicData>
                                        </a:graphic>
                                      </wp:inline>
                                    </w:drawing>
                                  </w:r>
                                  <w:r>
                                    <w:rPr/>
                                    <w:t xml:space="preserve"> </w:t>
                                  </w:r>
                                </w:p>
                              </w:tc>
                              <w:tc>
                                <w:tcPr>
                                  <w:tcW w:w="4606"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Allow hedging or pledging of securities</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85pt;mso-wrap-distance-left:0pt;mso-wrap-distance-right:0pt;mso-wrap-distance-top:0pt;mso-wrap-distance-bottom:0pt;margin-top:0pt;mso-position-vertical:top;mso-position-vertical-relative:text;margin-left:20.4pt;mso-position-horizontal:right;mso-position-horizontal-relative:text">
                <v:textbox>
                  <w:txbxContent>
                    <w:tbl>
                      <w:tblPr>
                        <w:tblW w:w="5037" w:type="dxa"/>
                        <w:jc w:val="left"/>
                        <w:tblInd w:w="0" w:type="dxa"/>
                        <w:tblCellMar>
                          <w:top w:w="28" w:type="dxa"/>
                          <w:left w:w="28" w:type="dxa"/>
                          <w:bottom w:w="28" w:type="dxa"/>
                          <w:right w:w="28" w:type="dxa"/>
                        </w:tblCellMar>
                      </w:tblPr>
                      <w:tblGrid>
                        <w:gridCol w:w="431"/>
                        <w:gridCol w:w="4606"/>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45"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80" descr=""/>
                                          <pic:cNvPicPr>
                                            <a:picLocks noChangeAspect="1" noChangeArrowheads="1"/>
                                          </pic:cNvPicPr>
                                        </pic:nvPicPr>
                                        <pic:blipFill>
                                          <a:blip r:embed="rId180"/>
                                          <a:stretch>
                                            <a:fillRect/>
                                          </a:stretch>
                                        </pic:blipFill>
                                        <pic:spPr bwMode="auto">
                                          <a:xfrm>
                                            <a:off x="0" y="0"/>
                                            <a:ext cx="171450" cy="171450"/>
                                          </a:xfrm>
                                          <a:prstGeom prst="rect">
                                            <a:avLst/>
                                          </a:prstGeom>
                                        </pic:spPr>
                                      </pic:pic>
                                    </a:graphicData>
                                  </a:graphic>
                                </wp:inline>
                              </w:drawing>
                            </w:r>
                            <w:r>
                              <w:rPr/>
                              <w:t xml:space="preserve"> </w:t>
                            </w:r>
                          </w:p>
                        </w:tc>
                        <w:tc>
                          <w:tcPr>
                            <w:tcW w:w="4606"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Allow hedging or pledging of securities</w:t>
                            </w:r>
                          </w:p>
                        </w:tc>
                      </w:tr>
                    </w:tbl>
                    <w:p>
                      <w:pPr>
                        <w:pStyle w:val="TextBody"/>
                        <w:spacing w:before="0" w:after="283"/>
                        <w:rPr/>
                      </w:pPr>
                      <w:r>
                        <w:rPr/>
                      </w:r>
                    </w:p>
                  </w:txbxContent>
                </v:textbox>
                <w10:wrap type="square" side="left"/>
              </v:rect>
            </w:pict>
          </mc:Fallback>
        </mc:AlternateConten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3110230" cy="594995"/>
                <wp:effectExtent l="0" t="0" r="0" b="0"/>
                <wp:wrapSquare wrapText="largest"/>
                <wp:docPr id="246" name="Frame42"/>
                <a:graphic xmlns:a="http://schemas.openxmlformats.org/drawingml/2006/main">
                  <a:graphicData uri="http://schemas.microsoft.com/office/word/2010/wordprocessingShape">
                    <wps:wsp>
                      <wps:cNvSpPr txBox="1"/>
                      <wps:spPr>
                        <a:xfrm>
                          <a:off x="0" y="0"/>
                          <a:ext cx="3110230" cy="594995"/>
                        </a:xfrm>
                        <a:prstGeom prst="rect"/>
                      </wps:spPr>
                      <wps:txbx>
                        <w:txbxContent>
                          <w:tbl>
                            <w:tblPr>
                              <w:tblW w:w="4002" w:type="dxa"/>
                              <w:jc w:val="left"/>
                              <w:tblInd w:w="0" w:type="dxa"/>
                              <w:tblCellMar>
                                <w:top w:w="28" w:type="dxa"/>
                                <w:left w:w="28" w:type="dxa"/>
                                <w:bottom w:w="28" w:type="dxa"/>
                                <w:right w:w="28" w:type="dxa"/>
                              </w:tblCellMar>
                            </w:tblPr>
                            <w:tblGrid>
                              <w:gridCol w:w="431"/>
                              <w:gridCol w:w="3571"/>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47"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79" descr=""/>
                                                <pic:cNvPicPr>
                                                  <a:picLocks noChangeAspect="1" noChangeArrowheads="1"/>
                                                </pic:cNvPicPr>
                                              </pic:nvPicPr>
                                              <pic:blipFill>
                                                <a:blip r:embed="rId181"/>
                                                <a:stretch>
                                                  <a:fillRect/>
                                                </a:stretch>
                                              </pic:blipFill>
                                              <pic:spPr bwMode="auto">
                                                <a:xfrm>
                                                  <a:off x="0" y="0"/>
                                                  <a:ext cx="171450" cy="171450"/>
                                                </a:xfrm>
                                                <a:prstGeom prst="rect">
                                                  <a:avLst/>
                                                </a:prstGeom>
                                              </pic:spPr>
                                            </pic:pic>
                                          </a:graphicData>
                                        </a:graphic>
                                      </wp:inline>
                                    </w:drawing>
                                  </w:r>
                                  <w:r>
                                    <w:rPr/>
                                    <w:t xml:space="preserve"> </w:t>
                                  </w:r>
                                </w:p>
                              </w:tc>
                              <w:tc>
                                <w:tcPr>
                                  <w:tcW w:w="3571"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Provide excessive perquisites</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85pt;mso-wrap-distance-left:0pt;mso-wrap-distance-right:0pt;mso-wrap-distance-top:0pt;mso-wrap-distance-bottom:0pt;margin-top:0pt;mso-position-vertical:top;mso-position-vertical-relative:text;margin-left:244.9pt;mso-position-horizontal:left;mso-position-horizontal-relative:text">
                <v:textbox>
                  <w:txbxContent>
                    <w:tbl>
                      <w:tblPr>
                        <w:tblW w:w="4002" w:type="dxa"/>
                        <w:jc w:val="left"/>
                        <w:tblInd w:w="0" w:type="dxa"/>
                        <w:tblCellMar>
                          <w:top w:w="28" w:type="dxa"/>
                          <w:left w:w="28" w:type="dxa"/>
                          <w:bottom w:w="28" w:type="dxa"/>
                          <w:right w:w="28" w:type="dxa"/>
                        </w:tblCellMar>
                      </w:tblPr>
                      <w:tblGrid>
                        <w:gridCol w:w="431"/>
                        <w:gridCol w:w="3571"/>
                      </w:tblGrid>
                      <w:tr>
                        <w:trPr/>
                        <w:tc>
                          <w:tcPr>
                            <w:tcW w:w="431" w:type="dxa"/>
                            <w:tcBorders/>
                            <w:shd w:fill="auto" w:val="clear"/>
                            <w:vAlign w:val="center"/>
                          </w:tcPr>
                          <w:p>
                            <w:pPr>
                              <w:pStyle w:val="TableContents"/>
                              <w:spacing w:before="0" w:after="283"/>
                              <w:jc w:val="left"/>
                              <w:rPr/>
                            </w:pPr>
                            <w:r>
                              <w:rPr/>
                              <w:drawing>
                                <wp:inline distT="0" distB="0" distL="0" distR="0">
                                  <wp:extent cx="171450" cy="171450"/>
                                  <wp:effectExtent l="0" t="0" r="0" b="0"/>
                                  <wp:docPr id="248"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79" descr=""/>
                                          <pic:cNvPicPr>
                                            <a:picLocks noChangeAspect="1" noChangeArrowheads="1"/>
                                          </pic:cNvPicPr>
                                        </pic:nvPicPr>
                                        <pic:blipFill>
                                          <a:blip r:embed="rId181"/>
                                          <a:stretch>
                                            <a:fillRect/>
                                          </a:stretch>
                                        </pic:blipFill>
                                        <pic:spPr bwMode="auto">
                                          <a:xfrm>
                                            <a:off x="0" y="0"/>
                                            <a:ext cx="171450" cy="171450"/>
                                          </a:xfrm>
                                          <a:prstGeom prst="rect">
                                            <a:avLst/>
                                          </a:prstGeom>
                                        </pic:spPr>
                                      </pic:pic>
                                    </a:graphicData>
                                  </a:graphic>
                                </wp:inline>
                              </w:drawing>
                            </w:r>
                            <w:r>
                              <w:rPr/>
                              <w:t xml:space="preserve"> </w:t>
                            </w:r>
                          </w:p>
                        </w:tc>
                        <w:tc>
                          <w:tcPr>
                            <w:tcW w:w="3571" w:type="dxa"/>
                            <w:tcBorders/>
                            <w:shd w:fill="auto" w:val="clear"/>
                            <w:vAlign w:val="center"/>
                          </w:tcPr>
                          <w:p>
                            <w:pPr>
                              <w:pStyle w:val="TableContents"/>
                              <w:pBdr/>
                              <w:spacing w:before="0" w:after="60"/>
                              <w:ind w:left="0" w:right="0" w:hanging="0"/>
                              <w:rPr>
                                <w:rFonts w:ascii="Arial" w:hAnsi="Arial"/>
                                <w:b/>
                                <w:color w:val="D31B5D"/>
                                <w:sz w:val="24"/>
                              </w:rPr>
                            </w:pPr>
                            <w:r>
                              <w:rPr>
                                <w:rFonts w:ascii="Arial" w:hAnsi="Arial"/>
                                <w:b/>
                                <w:color w:val="D31B5D"/>
                                <w:sz w:val="24"/>
                              </w:rPr>
                              <w:t>Provide excessive perquisites</w:t>
                            </w:r>
                          </w:p>
                        </w:tc>
                      </w:tr>
                    </w:tbl>
                    <w:p>
                      <w:pPr>
                        <w:pStyle w:val="TextBody"/>
                        <w:spacing w:before="0" w:after="283"/>
                        <w:rPr/>
                      </w:pPr>
                      <w:r>
                        <w:rPr/>
                      </w:r>
                    </w:p>
                  </w:txbxContent>
                </v:textbox>
                <w10:wrap type="square" side="right"/>
              </v:rect>
            </w:pict>
          </mc:Fallback>
        </mc:AlternateConten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49"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81" descr=""/>
                          <pic:cNvPicPr>
                            <a:picLocks noChangeAspect="1" noChangeArrowheads="1"/>
                          </pic:cNvPicPr>
                        </pic:nvPicPr>
                        <pic:blipFill>
                          <a:blip r:embed="rId182"/>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60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2"/>
        <w:pBdr/>
        <w:spacing w:before="0" w:after="120"/>
        <w:ind w:left="0" w:right="0" w:hanging="0"/>
        <w:rPr>
          <w:rFonts w:ascii="Arial" w:hAnsi="Arial"/>
          <w:b/>
          <w:i w:val="false"/>
          <w:caps w:val="false"/>
          <w:smallCaps w:val="false"/>
          <w:color w:val="245BA7"/>
          <w:sz w:val="47"/>
        </w:rPr>
      </w:pPr>
      <w:bookmarkStart w:id="116" w:name="new_id-107"/>
      <w:bookmarkEnd w:id="116"/>
      <w:r>
        <w:rPr>
          <w:rFonts w:ascii="Arial" w:hAnsi="Arial"/>
          <w:b/>
          <w:i w:val="false"/>
          <w:caps w:val="false"/>
          <w:smallCaps w:val="false"/>
          <w:color w:val="245BA7"/>
          <w:sz w:val="47"/>
        </w:rPr>
        <w:t xml:space="preserve">COMPENSATION PROGRAM OBJECTIVES </w:t>
      </w:r>
    </w:p>
    <w:p>
      <w:pPr>
        <w:pStyle w:val="TextBody"/>
        <w:pBdr/>
        <w:spacing w:before="0" w:after="210"/>
        <w:ind w:left="0" w:right="0" w:hanging="0"/>
        <w:rPr>
          <w:rFonts w:ascii="Arial" w:hAnsi="Arial"/>
          <w:color w:val="000000"/>
          <w:sz w:val="21"/>
        </w:rPr>
      </w:pPr>
      <w:r>
        <w:rPr>
          <w:rFonts w:ascii="Arial" w:hAnsi="Arial"/>
          <w:color w:val="000000"/>
          <w:sz w:val="21"/>
        </w:rPr>
        <w:t>Our executive compensation program is designed to pay for performance, drive the creation of long-term, sustainable shareholder value, deliver compensation that is competitively positioned amongst our peers, encourage a shareholder mindset, and align with the pursuit and achievement of both our short-term and long-term strategic goals. Our pay program must attract and retain talented leaders who can innovate and execute. Managing our business for the long term is core to our culture, as demonstrated by our history of growing through innovation and through a pipeline of internally developed medicines. Further, the compensation program must support the board’s and management’s broader objectives, such as those relating to research and product development; commercialization and access; manufacturing operations; and human capital management, including promotion of a diverse and inclusive workplace.</w:t>
      </w:r>
    </w:p>
    <w:p>
      <w:pPr>
        <w:pStyle w:val="TextBody"/>
        <w:pBdr/>
        <w:spacing w:before="0" w:after="210"/>
        <w:ind w:left="0" w:right="0" w:hanging="0"/>
        <w:rPr>
          <w:rFonts w:ascii="Arial" w:hAnsi="Arial"/>
          <w:color w:val="000000"/>
          <w:sz w:val="21"/>
        </w:rPr>
      </w:pPr>
      <w:r>
        <w:rPr>
          <w:rFonts w:ascii="Arial" w:hAnsi="Arial"/>
          <w:color w:val="000000"/>
          <w:sz w:val="21"/>
        </w:rPr>
        <w:t>We strive to achieve these objectives by considering the following key compensation program tenets when designing and determining appropriate compensation structures:</w:t>
      </w:r>
    </w:p>
    <w:tbl>
      <w:tblPr>
        <w:tblW w:w="10205" w:type="dxa"/>
        <w:jc w:val="left"/>
        <w:tblInd w:w="0" w:type="dxa"/>
        <w:tblCellMar>
          <w:top w:w="75" w:type="dxa"/>
          <w:left w:w="28" w:type="dxa"/>
          <w:bottom w:w="28" w:type="dxa"/>
          <w:right w:w="28" w:type="dxa"/>
        </w:tblCellMar>
      </w:tblPr>
      <w:tblGrid>
        <w:gridCol w:w="3771"/>
        <w:gridCol w:w="389"/>
        <w:gridCol w:w="6045"/>
      </w:tblGrid>
      <w:tr>
        <w:trPr/>
        <w:tc>
          <w:tcPr>
            <w:tcW w:w="3771" w:type="dxa"/>
            <w:tcBorders>
              <w:top w:val="single" w:sz="2" w:space="0" w:color="D4EDFC"/>
              <w:left w:val="single" w:sz="2" w:space="0" w:color="D4EDFC"/>
              <w:bottom w:val="single" w:sz="2" w:space="0" w:color="D4EDFC"/>
              <w:right w:val="single" w:sz="2" w:space="0" w:color="D4EDFC"/>
            </w:tcBorders>
            <w:shd w:fill="D4EDFC" w:val="clear"/>
            <w:vAlign w:val="center"/>
          </w:tcPr>
          <w:p>
            <w:pPr>
              <w:pStyle w:val="TableContents"/>
              <w:pBdr/>
              <w:spacing w:before="60" w:after="60"/>
              <w:ind w:left="150" w:right="150" w:hanging="0"/>
              <w:rPr>
                <w:rFonts w:ascii="Arial" w:hAnsi="Arial"/>
                <w:b/>
                <w:i w:val="false"/>
                <w:caps w:val="false"/>
                <w:smallCaps w:val="false"/>
                <w:color w:val="245BA7"/>
                <w:sz w:val="24"/>
              </w:rPr>
            </w:pPr>
            <w:r>
              <w:rPr>
                <w:rFonts w:ascii="Arial" w:hAnsi="Arial"/>
                <w:b/>
                <w:i w:val="false"/>
                <w:caps w:val="false"/>
                <w:smallCaps w:val="false"/>
                <w:color w:val="245BA7"/>
                <w:sz w:val="24"/>
              </w:rPr>
              <w:t>Drive innovation through ownership culture</w:t>
            </w:r>
          </w:p>
          <w:p>
            <w:pPr>
              <w:pStyle w:val="TableContents"/>
              <w:pBdr/>
              <w:spacing w:before="60" w:after="60"/>
              <w:ind w:left="150" w:right="150" w:hanging="0"/>
              <w:rPr>
                <w:rFonts w:ascii="Arial" w:hAnsi="Arial"/>
                <w:color w:val="000000"/>
                <w:sz w:val="20"/>
              </w:rPr>
            </w:pPr>
            <w:r>
              <w:rPr>
                <w:rFonts w:ascii="Arial" w:hAnsi="Arial"/>
                <w:color w:val="000000"/>
                <w:sz w:val="20"/>
              </w:rPr>
              <w:t xml:space="preserve">Our objective is to create and reinforce a culture where employees think and act like owners, are empowered to pursue fulfilling careers, and focus on our mission and drug discovery and development. We believe a broad-based equity program that incentivizes long-term performance and promotes employee retention is a key ingredient in achieving this culture of ownership and innovation. </w:t>
            </w:r>
          </w:p>
        </w:tc>
        <w:tc>
          <w:tcPr>
            <w:tcW w:w="389" w:type="dxa"/>
            <w:tcBorders/>
            <w:shd w:fill="auto" w:val="clear"/>
            <w:tcMar>
              <w:top w:w="28" w:type="dxa"/>
            </w:tcMar>
            <w:vAlign w:val="center"/>
          </w:tcPr>
          <w:p>
            <w:pPr>
              <w:pStyle w:val="TableContents"/>
              <w:spacing w:before="0" w:after="283"/>
              <w:rPr/>
            </w:pPr>
            <w:r>
              <w:rPr/>
              <w:t xml:space="preserve">      </w:t>
            </w:r>
          </w:p>
        </w:tc>
        <w:tc>
          <w:tcPr>
            <w:tcW w:w="6045" w:type="dxa"/>
            <w:tcBorders>
              <w:top w:val="single" w:sz="2" w:space="0" w:color="D4EDFC"/>
              <w:left w:val="single" w:sz="2" w:space="0" w:color="D4EDFC"/>
              <w:bottom w:val="single" w:sz="2" w:space="0" w:color="D4EDFC"/>
              <w:right w:val="single" w:sz="2" w:space="0" w:color="D4EDFC"/>
            </w:tcBorders>
            <w:shd w:fill="D4EDFC" w:val="clear"/>
            <w:tcMar>
              <w:bottom w:w="100" w:type="dxa"/>
            </w:tcMar>
            <w:vAlign w:val="center"/>
          </w:tcPr>
          <w:p>
            <w:pPr>
              <w:pStyle w:val="TableContents"/>
              <w:pBdr/>
              <w:spacing w:before="60" w:after="60"/>
              <w:ind w:left="150" w:right="150" w:hanging="0"/>
              <w:rPr>
                <w:rFonts w:ascii="Arial" w:hAnsi="Arial"/>
                <w:b/>
                <w:color w:val="245BA7"/>
                <w:sz w:val="24"/>
              </w:rPr>
            </w:pPr>
            <w:r>
              <w:rPr>
                <w:rFonts w:ascii="Arial" w:hAnsi="Arial"/>
                <w:b/>
                <w:color w:val="245BA7"/>
                <w:sz w:val="24"/>
              </w:rPr>
              <w:t>Prioritize design simplicity and long-term orientation</w:t>
            </w:r>
          </w:p>
          <w:p>
            <w:pPr>
              <w:pStyle w:val="TableContents"/>
              <w:pBdr/>
              <w:spacing w:before="60" w:after="60"/>
              <w:ind w:left="150" w:right="150" w:hanging="0"/>
              <w:rPr>
                <w:rFonts w:ascii="Arial" w:hAnsi="Arial"/>
                <w:color w:val="000000"/>
                <w:sz w:val="20"/>
              </w:rPr>
            </w:pPr>
            <w:r>
              <w:rPr>
                <w:rFonts w:ascii="Arial" w:hAnsi="Arial"/>
                <w:color w:val="000000"/>
                <w:sz w:val="20"/>
              </w:rPr>
              <w:t>Tying compensation to long-term, Company-wide success and straightforward Company goals has enabled us to encourage decision-making that we believe is consistent with the long-term sustainability of our Company and our reputation. Our objective is to remain nimble, to encourage evolutionary ideas when strategies need to change, and to have the ability to pivot quickly if needed, without being hindered by overly complex compensation structures.</w:t>
            </w:r>
          </w:p>
        </w:tc>
      </w:tr>
      <w:tr>
        <w:trPr/>
        <w:tc>
          <w:tcPr>
            <w:tcW w:w="3771" w:type="dxa"/>
            <w:tcBorders/>
            <w:shd w:fill="auto" w:val="clear"/>
            <w:tcMar>
              <w:top w:w="28" w:type="dxa"/>
            </w:tcMar>
            <w:vAlign w:val="center"/>
          </w:tcPr>
          <w:p>
            <w:pPr>
              <w:pStyle w:val="TableContents"/>
              <w:pBdr/>
              <w:spacing w:before="0" w:after="0"/>
              <w:ind w:left="0" w:right="0" w:hanging="0"/>
              <w:rPr>
                <w:color w:val="000000"/>
              </w:rPr>
            </w:pPr>
            <w:r>
              <w:rPr>
                <w:color w:val="000000"/>
              </w:rPr>
              <w:t> </w:t>
            </w:r>
          </w:p>
        </w:tc>
        <w:tc>
          <w:tcPr>
            <w:tcW w:w="389" w:type="dxa"/>
            <w:tcBorders/>
            <w:shd w:fill="auto" w:val="clear"/>
            <w:tcMar>
              <w:top w:w="28" w:type="dxa"/>
            </w:tcMar>
            <w:vAlign w:val="center"/>
          </w:tcPr>
          <w:p>
            <w:pPr>
              <w:pStyle w:val="TableContents"/>
              <w:spacing w:before="0" w:after="283"/>
              <w:rPr/>
            </w:pPr>
            <w:r>
              <w:rPr/>
              <w:t xml:space="preserve">  </w:t>
            </w:r>
          </w:p>
        </w:tc>
        <w:tc>
          <w:tcPr>
            <w:tcW w:w="6045" w:type="dxa"/>
            <w:tcBorders/>
            <w:shd w:fill="auto" w:val="clear"/>
            <w:tcMar>
              <w:top w:w="28" w:type="dxa"/>
            </w:tcMar>
            <w:vAlign w:val="center"/>
          </w:tcPr>
          <w:p>
            <w:pPr>
              <w:pStyle w:val="TableContents"/>
              <w:pBdr/>
              <w:spacing w:before="0" w:after="0"/>
              <w:ind w:left="0" w:right="0" w:hanging="0"/>
              <w:rPr>
                <w:color w:val="000000"/>
              </w:rPr>
            </w:pPr>
            <w:r>
              <w:rPr>
                <w:color w:val="000000"/>
              </w:rPr>
              <w:t> </w:t>
            </w:r>
          </w:p>
        </w:tc>
      </w:tr>
      <w:tr>
        <w:trPr/>
        <w:tc>
          <w:tcPr>
            <w:tcW w:w="3771" w:type="dxa"/>
            <w:tcBorders>
              <w:top w:val="single" w:sz="2" w:space="0" w:color="D4EDFC"/>
              <w:left w:val="single" w:sz="2" w:space="0" w:color="D4EDFC"/>
              <w:bottom w:val="single" w:sz="2" w:space="0" w:color="D4EDFC"/>
              <w:right w:val="single" w:sz="2" w:space="0" w:color="D4EDFC"/>
            </w:tcBorders>
            <w:shd w:fill="D4EDFC" w:val="clear"/>
            <w:tcMar>
              <w:bottom w:w="100" w:type="dxa"/>
            </w:tcMar>
            <w:vAlign w:val="center"/>
          </w:tcPr>
          <w:p>
            <w:pPr>
              <w:pStyle w:val="TableContents"/>
              <w:pBdr/>
              <w:spacing w:before="60" w:after="60"/>
              <w:ind w:left="150" w:right="150" w:hanging="0"/>
              <w:rPr>
                <w:rFonts w:ascii="Arial" w:hAnsi="Arial"/>
                <w:color w:val="000000"/>
                <w:sz w:val="20"/>
              </w:rPr>
            </w:pPr>
            <w:r>
              <w:rPr>
                <w:rFonts w:ascii="Arial" w:hAnsi="Arial"/>
                <w:b/>
                <w:color w:val="245BA7"/>
                <w:sz w:val="24"/>
              </w:rPr>
              <w:t>Provide at-risk, performance-based</w:t>
            </w:r>
            <w:r>
              <w:rPr>
                <w:rFonts w:ascii="Arial" w:hAnsi="Arial"/>
                <w:color w:val="000000"/>
                <w:sz w:val="20"/>
              </w:rPr>
              <w:t xml:space="preserve"> </w:t>
            </w:r>
            <w:r>
              <w:rPr>
                <w:rFonts w:ascii="Arial" w:hAnsi="Arial"/>
                <w:b/>
                <w:color w:val="245BA7"/>
                <w:sz w:val="24"/>
              </w:rPr>
              <w:t>equity to all employees</w:t>
            </w:r>
          </w:p>
          <w:p>
            <w:pPr>
              <w:pStyle w:val="TableContents"/>
              <w:pBdr/>
              <w:spacing w:before="60" w:after="60"/>
              <w:ind w:left="150" w:right="150" w:hanging="0"/>
              <w:rPr>
                <w:rFonts w:ascii="Arial" w:hAnsi="Arial"/>
                <w:color w:val="000000"/>
                <w:sz w:val="20"/>
              </w:rPr>
            </w:pPr>
            <w:r>
              <w:rPr>
                <w:rFonts w:ascii="Arial" w:hAnsi="Arial"/>
                <w:color w:val="000000"/>
                <w:sz w:val="20"/>
              </w:rPr>
              <w:t>A key part of our pay philosophy since our inception has been to award equity-based pay to all employees, not just senior executives, to ensure that when we deliver for patients and for shareholders, everyone shares in the potential upside growth. In line with this goal, approximately 90% of the employee equity grants in each of the last five years were awarded to our employees other than our NEOs. We believe this approach represents one of our competitive advantages.</w:t>
            </w:r>
          </w:p>
        </w:tc>
        <w:tc>
          <w:tcPr>
            <w:tcW w:w="389" w:type="dxa"/>
            <w:tcBorders/>
            <w:shd w:fill="auto" w:val="clear"/>
            <w:tcMar>
              <w:top w:w="0" w:type="dxa"/>
              <w:left w:w="0" w:type="dxa"/>
              <w:bottom w:w="0" w:type="dxa"/>
              <w:right w:w="0" w:type="dxa"/>
            </w:tcMar>
            <w:vAlign w:val="center"/>
          </w:tcPr>
          <w:p>
            <w:pPr>
              <w:pStyle w:val="TableContents"/>
              <w:spacing w:before="0" w:after="283"/>
              <w:rPr/>
            </w:pPr>
            <w:r>
              <w:rPr/>
              <w:t xml:space="preserve">  </w:t>
            </w:r>
          </w:p>
        </w:tc>
        <w:tc>
          <w:tcPr>
            <w:tcW w:w="6045" w:type="dxa"/>
            <w:tcBorders>
              <w:top w:val="single" w:sz="2" w:space="0" w:color="D4EDFC"/>
              <w:left w:val="single" w:sz="2" w:space="0" w:color="D4EDFC"/>
              <w:bottom w:val="single" w:sz="2" w:space="0" w:color="D4EDFC"/>
              <w:right w:val="single" w:sz="2" w:space="0" w:color="D4EDFC"/>
            </w:tcBorders>
            <w:shd w:fill="D4EDFC" w:val="clear"/>
            <w:tcMar>
              <w:bottom w:w="100" w:type="dxa"/>
            </w:tcMar>
            <w:vAlign w:val="center"/>
          </w:tcPr>
          <w:p>
            <w:pPr>
              <w:pStyle w:val="TableContents"/>
              <w:pBdr/>
              <w:spacing w:before="60" w:after="60"/>
              <w:ind w:left="150" w:right="150" w:hanging="0"/>
              <w:rPr>
                <w:rFonts w:ascii="Arial" w:hAnsi="Arial"/>
                <w:b/>
                <w:color w:val="245BA7"/>
                <w:sz w:val="24"/>
              </w:rPr>
            </w:pPr>
            <w:r>
              <w:rPr>
                <w:rFonts w:ascii="Arial" w:hAnsi="Arial"/>
                <w:b/>
                <w:color w:val="245BA7"/>
                <w:sz w:val="24"/>
              </w:rPr>
              <w:t>Align with shareholder interests</w:t>
            </w:r>
          </w:p>
          <w:p>
            <w:pPr>
              <w:pStyle w:val="TableContents"/>
              <w:pBdr/>
              <w:spacing w:before="60" w:after="60"/>
              <w:ind w:left="150" w:right="150" w:hanging="0"/>
              <w:rPr>
                <w:rFonts w:ascii="Arial" w:hAnsi="Arial"/>
                <w:color w:val="000000"/>
                <w:sz w:val="20"/>
              </w:rPr>
            </w:pPr>
            <w:r>
              <w:rPr>
                <w:rFonts w:ascii="Arial" w:hAnsi="Arial"/>
                <w:color w:val="000000"/>
                <w:sz w:val="20"/>
              </w:rPr>
              <w:t xml:space="preserve">Our objective has always been to ensure close alignment with shareholder interests. All of the direct pay of our CEO and CSO, except for base salary, depends on performance and is “at-risk.” For our CEO, at-risk pay comprised 94% of his direct pay in 2022, which is significantly higher than the percentage of at-risk compensation for CEOs in our Peer Group, as shown in the charts below.5 More broadly, the long-term nature of our equity program is consistent with the drug discovery and development cycle and, therefore, helps drive the creation of long-term shareholder value. Further information about pay-versus-performance alignment is provided in the subsection “Compensation Dashboard—Additional Compensation Information—Pay Versus Performance.” </w:t>
            </w:r>
          </w:p>
        </w:tc>
      </w:tr>
    </w:tbl>
    <w:p>
      <w:pPr>
        <w:pStyle w:val="TextBody"/>
        <w:pBdr/>
        <w:spacing w:before="0" w:after="0"/>
        <w:ind w:left="0" w:right="0" w:hanging="0"/>
        <w:rPr>
          <w:color w:val="000000"/>
        </w:rPr>
      </w:pPr>
      <w:r>
        <w:rPr>
          <w:color w:val="000000"/>
        </w:rPr>
        <w:t> </w:t>
      </w:r>
    </w:p>
    <w:p>
      <w:pPr>
        <w:pStyle w:val="TextBody"/>
        <w:pBdr/>
        <w:spacing w:before="0" w:after="210"/>
        <w:jc w:val="center"/>
        <w:rPr>
          <w:caps w:val="false"/>
          <w:smallCaps w:val="false"/>
          <w:color w:val="000000"/>
        </w:rPr>
      </w:pPr>
      <w:r>
        <w:rPr>
          <w:caps w:val="false"/>
          <w:smallCaps w:val="false"/>
          <w:color w:val="000000"/>
        </w:rPr>
        <w:drawing>
          <wp:inline distT="0" distB="0" distL="0" distR="0">
            <wp:extent cx="7620000" cy="2085975"/>
            <wp:effectExtent l="0" t="0" r="0" b="0"/>
            <wp:docPr id="250"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82" descr=""/>
                    <pic:cNvPicPr>
                      <a:picLocks noChangeAspect="1" noChangeArrowheads="1"/>
                    </pic:cNvPicPr>
                  </pic:nvPicPr>
                  <pic:blipFill>
                    <a:blip r:embed="rId183"/>
                    <a:stretch>
                      <a:fillRect/>
                    </a:stretch>
                  </pic:blipFill>
                  <pic:spPr bwMode="auto">
                    <a:xfrm>
                      <a:off x="0" y="0"/>
                      <a:ext cx="7620000" cy="2085975"/>
                    </a:xfrm>
                    <a:prstGeom prst="rect">
                      <a:avLst/>
                    </a:prstGeom>
                  </pic:spPr>
                </pic:pic>
              </a:graphicData>
            </a:graphic>
          </wp:inline>
        </w:drawing>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160"/>
              <w:ind w:left="0" w:right="30" w:hanging="0"/>
              <w:rPr>
                <w:caps w:val="false"/>
                <w:smallCaps w:val="false"/>
                <w:color w:val="000000"/>
              </w:rPr>
            </w:pPr>
            <w:r>
              <w:rPr>
                <w:caps w:val="false"/>
                <w:smallCaps w:val="false"/>
                <w:color w:val="000000"/>
              </w:rPr>
              <w:t>“</w:t>
            </w:r>
            <w:r>
              <w:rPr>
                <w:rFonts w:ascii="Arial" w:hAnsi="Arial"/>
                <w:b w:val="false"/>
                <w:i w:val="false"/>
                <w:caps w:val="false"/>
                <w:smallCaps w:val="false"/>
                <w:color w:val="000000"/>
                <w:sz w:val="20"/>
              </w:rPr>
              <w:t>At-risk Equity” consists of stock options and any equity awards with performance-based vesting conditions (such as PSUs). For purposes of this chart, we annualized the five-year, front-loaded PSU award that was granted to our CEO in 2020. “Other Equity” consists of all other equity awards, such as time-based RSAs and RSUs. “At-risk Equity” and “Other Equity” reflect the grant date fair value of such equity awards. “STIP” consists of bonus and/or other applicable compensation provided under short-term, non-equity incentive plans. “At-risk” compensation consists of STIP and At-risk Equity. Total compensation amounts reflect direct compensation (total reported compensation, other than amounts reported as “All other compensation” and (if applicable) amounts reported under “Change in pension value and nonqualified deferred compensation earnings”).</w:t>
            </w:r>
          </w:p>
        </w:tc>
      </w:tr>
    </w:tbl>
    <w:tbl>
      <w:tblPr>
        <w:tblW w:w="10205" w:type="dxa"/>
        <w:jc w:val="left"/>
        <w:tblInd w:w="0" w:type="dxa"/>
        <w:tblCellMar>
          <w:top w:w="45" w:type="dxa"/>
          <w:left w:w="0" w:type="dxa"/>
          <w:bottom w:w="0" w:type="dxa"/>
          <w:right w:w="0" w:type="dxa"/>
        </w:tblCellMar>
      </w:tblPr>
      <w:tblGrid>
        <w:gridCol w:w="226"/>
        <w:gridCol w:w="9979"/>
      </w:tblGrid>
      <w:tr>
        <w:trPr/>
        <w:tc>
          <w:tcPr>
            <w:tcW w:w="226" w:type="dxa"/>
            <w:tcBorders>
              <w:top w:val="single" w:sz="2" w:space="0" w:color="000000"/>
            </w:tcBorders>
            <w:shd w:fill="auto" w:val="clear"/>
            <w:vAlign w:val="center"/>
          </w:tcPr>
          <w:p>
            <w:pPr>
              <w:pStyle w:val="TableContents"/>
              <w:pBdr/>
              <w:spacing w:before="60" w:after="0"/>
              <w:ind w:left="0" w:right="0" w:hanging="0"/>
              <w:rPr>
                <w:rFonts w:ascii="Arial" w:hAnsi="Arial"/>
                <w:color w:val="245BA7"/>
                <w:sz w:val="20"/>
              </w:rPr>
            </w:pPr>
            <w:r>
              <w:rPr>
                <w:rFonts w:ascii="Arial" w:hAnsi="Arial"/>
                <w:color w:val="245BA7"/>
                <w:sz w:val="20"/>
              </w:rPr>
              <w:t>5</w:t>
            </w:r>
          </w:p>
        </w:tc>
        <w:tc>
          <w:tcPr>
            <w:tcW w:w="9979" w:type="dxa"/>
            <w:tcBorders>
              <w:top w:val="single" w:sz="2" w:space="0" w:color="000000"/>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We define “direct pay” or “direct compensation” as total compensation as reported in the Summary Compensation Table in the applicable proxy statement, other than the amounts reported as “All other compensation” and (if applicable) amounts reported under “Change in pension value and nonqualified deferred compensation earnings.” Peer Group CEO pay mix is based on the median for each compensation component using data reported for 2021.</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51"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83" descr=""/>
                          <pic:cNvPicPr>
                            <a:picLocks noChangeAspect="1" noChangeArrowheads="1"/>
                          </pic:cNvPicPr>
                        </pic:nvPicPr>
                        <pic:blipFill>
                          <a:blip r:embed="rId184"/>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61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2"/>
        <w:pBdr/>
        <w:spacing w:before="0" w:after="195"/>
        <w:ind w:left="0" w:right="0" w:hanging="0"/>
        <w:rPr>
          <w:rFonts w:ascii="Arial" w:hAnsi="Arial"/>
          <w:b/>
          <w:i w:val="false"/>
          <w:caps w:val="false"/>
          <w:smallCaps w:val="false"/>
          <w:color w:val="245BA7"/>
          <w:sz w:val="47"/>
        </w:rPr>
      </w:pPr>
      <w:bookmarkStart w:id="117" w:name="new_id-108"/>
      <w:bookmarkEnd w:id="117"/>
      <w:r>
        <w:rPr>
          <w:rFonts w:ascii="Arial" w:hAnsi="Arial"/>
          <w:b/>
          <w:i w:val="false"/>
          <w:caps w:val="false"/>
          <w:smallCaps w:val="false"/>
          <w:color w:val="245BA7"/>
          <w:sz w:val="47"/>
        </w:rPr>
        <w:t xml:space="preserve">COMPONENTS OF EXECUTIVE PAY: WHAT WE PAY AND WHY WE PAY IT </w:t>
      </w:r>
    </w:p>
    <w:p>
      <w:pPr>
        <w:pStyle w:val="TextBody"/>
        <w:pBdr/>
        <w:spacing w:before="0" w:after="210"/>
        <w:ind w:left="0" w:right="0" w:hanging="0"/>
        <w:rPr>
          <w:color w:val="000000"/>
        </w:rPr>
      </w:pPr>
      <w:r>
        <w:rPr>
          <w:color w:val="000000"/>
        </w:rPr>
        <w:t> </w:t>
      </w:r>
    </w:p>
    <w:p>
      <w:pPr>
        <w:pStyle w:val="Heading3"/>
        <w:pBdr/>
        <w:spacing w:before="0" w:after="300"/>
        <w:ind w:left="0" w:right="0" w:hanging="0"/>
        <w:rPr>
          <w:rFonts w:ascii="Arial" w:hAnsi="Arial"/>
          <w:b/>
          <w:i w:val="false"/>
          <w:caps w:val="false"/>
          <w:smallCaps w:val="false"/>
          <w:color w:val="D31B5D"/>
          <w:sz w:val="30"/>
        </w:rPr>
      </w:pPr>
      <w:bookmarkStart w:id="118" w:name="new_id-109"/>
      <w:bookmarkEnd w:id="118"/>
      <w:r>
        <w:rPr>
          <w:rFonts w:ascii="Arial" w:hAnsi="Arial"/>
          <w:b/>
          <w:i w:val="false"/>
          <w:caps w:val="false"/>
          <w:smallCaps w:val="false"/>
          <w:color w:val="D31B5D"/>
          <w:sz w:val="30"/>
        </w:rPr>
        <w:t xml:space="preserve">OUR NEO COMPENSATION HAS FIVE PRINCIPAL COMPONENTS: </w:t>
      </w:r>
    </w:p>
    <w:tbl>
      <w:tblPr>
        <w:tblW w:w="10205" w:type="dxa"/>
        <w:jc w:val="left"/>
        <w:tblInd w:w="0" w:type="dxa"/>
        <w:tblCellMar>
          <w:top w:w="90" w:type="dxa"/>
          <w:left w:w="0" w:type="dxa"/>
          <w:bottom w:w="0" w:type="dxa"/>
          <w:right w:w="0" w:type="dxa"/>
        </w:tblCellMar>
      </w:tblPr>
      <w:tblGrid>
        <w:gridCol w:w="611"/>
        <w:gridCol w:w="1166"/>
        <w:gridCol w:w="146"/>
        <w:gridCol w:w="596"/>
        <w:gridCol w:w="1378"/>
        <w:gridCol w:w="146"/>
        <w:gridCol w:w="596"/>
        <w:gridCol w:w="1066"/>
        <w:gridCol w:w="146"/>
        <w:gridCol w:w="596"/>
        <w:gridCol w:w="1548"/>
        <w:gridCol w:w="146"/>
        <w:gridCol w:w="596"/>
        <w:gridCol w:w="1468"/>
      </w:tblGrid>
      <w:tr>
        <w:trPr/>
        <w:tc>
          <w:tcPr>
            <w:tcW w:w="611" w:type="dxa"/>
            <w:tcBorders>
              <w:top w:val="single" w:sz="2" w:space="0" w:color="245BA7"/>
            </w:tcBorders>
            <w:shd w:fill="auto" w:val="clear"/>
            <w:vAlign w:val="center"/>
          </w:tcPr>
          <w:p>
            <w:pPr>
              <w:pStyle w:val="TableContents"/>
              <w:spacing w:before="0" w:after="283"/>
              <w:jc w:val="left"/>
              <w:rPr/>
            </w:pPr>
            <w:r>
              <w:rPr/>
              <w:drawing>
                <wp:inline distT="0" distB="0" distL="0" distR="0">
                  <wp:extent cx="323850" cy="323850"/>
                  <wp:effectExtent l="0" t="0" r="0" b="0"/>
                  <wp:docPr id="252"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84" descr=""/>
                          <pic:cNvPicPr>
                            <a:picLocks noChangeAspect="1" noChangeArrowheads="1"/>
                          </pic:cNvPicPr>
                        </pic:nvPicPr>
                        <pic:blipFill>
                          <a:blip r:embed="rId185"/>
                          <a:stretch>
                            <a:fillRect/>
                          </a:stretch>
                        </pic:blipFill>
                        <pic:spPr bwMode="auto">
                          <a:xfrm>
                            <a:off x="0" y="0"/>
                            <a:ext cx="323850" cy="323850"/>
                          </a:xfrm>
                          <a:prstGeom prst="rect">
                            <a:avLst/>
                          </a:prstGeom>
                        </pic:spPr>
                      </pic:pic>
                    </a:graphicData>
                  </a:graphic>
                </wp:inline>
              </w:drawing>
            </w:r>
          </w:p>
        </w:tc>
        <w:tc>
          <w:tcPr>
            <w:tcW w:w="1166" w:type="dxa"/>
            <w:tcBorders>
              <w:top w:val="single" w:sz="2" w:space="0" w:color="245BA7"/>
            </w:tcBorders>
            <w:shd w:fill="auto" w:val="clear"/>
            <w:tcMar>
              <w:top w:w="150" w:type="dxa"/>
            </w:tcMar>
            <w:vAlign w:val="center"/>
          </w:tcPr>
          <w:p>
            <w:pPr>
              <w:pStyle w:val="TableContents"/>
              <w:pBdr/>
              <w:spacing w:before="0" w:after="0"/>
              <w:ind w:left="60" w:right="0" w:hanging="0"/>
              <w:rPr>
                <w:rFonts w:ascii="Arial" w:hAnsi="Arial"/>
                <w:b/>
                <w:color w:val="245BA7"/>
                <w:sz w:val="21"/>
              </w:rPr>
            </w:pPr>
            <w:r>
              <w:rPr>
                <w:rFonts w:ascii="Arial" w:hAnsi="Arial"/>
                <w:b/>
                <w:color w:val="245BA7"/>
                <w:sz w:val="21"/>
              </w:rPr>
              <w:t>BASE SALARIES</w:t>
            </w:r>
          </w:p>
        </w:tc>
        <w:tc>
          <w:tcPr>
            <w:tcW w:w="146" w:type="dxa"/>
            <w:tcBorders/>
            <w:shd w:fill="auto" w:val="clear"/>
            <w:tcMar>
              <w:top w:w="28" w:type="dxa"/>
              <w:left w:w="28" w:type="dxa"/>
              <w:bottom w:w="28" w:type="dxa"/>
              <w:right w:w="28" w:type="dxa"/>
            </w:tcMar>
            <w:vAlign w:val="center"/>
          </w:tcPr>
          <w:p>
            <w:pPr>
              <w:pStyle w:val="TableContents"/>
              <w:pBdr/>
              <w:spacing w:before="0" w:after="0"/>
              <w:ind w:left="60" w:right="0" w:hanging="0"/>
              <w:rPr>
                <w:color w:val="245BA7"/>
              </w:rPr>
            </w:pPr>
            <w:r>
              <w:rPr>
                <w:color w:val="245BA7"/>
              </w:rPr>
              <w:t> </w:t>
            </w:r>
          </w:p>
          <w:p>
            <w:pPr>
              <w:pStyle w:val="TableContents"/>
              <w:spacing w:before="0" w:after="283"/>
              <w:rPr/>
            </w:pPr>
            <w:r>
              <w:rPr/>
              <w:t> </w:t>
            </w:r>
          </w:p>
        </w:tc>
        <w:tc>
          <w:tcPr>
            <w:tcW w:w="596" w:type="dxa"/>
            <w:tcBorders>
              <w:top w:val="single" w:sz="2" w:space="0" w:color="245BA7"/>
            </w:tcBorders>
            <w:shd w:fill="auto" w:val="clear"/>
            <w:vAlign w:val="center"/>
          </w:tcPr>
          <w:p>
            <w:pPr>
              <w:pStyle w:val="TableContents"/>
              <w:spacing w:before="0" w:after="283"/>
              <w:jc w:val="left"/>
              <w:rPr/>
            </w:pPr>
            <w:r>
              <w:rPr/>
              <w:drawing>
                <wp:inline distT="0" distB="0" distL="0" distR="0">
                  <wp:extent cx="323850" cy="323850"/>
                  <wp:effectExtent l="0" t="0" r="0" b="0"/>
                  <wp:docPr id="253"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85" descr=""/>
                          <pic:cNvPicPr>
                            <a:picLocks noChangeAspect="1" noChangeArrowheads="1"/>
                          </pic:cNvPicPr>
                        </pic:nvPicPr>
                        <pic:blipFill>
                          <a:blip r:embed="rId186"/>
                          <a:stretch>
                            <a:fillRect/>
                          </a:stretch>
                        </pic:blipFill>
                        <pic:spPr bwMode="auto">
                          <a:xfrm>
                            <a:off x="0" y="0"/>
                            <a:ext cx="323850" cy="323850"/>
                          </a:xfrm>
                          <a:prstGeom prst="rect">
                            <a:avLst/>
                          </a:prstGeom>
                        </pic:spPr>
                      </pic:pic>
                    </a:graphicData>
                  </a:graphic>
                </wp:inline>
              </w:drawing>
            </w:r>
          </w:p>
        </w:tc>
        <w:tc>
          <w:tcPr>
            <w:tcW w:w="1378" w:type="dxa"/>
            <w:tcBorders>
              <w:top w:val="single" w:sz="2" w:space="0" w:color="245BA7"/>
            </w:tcBorders>
            <w:shd w:fill="auto" w:val="clear"/>
            <w:tcMar>
              <w:top w:w="150" w:type="dxa"/>
            </w:tcMar>
            <w:vAlign w:val="center"/>
          </w:tcPr>
          <w:p>
            <w:pPr>
              <w:pStyle w:val="TableContents"/>
              <w:pBdr/>
              <w:spacing w:before="0" w:after="0"/>
              <w:ind w:left="60" w:right="0" w:hanging="0"/>
              <w:rPr>
                <w:rFonts w:ascii="Arial" w:hAnsi="Arial"/>
                <w:b/>
                <w:color w:val="245BA7"/>
                <w:sz w:val="21"/>
              </w:rPr>
            </w:pPr>
            <w:r>
              <w:rPr>
                <w:rFonts w:ascii="Arial" w:hAnsi="Arial"/>
                <w:b/>
                <w:color w:val="245BA7"/>
                <w:sz w:val="21"/>
              </w:rPr>
              <w:t>ANNUAL CASH INCENTIVES</w:t>
            </w:r>
          </w:p>
        </w:tc>
        <w:tc>
          <w:tcPr>
            <w:tcW w:w="146" w:type="dxa"/>
            <w:tcBorders/>
            <w:shd w:fill="auto" w:val="clear"/>
            <w:tcMar>
              <w:top w:w="28" w:type="dxa"/>
              <w:left w:w="28" w:type="dxa"/>
              <w:bottom w:w="28" w:type="dxa"/>
              <w:right w:w="28" w:type="dxa"/>
            </w:tcMar>
            <w:vAlign w:val="center"/>
          </w:tcPr>
          <w:p>
            <w:pPr>
              <w:pStyle w:val="TableContents"/>
              <w:pBdr/>
              <w:spacing w:before="0" w:after="0"/>
              <w:ind w:left="60" w:right="0" w:hanging="0"/>
              <w:rPr>
                <w:color w:val="245BA7"/>
              </w:rPr>
            </w:pPr>
            <w:r>
              <w:rPr>
                <w:color w:val="245BA7"/>
              </w:rPr>
              <w:t> </w:t>
            </w:r>
          </w:p>
          <w:p>
            <w:pPr>
              <w:pStyle w:val="TableContents"/>
              <w:spacing w:before="0" w:after="283"/>
              <w:rPr/>
            </w:pPr>
            <w:r>
              <w:rPr/>
              <w:t> </w:t>
            </w:r>
          </w:p>
        </w:tc>
        <w:tc>
          <w:tcPr>
            <w:tcW w:w="596" w:type="dxa"/>
            <w:tcBorders>
              <w:top w:val="single" w:sz="2" w:space="0" w:color="245BA7"/>
            </w:tcBorders>
            <w:shd w:fill="auto" w:val="clear"/>
            <w:vAlign w:val="center"/>
          </w:tcPr>
          <w:p>
            <w:pPr>
              <w:pStyle w:val="TableContents"/>
              <w:spacing w:before="0" w:after="283"/>
              <w:jc w:val="left"/>
              <w:rPr/>
            </w:pPr>
            <w:r>
              <w:rPr/>
              <w:drawing>
                <wp:inline distT="0" distB="0" distL="0" distR="0">
                  <wp:extent cx="323850" cy="323850"/>
                  <wp:effectExtent l="0" t="0" r="0" b="0"/>
                  <wp:docPr id="254"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86" descr=""/>
                          <pic:cNvPicPr>
                            <a:picLocks noChangeAspect="1" noChangeArrowheads="1"/>
                          </pic:cNvPicPr>
                        </pic:nvPicPr>
                        <pic:blipFill>
                          <a:blip r:embed="rId187"/>
                          <a:stretch>
                            <a:fillRect/>
                          </a:stretch>
                        </pic:blipFill>
                        <pic:spPr bwMode="auto">
                          <a:xfrm>
                            <a:off x="0" y="0"/>
                            <a:ext cx="323850" cy="323850"/>
                          </a:xfrm>
                          <a:prstGeom prst="rect">
                            <a:avLst/>
                          </a:prstGeom>
                        </pic:spPr>
                      </pic:pic>
                    </a:graphicData>
                  </a:graphic>
                </wp:inline>
              </w:drawing>
            </w:r>
          </w:p>
        </w:tc>
        <w:tc>
          <w:tcPr>
            <w:tcW w:w="1066" w:type="dxa"/>
            <w:tcBorders>
              <w:top w:val="single" w:sz="2" w:space="0" w:color="245BA7"/>
            </w:tcBorders>
            <w:shd w:fill="auto" w:val="clear"/>
            <w:tcMar>
              <w:top w:w="150" w:type="dxa"/>
            </w:tcMar>
            <w:vAlign w:val="center"/>
          </w:tcPr>
          <w:p>
            <w:pPr>
              <w:pStyle w:val="TableContents"/>
              <w:pBdr/>
              <w:spacing w:before="0" w:after="0"/>
              <w:ind w:left="60" w:right="0" w:hanging="0"/>
              <w:rPr>
                <w:rFonts w:ascii="Arial" w:hAnsi="Arial"/>
                <w:b/>
                <w:color w:val="245BA7"/>
                <w:sz w:val="21"/>
              </w:rPr>
            </w:pPr>
            <w:r>
              <w:rPr>
                <w:rFonts w:ascii="Arial" w:hAnsi="Arial"/>
                <w:b/>
                <w:color w:val="245BA7"/>
                <w:sz w:val="21"/>
              </w:rPr>
              <w:t>ANNUAL EQUITY AWARDS</w:t>
            </w:r>
          </w:p>
        </w:tc>
        <w:tc>
          <w:tcPr>
            <w:tcW w:w="146" w:type="dxa"/>
            <w:tcBorders/>
            <w:shd w:fill="auto" w:val="clear"/>
            <w:tcMar>
              <w:top w:w="28" w:type="dxa"/>
              <w:left w:w="28" w:type="dxa"/>
              <w:bottom w:w="28" w:type="dxa"/>
              <w:right w:w="28" w:type="dxa"/>
            </w:tcMar>
            <w:vAlign w:val="center"/>
          </w:tcPr>
          <w:p>
            <w:pPr>
              <w:pStyle w:val="TableContents"/>
              <w:pBdr/>
              <w:spacing w:before="0" w:after="0"/>
              <w:ind w:left="60" w:right="0" w:hanging="0"/>
              <w:rPr>
                <w:color w:val="245BA7"/>
              </w:rPr>
            </w:pPr>
            <w:r>
              <w:rPr>
                <w:color w:val="245BA7"/>
              </w:rPr>
              <w:t> </w:t>
            </w:r>
          </w:p>
          <w:p>
            <w:pPr>
              <w:pStyle w:val="TableContents"/>
              <w:spacing w:before="0" w:after="283"/>
              <w:rPr/>
            </w:pPr>
            <w:r>
              <w:rPr/>
              <w:t> </w:t>
            </w:r>
          </w:p>
        </w:tc>
        <w:tc>
          <w:tcPr>
            <w:tcW w:w="596" w:type="dxa"/>
            <w:tcBorders>
              <w:top w:val="single" w:sz="2" w:space="0" w:color="245BA7"/>
            </w:tcBorders>
            <w:shd w:fill="auto" w:val="clear"/>
            <w:vAlign w:val="center"/>
          </w:tcPr>
          <w:p>
            <w:pPr>
              <w:pStyle w:val="TableContents"/>
              <w:spacing w:before="0" w:after="283"/>
              <w:jc w:val="left"/>
              <w:rPr/>
            </w:pPr>
            <w:r>
              <w:rPr/>
              <w:drawing>
                <wp:inline distT="0" distB="0" distL="0" distR="0">
                  <wp:extent cx="323850" cy="323850"/>
                  <wp:effectExtent l="0" t="0" r="0" b="0"/>
                  <wp:docPr id="255"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87" descr=""/>
                          <pic:cNvPicPr>
                            <a:picLocks noChangeAspect="1" noChangeArrowheads="1"/>
                          </pic:cNvPicPr>
                        </pic:nvPicPr>
                        <pic:blipFill>
                          <a:blip r:embed="rId188"/>
                          <a:stretch>
                            <a:fillRect/>
                          </a:stretch>
                        </pic:blipFill>
                        <pic:spPr bwMode="auto">
                          <a:xfrm>
                            <a:off x="0" y="0"/>
                            <a:ext cx="323850" cy="323850"/>
                          </a:xfrm>
                          <a:prstGeom prst="rect">
                            <a:avLst/>
                          </a:prstGeom>
                        </pic:spPr>
                      </pic:pic>
                    </a:graphicData>
                  </a:graphic>
                </wp:inline>
              </w:drawing>
            </w:r>
          </w:p>
        </w:tc>
        <w:tc>
          <w:tcPr>
            <w:tcW w:w="1548" w:type="dxa"/>
            <w:tcBorders>
              <w:top w:val="single" w:sz="2" w:space="0" w:color="245BA7"/>
            </w:tcBorders>
            <w:shd w:fill="auto" w:val="clear"/>
            <w:tcMar>
              <w:top w:w="150" w:type="dxa"/>
            </w:tcMar>
            <w:vAlign w:val="center"/>
          </w:tcPr>
          <w:p>
            <w:pPr>
              <w:pStyle w:val="TableContents"/>
              <w:pBdr/>
              <w:spacing w:before="0" w:after="0"/>
              <w:ind w:left="60" w:right="0" w:hanging="0"/>
              <w:rPr>
                <w:rFonts w:ascii="Arial" w:hAnsi="Arial"/>
                <w:b/>
                <w:color w:val="245BA7"/>
                <w:sz w:val="21"/>
              </w:rPr>
            </w:pPr>
            <w:r>
              <w:rPr>
                <w:rFonts w:ascii="Arial" w:hAnsi="Arial"/>
                <w:b/>
                <w:color w:val="245BA7"/>
                <w:sz w:val="21"/>
              </w:rPr>
              <w:t>PERQUISITES AND PERSONAL BENEFITS</w:t>
            </w:r>
          </w:p>
        </w:tc>
        <w:tc>
          <w:tcPr>
            <w:tcW w:w="146" w:type="dxa"/>
            <w:tcBorders/>
            <w:shd w:fill="auto" w:val="clear"/>
            <w:tcMar>
              <w:top w:w="28" w:type="dxa"/>
              <w:left w:w="28" w:type="dxa"/>
              <w:bottom w:w="28" w:type="dxa"/>
              <w:right w:w="28" w:type="dxa"/>
            </w:tcMar>
            <w:vAlign w:val="center"/>
          </w:tcPr>
          <w:p>
            <w:pPr>
              <w:pStyle w:val="TableContents"/>
              <w:pBdr/>
              <w:spacing w:before="0" w:after="0"/>
              <w:ind w:left="60" w:right="0" w:hanging="0"/>
              <w:rPr>
                <w:color w:val="245BA7"/>
              </w:rPr>
            </w:pPr>
            <w:r>
              <w:rPr>
                <w:color w:val="245BA7"/>
              </w:rPr>
              <w:t> </w:t>
            </w:r>
          </w:p>
          <w:p>
            <w:pPr>
              <w:pStyle w:val="TableContents"/>
              <w:spacing w:before="0" w:after="283"/>
              <w:rPr/>
            </w:pPr>
            <w:r>
              <w:rPr/>
              <w:t> </w:t>
            </w:r>
          </w:p>
        </w:tc>
        <w:tc>
          <w:tcPr>
            <w:tcW w:w="596" w:type="dxa"/>
            <w:tcBorders>
              <w:top w:val="single" w:sz="2" w:space="0" w:color="245BA7"/>
            </w:tcBorders>
            <w:shd w:fill="auto" w:val="clear"/>
            <w:vAlign w:val="center"/>
          </w:tcPr>
          <w:p>
            <w:pPr>
              <w:pStyle w:val="TableContents"/>
              <w:spacing w:before="0" w:after="283"/>
              <w:jc w:val="left"/>
              <w:rPr/>
            </w:pPr>
            <w:r>
              <w:rPr/>
              <w:drawing>
                <wp:inline distT="0" distB="0" distL="0" distR="0">
                  <wp:extent cx="323850" cy="323850"/>
                  <wp:effectExtent l="0" t="0" r="0" b="0"/>
                  <wp:docPr id="256"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88" descr=""/>
                          <pic:cNvPicPr>
                            <a:picLocks noChangeAspect="1" noChangeArrowheads="1"/>
                          </pic:cNvPicPr>
                        </pic:nvPicPr>
                        <pic:blipFill>
                          <a:blip r:embed="rId189"/>
                          <a:stretch>
                            <a:fillRect/>
                          </a:stretch>
                        </pic:blipFill>
                        <pic:spPr bwMode="auto">
                          <a:xfrm>
                            <a:off x="0" y="0"/>
                            <a:ext cx="323850" cy="323850"/>
                          </a:xfrm>
                          <a:prstGeom prst="rect">
                            <a:avLst/>
                          </a:prstGeom>
                        </pic:spPr>
                      </pic:pic>
                    </a:graphicData>
                  </a:graphic>
                </wp:inline>
              </w:drawing>
            </w:r>
          </w:p>
        </w:tc>
        <w:tc>
          <w:tcPr>
            <w:tcW w:w="1468" w:type="dxa"/>
            <w:tcBorders>
              <w:top w:val="single" w:sz="2" w:space="0" w:color="245BA7"/>
            </w:tcBorders>
            <w:shd w:fill="auto" w:val="clear"/>
            <w:tcMar>
              <w:top w:w="150" w:type="dxa"/>
            </w:tcMar>
            <w:vAlign w:val="center"/>
          </w:tcPr>
          <w:p>
            <w:pPr>
              <w:pStyle w:val="TableContents"/>
              <w:pBdr/>
              <w:spacing w:before="0" w:after="0"/>
              <w:ind w:left="60" w:right="0" w:hanging="0"/>
              <w:rPr>
                <w:rFonts w:ascii="Arial" w:hAnsi="Arial"/>
                <w:b/>
                <w:color w:val="245BA7"/>
                <w:sz w:val="21"/>
              </w:rPr>
            </w:pPr>
            <w:r>
              <w:rPr>
                <w:rFonts w:ascii="Arial" w:hAnsi="Arial"/>
                <w:b/>
                <w:color w:val="245BA7"/>
                <w:sz w:val="21"/>
              </w:rPr>
              <w:t>POTENTIAL SEVERANCE BENEFITS</w:t>
            </w:r>
          </w:p>
        </w:tc>
      </w:tr>
    </w:tbl>
    <w:p>
      <w:pPr>
        <w:pStyle w:val="TextBody"/>
        <w:pBdr/>
        <w:spacing w:before="0" w:after="210"/>
        <w:ind w:left="0" w:right="0" w:hanging="0"/>
        <w:rPr>
          <w:color w:val="000000"/>
        </w:rPr>
      </w:pPr>
      <w:r>
        <w:rPr>
          <w:color w:val="000000"/>
        </w:rPr>
        <w:t> </w:t>
      </w:r>
    </w:p>
    <w:p>
      <w:pPr>
        <w:pStyle w:val="Heading4"/>
        <w:pBdr/>
        <w:spacing w:before="0" w:after="150"/>
        <w:ind w:left="0" w:right="0" w:hanging="0"/>
        <w:rPr>
          <w:rFonts w:ascii="Arial" w:hAnsi="Arial"/>
          <w:b/>
          <w:i w:val="false"/>
          <w:caps w:val="false"/>
          <w:smallCaps w:val="false"/>
          <w:color w:val="D31B5D"/>
          <w:sz w:val="24"/>
        </w:rPr>
      </w:pPr>
      <w:bookmarkStart w:id="119" w:name="new_id-110"/>
      <w:bookmarkEnd w:id="119"/>
      <w:r>
        <w:rPr>
          <w:rFonts w:ascii="Arial" w:hAnsi="Arial"/>
          <w:b/>
          <w:i w:val="false"/>
          <w:caps w:val="false"/>
          <w:smallCaps w:val="false"/>
          <w:color w:val="D31B5D"/>
          <w:sz w:val="24"/>
        </w:rPr>
        <w:t xml:space="preserve">We use these pay components to achieve the following objectives: </w:t>
      </w:r>
    </w:p>
    <w:tbl>
      <w:tblPr>
        <w:tblW w:w="10205" w:type="dxa"/>
        <w:jc w:val="left"/>
        <w:tblInd w:w="0" w:type="dxa"/>
        <w:tblCellMar>
          <w:top w:w="0" w:type="dxa"/>
          <w:left w:w="0" w:type="dxa"/>
          <w:bottom w:w="90" w:type="dxa"/>
          <w:right w:w="0" w:type="dxa"/>
        </w:tblCellMar>
      </w:tblPr>
      <w:tblGrid>
        <w:gridCol w:w="4295"/>
        <w:gridCol w:w="1026"/>
        <w:gridCol w:w="1101"/>
        <w:gridCol w:w="1013"/>
        <w:gridCol w:w="1322"/>
        <w:gridCol w:w="1448"/>
      </w:tblGrid>
      <w:tr>
        <w:trPr/>
        <w:tc>
          <w:tcPr>
            <w:tcW w:w="4295" w:type="dxa"/>
            <w:vMerge w:val="restart"/>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Objective</w:t>
            </w:r>
          </w:p>
        </w:tc>
        <w:tc>
          <w:tcPr>
            <w:tcW w:w="5910" w:type="dxa"/>
            <w:gridSpan w:val="5"/>
            <w:tcBorders>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COMPENSATION COMPONENTS</w:t>
            </w:r>
          </w:p>
        </w:tc>
      </w:tr>
      <w:tr>
        <w:trPr/>
        <w:tc>
          <w:tcPr>
            <w:tcW w:w="4295" w:type="dxa"/>
            <w:vMerge w:val="continue"/>
            <w:tcBorders>
              <w:bottom w:val="single" w:sz="12" w:space="0" w:color="245BA7"/>
            </w:tcBorders>
            <w:shd w:fill="auto" w:val="clear"/>
            <w:vAlign w:val="center"/>
          </w:tcPr>
          <w:p>
            <w:pPr>
              <w:pStyle w:val="Normal"/>
              <w:rPr/>
            </w:pPr>
            <w:r>
              <w:rPr/>
            </w:r>
          </w:p>
        </w:tc>
        <w:tc>
          <w:tcPr>
            <w:tcW w:w="1026" w:type="dxa"/>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Base Salaries</w:t>
            </w:r>
          </w:p>
        </w:tc>
        <w:tc>
          <w:tcPr>
            <w:tcW w:w="1101" w:type="dxa"/>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 xml:space="preserve">Annual Cash </w:t>
            </w:r>
          </w:p>
          <w:p>
            <w:pPr>
              <w:pStyle w:val="TableContents"/>
              <w:pBdr/>
              <w:spacing w:before="0" w:after="0"/>
              <w:ind w:left="0" w:right="0" w:hanging="0"/>
              <w:jc w:val="center"/>
              <w:rPr>
                <w:rFonts w:ascii="Arial" w:hAnsi="Arial"/>
                <w:b/>
                <w:color w:val="245BA7"/>
                <w:sz w:val="18"/>
              </w:rPr>
            </w:pPr>
            <w:r>
              <w:rPr>
                <w:rFonts w:ascii="Arial" w:hAnsi="Arial"/>
                <w:b/>
                <w:color w:val="245BA7"/>
                <w:sz w:val="18"/>
              </w:rPr>
              <w:t>Incentives</w:t>
            </w:r>
          </w:p>
        </w:tc>
        <w:tc>
          <w:tcPr>
            <w:tcW w:w="1013" w:type="dxa"/>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 xml:space="preserve">Annual Equity </w:t>
            </w:r>
          </w:p>
          <w:p>
            <w:pPr>
              <w:pStyle w:val="TableContents"/>
              <w:pBdr/>
              <w:spacing w:before="0" w:after="0"/>
              <w:ind w:left="0" w:right="0" w:hanging="0"/>
              <w:jc w:val="center"/>
              <w:rPr>
                <w:rFonts w:ascii="Arial" w:hAnsi="Arial"/>
                <w:b/>
                <w:color w:val="245BA7"/>
                <w:sz w:val="18"/>
              </w:rPr>
            </w:pPr>
            <w:r>
              <w:rPr>
                <w:rFonts w:ascii="Arial" w:hAnsi="Arial"/>
                <w:b/>
                <w:color w:val="245BA7"/>
                <w:sz w:val="18"/>
              </w:rPr>
              <w:t>Awards</w:t>
            </w:r>
          </w:p>
        </w:tc>
        <w:tc>
          <w:tcPr>
            <w:tcW w:w="1322" w:type="dxa"/>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 xml:space="preserve">Perquisites and </w:t>
            </w:r>
          </w:p>
          <w:p>
            <w:pPr>
              <w:pStyle w:val="TableContents"/>
              <w:pBdr/>
              <w:spacing w:before="0" w:after="0"/>
              <w:ind w:left="0" w:right="0" w:hanging="0"/>
              <w:jc w:val="center"/>
              <w:rPr>
                <w:rFonts w:ascii="Arial" w:hAnsi="Arial"/>
                <w:b/>
                <w:color w:val="245BA7"/>
                <w:sz w:val="18"/>
              </w:rPr>
            </w:pPr>
            <w:r>
              <w:rPr>
                <w:rFonts w:ascii="Arial" w:hAnsi="Arial"/>
                <w:b/>
                <w:color w:val="245BA7"/>
                <w:sz w:val="18"/>
              </w:rPr>
              <w:t>Personal Benefits</w:t>
            </w:r>
          </w:p>
        </w:tc>
        <w:tc>
          <w:tcPr>
            <w:tcW w:w="1448" w:type="dxa"/>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 xml:space="preserve">Potential Severance </w:t>
            </w:r>
          </w:p>
          <w:p>
            <w:pPr>
              <w:pStyle w:val="TableContents"/>
              <w:pBdr/>
              <w:spacing w:before="0" w:after="0"/>
              <w:ind w:left="0" w:right="0" w:hanging="0"/>
              <w:jc w:val="center"/>
              <w:rPr>
                <w:rFonts w:ascii="Arial" w:hAnsi="Arial"/>
                <w:b/>
                <w:color w:val="245BA7"/>
                <w:sz w:val="18"/>
              </w:rPr>
            </w:pPr>
            <w:r>
              <w:rPr>
                <w:rFonts w:ascii="Arial" w:hAnsi="Arial"/>
                <w:b/>
                <w:color w:val="245BA7"/>
                <w:sz w:val="18"/>
              </w:rPr>
              <w:t>Payments</w:t>
            </w:r>
          </w:p>
        </w:tc>
      </w:tr>
      <w:tr>
        <w:trPr/>
        <w:tc>
          <w:tcPr>
            <w:tcW w:w="4295"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Attract and retain top talent</w:t>
            </w:r>
          </w:p>
        </w:tc>
        <w:tc>
          <w:tcPr>
            <w:tcW w:w="1026" w:type="dxa"/>
            <w:tcBorders>
              <w:bottom w:val="single" w:sz="2" w:space="0" w:color="575756"/>
            </w:tcBorders>
            <w:shd w:fill="auto" w:val="clear"/>
            <w:tcMar>
              <w:bottom w:w="45" w:type="dxa"/>
            </w:tcMar>
            <w:vAlign w:val="center"/>
          </w:tcPr>
          <w:p>
            <w:pPr>
              <w:pStyle w:val="TableContents"/>
              <w:pBdr/>
              <w:spacing w:before="195" w:after="195"/>
              <w:ind w:left="0" w:right="0" w:hanging="0"/>
              <w:jc w:val="center"/>
              <w:rPr>
                <w:color w:val="245BA7"/>
              </w:rPr>
            </w:pPr>
            <w:r>
              <w:rPr>
                <w:color w:val="245BA7"/>
              </w:rPr>
              <w:t>●</w:t>
            </w:r>
          </w:p>
        </w:tc>
        <w:tc>
          <w:tcPr>
            <w:tcW w:w="1101" w:type="dxa"/>
            <w:tcBorders>
              <w:bottom w:val="single" w:sz="2" w:space="0" w:color="575756"/>
            </w:tcBorders>
            <w:shd w:fill="auto" w:val="clear"/>
            <w:tcMar>
              <w:bottom w:w="45" w:type="dxa"/>
            </w:tcMar>
            <w:vAlign w:val="center"/>
          </w:tcPr>
          <w:p>
            <w:pPr>
              <w:pStyle w:val="TableContents"/>
              <w:pBdr/>
              <w:spacing w:before="195" w:after="195"/>
              <w:ind w:left="0" w:right="0" w:hanging="0"/>
              <w:jc w:val="center"/>
              <w:rPr>
                <w:color w:val="245BA7"/>
              </w:rPr>
            </w:pPr>
            <w:r>
              <w:rPr>
                <w:color w:val="245BA7"/>
              </w:rPr>
              <w:t>●</w:t>
            </w:r>
          </w:p>
        </w:tc>
        <w:tc>
          <w:tcPr>
            <w:tcW w:w="1013" w:type="dxa"/>
            <w:tcBorders>
              <w:bottom w:val="single" w:sz="2" w:space="0" w:color="575756"/>
            </w:tcBorders>
            <w:shd w:fill="auto" w:val="clear"/>
            <w:tcMar>
              <w:bottom w:w="45" w:type="dxa"/>
            </w:tcMar>
            <w:vAlign w:val="center"/>
          </w:tcPr>
          <w:p>
            <w:pPr>
              <w:pStyle w:val="TableContents"/>
              <w:pBdr/>
              <w:spacing w:before="195" w:after="195"/>
              <w:ind w:left="0" w:right="0" w:hanging="0"/>
              <w:jc w:val="center"/>
              <w:rPr>
                <w:color w:val="245BA7"/>
              </w:rPr>
            </w:pPr>
            <w:r>
              <w:rPr>
                <w:color w:val="245BA7"/>
              </w:rPr>
              <w:t>●</w:t>
            </w:r>
          </w:p>
        </w:tc>
        <w:tc>
          <w:tcPr>
            <w:tcW w:w="1322" w:type="dxa"/>
            <w:tcBorders>
              <w:bottom w:val="single" w:sz="2" w:space="0" w:color="575756"/>
            </w:tcBorders>
            <w:shd w:fill="auto" w:val="clear"/>
            <w:tcMar>
              <w:bottom w:w="45" w:type="dxa"/>
            </w:tcMar>
            <w:vAlign w:val="center"/>
          </w:tcPr>
          <w:p>
            <w:pPr>
              <w:pStyle w:val="TableContents"/>
              <w:pBdr/>
              <w:spacing w:before="195" w:after="195"/>
              <w:ind w:left="0" w:right="0" w:hanging="0"/>
              <w:jc w:val="center"/>
              <w:rPr>
                <w:color w:val="245BA7"/>
              </w:rPr>
            </w:pPr>
            <w:r>
              <w:rPr>
                <w:color w:val="245BA7"/>
              </w:rPr>
              <w:t>●</w:t>
            </w:r>
          </w:p>
        </w:tc>
        <w:tc>
          <w:tcPr>
            <w:tcW w:w="1448" w:type="dxa"/>
            <w:tcBorders>
              <w:bottom w:val="single" w:sz="2" w:space="0" w:color="575756"/>
            </w:tcBorders>
            <w:shd w:fill="auto" w:val="clear"/>
            <w:tcMar>
              <w:bottom w:w="45" w:type="dxa"/>
            </w:tcMar>
            <w:vAlign w:val="center"/>
          </w:tcPr>
          <w:p>
            <w:pPr>
              <w:pStyle w:val="TableContents"/>
              <w:pBdr/>
              <w:spacing w:before="195" w:after="195"/>
              <w:ind w:left="0" w:right="0" w:hanging="0"/>
              <w:jc w:val="center"/>
              <w:rPr>
                <w:color w:val="245BA7"/>
              </w:rPr>
            </w:pPr>
            <w:r>
              <w:rPr>
                <w:color w:val="245BA7"/>
              </w:rPr>
              <w:t>●</w:t>
            </w:r>
          </w:p>
        </w:tc>
      </w:tr>
      <w:tr>
        <w:trPr/>
        <w:tc>
          <w:tcPr>
            <w:tcW w:w="429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Provide stability and manage risk</w:t>
            </w:r>
          </w:p>
        </w:tc>
        <w:tc>
          <w:tcPr>
            <w:tcW w:w="1026"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195" w:after="195"/>
              <w:ind w:left="0" w:right="0" w:hanging="0"/>
              <w:jc w:val="center"/>
              <w:rPr>
                <w:color w:val="245BA7"/>
              </w:rPr>
            </w:pPr>
            <w:r>
              <w:rPr>
                <w:color w:val="245BA7"/>
              </w:rPr>
              <w:t>●</w:t>
            </w:r>
          </w:p>
        </w:tc>
        <w:tc>
          <w:tcPr>
            <w:tcW w:w="110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195" w:after="195"/>
              <w:ind w:left="0" w:right="0" w:hanging="0"/>
              <w:jc w:val="center"/>
              <w:rPr>
                <w:color w:val="245BA7"/>
              </w:rPr>
            </w:pPr>
            <w:r>
              <w:rPr>
                <w:color w:val="245BA7"/>
              </w:rPr>
              <w:t> </w:t>
            </w:r>
          </w:p>
        </w:tc>
        <w:tc>
          <w:tcPr>
            <w:tcW w:w="1013"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195" w:after="195"/>
              <w:ind w:left="0" w:right="0" w:hanging="0"/>
              <w:jc w:val="center"/>
              <w:rPr>
                <w:color w:val="245BA7"/>
              </w:rPr>
            </w:pPr>
            <w:r>
              <w:rPr>
                <w:color w:val="245BA7"/>
              </w:rPr>
              <w:t> </w:t>
            </w:r>
          </w:p>
        </w:tc>
        <w:tc>
          <w:tcPr>
            <w:tcW w:w="1322"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195" w:after="195"/>
              <w:ind w:left="0" w:right="0" w:hanging="0"/>
              <w:jc w:val="center"/>
              <w:rPr>
                <w:color w:val="245BA7"/>
              </w:rPr>
            </w:pPr>
            <w:r>
              <w:rPr>
                <w:color w:val="245BA7"/>
              </w:rPr>
              <w:t> </w:t>
            </w:r>
          </w:p>
        </w:tc>
        <w:tc>
          <w:tcPr>
            <w:tcW w:w="1448"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195" w:after="195"/>
              <w:ind w:left="0" w:right="0" w:hanging="0"/>
              <w:jc w:val="center"/>
              <w:rPr>
                <w:color w:val="245BA7"/>
              </w:rPr>
            </w:pPr>
            <w:r>
              <w:rPr>
                <w:color w:val="245BA7"/>
              </w:rPr>
              <w:t>●</w:t>
            </w:r>
          </w:p>
        </w:tc>
      </w:tr>
      <w:tr>
        <w:trPr/>
        <w:tc>
          <w:tcPr>
            <w:tcW w:w="4295"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Reward annual performance</w:t>
            </w:r>
          </w:p>
        </w:tc>
        <w:tc>
          <w:tcPr>
            <w:tcW w:w="1026" w:type="dxa"/>
            <w:tcBorders>
              <w:bottom w:val="single" w:sz="2" w:space="0" w:color="575756"/>
            </w:tcBorders>
            <w:shd w:fill="auto" w:val="clear"/>
            <w:tcMar>
              <w:bottom w:w="45" w:type="dxa"/>
            </w:tcMar>
            <w:vAlign w:val="center"/>
          </w:tcPr>
          <w:p>
            <w:pPr>
              <w:pStyle w:val="TableContents"/>
              <w:pBdr/>
              <w:spacing w:before="195" w:after="195"/>
              <w:ind w:left="0" w:right="0" w:hanging="0"/>
              <w:jc w:val="center"/>
              <w:rPr>
                <w:color w:val="245BA7"/>
              </w:rPr>
            </w:pPr>
            <w:r>
              <w:rPr>
                <w:color w:val="245BA7"/>
              </w:rPr>
              <w:t> </w:t>
            </w:r>
          </w:p>
        </w:tc>
        <w:tc>
          <w:tcPr>
            <w:tcW w:w="1101" w:type="dxa"/>
            <w:tcBorders>
              <w:bottom w:val="single" w:sz="2" w:space="0" w:color="575756"/>
            </w:tcBorders>
            <w:shd w:fill="auto" w:val="clear"/>
            <w:tcMar>
              <w:bottom w:w="45" w:type="dxa"/>
            </w:tcMar>
            <w:vAlign w:val="center"/>
          </w:tcPr>
          <w:p>
            <w:pPr>
              <w:pStyle w:val="TableContents"/>
              <w:pBdr/>
              <w:spacing w:before="195" w:after="195"/>
              <w:ind w:left="0" w:right="0" w:hanging="0"/>
              <w:jc w:val="center"/>
              <w:rPr>
                <w:color w:val="245BA7"/>
              </w:rPr>
            </w:pPr>
            <w:r>
              <w:rPr>
                <w:color w:val="245BA7"/>
              </w:rPr>
              <w:t>●</w:t>
            </w:r>
          </w:p>
        </w:tc>
        <w:tc>
          <w:tcPr>
            <w:tcW w:w="1013" w:type="dxa"/>
            <w:tcBorders>
              <w:bottom w:val="single" w:sz="2" w:space="0" w:color="575756"/>
            </w:tcBorders>
            <w:shd w:fill="auto" w:val="clear"/>
            <w:tcMar>
              <w:bottom w:w="45" w:type="dxa"/>
            </w:tcMar>
            <w:vAlign w:val="center"/>
          </w:tcPr>
          <w:p>
            <w:pPr>
              <w:pStyle w:val="TableContents"/>
              <w:pBdr/>
              <w:spacing w:before="195" w:after="195"/>
              <w:ind w:left="0" w:right="0" w:hanging="0"/>
              <w:jc w:val="center"/>
              <w:rPr>
                <w:color w:val="245BA7"/>
              </w:rPr>
            </w:pPr>
            <w:r>
              <w:rPr>
                <w:color w:val="245BA7"/>
              </w:rPr>
              <w:t> </w:t>
            </w:r>
          </w:p>
        </w:tc>
        <w:tc>
          <w:tcPr>
            <w:tcW w:w="1322" w:type="dxa"/>
            <w:tcBorders>
              <w:bottom w:val="single" w:sz="2" w:space="0" w:color="575756"/>
            </w:tcBorders>
            <w:shd w:fill="auto" w:val="clear"/>
            <w:tcMar>
              <w:bottom w:w="45" w:type="dxa"/>
            </w:tcMar>
            <w:vAlign w:val="center"/>
          </w:tcPr>
          <w:p>
            <w:pPr>
              <w:pStyle w:val="TableContents"/>
              <w:pBdr/>
              <w:spacing w:before="195" w:after="195"/>
              <w:ind w:left="0" w:right="0" w:hanging="0"/>
              <w:jc w:val="center"/>
              <w:rPr>
                <w:color w:val="245BA7"/>
              </w:rPr>
            </w:pPr>
            <w:r>
              <w:rPr>
                <w:color w:val="245BA7"/>
              </w:rPr>
              <w:t> </w:t>
            </w:r>
          </w:p>
        </w:tc>
        <w:tc>
          <w:tcPr>
            <w:tcW w:w="1448" w:type="dxa"/>
            <w:tcBorders>
              <w:bottom w:val="single" w:sz="2" w:space="0" w:color="575756"/>
            </w:tcBorders>
            <w:shd w:fill="auto" w:val="clear"/>
            <w:tcMar>
              <w:bottom w:w="45" w:type="dxa"/>
            </w:tcMar>
            <w:vAlign w:val="center"/>
          </w:tcPr>
          <w:p>
            <w:pPr>
              <w:pStyle w:val="TableContents"/>
              <w:pBdr/>
              <w:spacing w:before="195" w:after="195"/>
              <w:ind w:left="0" w:right="0" w:hanging="0"/>
              <w:jc w:val="center"/>
              <w:rPr>
                <w:color w:val="245BA7"/>
              </w:rPr>
            </w:pPr>
            <w:r>
              <w:rPr>
                <w:color w:val="245BA7"/>
              </w:rPr>
              <w:t> </w:t>
            </w:r>
          </w:p>
        </w:tc>
      </w:tr>
      <w:tr>
        <w:trPr/>
        <w:tc>
          <w:tcPr>
            <w:tcW w:w="429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Balance immediate focus with pursuit of sustainable long-term performance</w:t>
            </w:r>
          </w:p>
        </w:tc>
        <w:tc>
          <w:tcPr>
            <w:tcW w:w="1026"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195" w:after="195"/>
              <w:ind w:left="0" w:right="0" w:hanging="0"/>
              <w:jc w:val="center"/>
              <w:rPr>
                <w:color w:val="245BA7"/>
              </w:rPr>
            </w:pPr>
            <w:r>
              <w:rPr>
                <w:color w:val="245BA7"/>
              </w:rPr>
              <w:t> </w:t>
            </w:r>
          </w:p>
        </w:tc>
        <w:tc>
          <w:tcPr>
            <w:tcW w:w="110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195" w:after="195"/>
              <w:ind w:left="0" w:right="0" w:hanging="0"/>
              <w:jc w:val="center"/>
              <w:rPr>
                <w:color w:val="245BA7"/>
              </w:rPr>
            </w:pPr>
            <w:r>
              <w:rPr>
                <w:color w:val="245BA7"/>
              </w:rPr>
              <w:t> </w:t>
            </w:r>
          </w:p>
        </w:tc>
        <w:tc>
          <w:tcPr>
            <w:tcW w:w="1013"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195" w:after="195"/>
              <w:ind w:left="0" w:right="0" w:hanging="0"/>
              <w:jc w:val="center"/>
              <w:rPr>
                <w:color w:val="245BA7"/>
              </w:rPr>
            </w:pPr>
            <w:r>
              <w:rPr>
                <w:color w:val="245BA7"/>
              </w:rPr>
              <w:t>●</w:t>
            </w:r>
          </w:p>
        </w:tc>
        <w:tc>
          <w:tcPr>
            <w:tcW w:w="1322"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195" w:after="195"/>
              <w:ind w:left="0" w:right="0" w:hanging="0"/>
              <w:jc w:val="center"/>
              <w:rPr>
                <w:color w:val="245BA7"/>
              </w:rPr>
            </w:pPr>
            <w:r>
              <w:rPr>
                <w:color w:val="245BA7"/>
              </w:rPr>
              <w:t> </w:t>
            </w:r>
          </w:p>
        </w:tc>
        <w:tc>
          <w:tcPr>
            <w:tcW w:w="1448"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195" w:after="195"/>
              <w:ind w:left="0" w:right="0" w:hanging="0"/>
              <w:jc w:val="center"/>
              <w:rPr>
                <w:color w:val="245BA7"/>
              </w:rPr>
            </w:pPr>
            <w:r>
              <w:rPr>
                <w:color w:val="245BA7"/>
              </w:rPr>
              <w:t>●</w:t>
            </w:r>
          </w:p>
        </w:tc>
      </w:tr>
      <w:tr>
        <w:trPr/>
        <w:tc>
          <w:tcPr>
            <w:tcW w:w="4295"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Align our employees’ interests with those of shareholders and reward exceptional performance</w:t>
            </w:r>
          </w:p>
        </w:tc>
        <w:tc>
          <w:tcPr>
            <w:tcW w:w="1026" w:type="dxa"/>
            <w:tcBorders>
              <w:bottom w:val="single" w:sz="2" w:space="0" w:color="575756"/>
            </w:tcBorders>
            <w:shd w:fill="auto" w:val="clear"/>
            <w:tcMar>
              <w:bottom w:w="45" w:type="dxa"/>
            </w:tcMar>
            <w:vAlign w:val="center"/>
          </w:tcPr>
          <w:p>
            <w:pPr>
              <w:pStyle w:val="TableContents"/>
              <w:pBdr/>
              <w:spacing w:before="195" w:after="195"/>
              <w:ind w:left="0" w:right="0" w:hanging="0"/>
              <w:jc w:val="center"/>
              <w:rPr>
                <w:color w:val="245BA7"/>
              </w:rPr>
            </w:pPr>
            <w:r>
              <w:rPr>
                <w:color w:val="245BA7"/>
              </w:rPr>
              <w:t> </w:t>
            </w:r>
          </w:p>
        </w:tc>
        <w:tc>
          <w:tcPr>
            <w:tcW w:w="1101" w:type="dxa"/>
            <w:tcBorders>
              <w:bottom w:val="single" w:sz="2" w:space="0" w:color="575756"/>
            </w:tcBorders>
            <w:shd w:fill="auto" w:val="clear"/>
            <w:tcMar>
              <w:bottom w:w="45" w:type="dxa"/>
            </w:tcMar>
            <w:vAlign w:val="center"/>
          </w:tcPr>
          <w:p>
            <w:pPr>
              <w:pStyle w:val="TableContents"/>
              <w:pBdr/>
              <w:spacing w:before="195" w:after="195"/>
              <w:ind w:left="0" w:right="0" w:hanging="0"/>
              <w:jc w:val="center"/>
              <w:rPr>
                <w:color w:val="245BA7"/>
              </w:rPr>
            </w:pPr>
            <w:r>
              <w:rPr>
                <w:color w:val="245BA7"/>
              </w:rPr>
              <w:t>●</w:t>
            </w:r>
          </w:p>
        </w:tc>
        <w:tc>
          <w:tcPr>
            <w:tcW w:w="1013" w:type="dxa"/>
            <w:tcBorders>
              <w:bottom w:val="single" w:sz="2" w:space="0" w:color="575756"/>
            </w:tcBorders>
            <w:shd w:fill="auto" w:val="clear"/>
            <w:tcMar>
              <w:bottom w:w="45" w:type="dxa"/>
            </w:tcMar>
            <w:vAlign w:val="center"/>
          </w:tcPr>
          <w:p>
            <w:pPr>
              <w:pStyle w:val="TableContents"/>
              <w:pBdr/>
              <w:spacing w:before="195" w:after="195"/>
              <w:ind w:left="0" w:right="0" w:hanging="0"/>
              <w:jc w:val="center"/>
              <w:rPr>
                <w:color w:val="245BA7"/>
              </w:rPr>
            </w:pPr>
            <w:r>
              <w:rPr>
                <w:color w:val="245BA7"/>
              </w:rPr>
              <w:t>●</w:t>
            </w:r>
          </w:p>
        </w:tc>
        <w:tc>
          <w:tcPr>
            <w:tcW w:w="1322" w:type="dxa"/>
            <w:tcBorders>
              <w:bottom w:val="single" w:sz="2" w:space="0" w:color="575756"/>
            </w:tcBorders>
            <w:shd w:fill="auto" w:val="clear"/>
            <w:tcMar>
              <w:bottom w:w="45" w:type="dxa"/>
            </w:tcMar>
            <w:vAlign w:val="center"/>
          </w:tcPr>
          <w:p>
            <w:pPr>
              <w:pStyle w:val="TableContents"/>
              <w:pBdr/>
              <w:spacing w:before="195" w:after="195"/>
              <w:ind w:left="0" w:right="0" w:hanging="0"/>
              <w:jc w:val="center"/>
              <w:rPr>
                <w:color w:val="245BA7"/>
              </w:rPr>
            </w:pPr>
            <w:r>
              <w:rPr>
                <w:color w:val="245BA7"/>
              </w:rPr>
              <w:t> </w:t>
            </w:r>
          </w:p>
        </w:tc>
        <w:tc>
          <w:tcPr>
            <w:tcW w:w="1448" w:type="dxa"/>
            <w:tcBorders>
              <w:bottom w:val="single" w:sz="2" w:space="0" w:color="575756"/>
            </w:tcBorders>
            <w:shd w:fill="auto" w:val="clear"/>
            <w:tcMar>
              <w:bottom w:w="45" w:type="dxa"/>
            </w:tcMar>
            <w:vAlign w:val="center"/>
          </w:tcPr>
          <w:p>
            <w:pPr>
              <w:pStyle w:val="TableContents"/>
              <w:pBdr/>
              <w:spacing w:before="195" w:after="195"/>
              <w:ind w:left="0" w:right="0" w:hanging="0"/>
              <w:jc w:val="center"/>
              <w:rPr>
                <w:color w:val="245BA7"/>
              </w:rPr>
            </w:pPr>
            <w:r>
              <w:rPr>
                <w:color w:val="245BA7"/>
              </w:rPr>
              <w:t> </w:t>
            </w:r>
          </w:p>
        </w:tc>
      </w:tr>
      <w:tr>
        <w:trPr/>
        <w:tc>
          <w:tcPr>
            <w:tcW w:w="4295"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Promote a culture of scientific innovation, teamwork, and ethical behavior</w:t>
            </w:r>
          </w:p>
        </w:tc>
        <w:tc>
          <w:tcPr>
            <w:tcW w:w="1026"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195" w:after="195"/>
              <w:ind w:left="0" w:right="0" w:hanging="0"/>
              <w:jc w:val="center"/>
              <w:rPr>
                <w:color w:val="245BA7"/>
              </w:rPr>
            </w:pPr>
            <w:r>
              <w:rPr>
                <w:color w:val="245BA7"/>
              </w:rPr>
              <w:t>●</w:t>
            </w:r>
          </w:p>
        </w:tc>
        <w:tc>
          <w:tcPr>
            <w:tcW w:w="1101"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195" w:after="195"/>
              <w:ind w:left="0" w:right="0" w:hanging="0"/>
              <w:jc w:val="center"/>
              <w:rPr>
                <w:color w:val="245BA7"/>
              </w:rPr>
            </w:pPr>
            <w:r>
              <w:rPr>
                <w:color w:val="245BA7"/>
              </w:rPr>
              <w:t>●</w:t>
            </w:r>
          </w:p>
        </w:tc>
        <w:tc>
          <w:tcPr>
            <w:tcW w:w="1013"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195" w:after="195"/>
              <w:ind w:left="0" w:right="0" w:hanging="0"/>
              <w:jc w:val="center"/>
              <w:rPr>
                <w:color w:val="245BA7"/>
              </w:rPr>
            </w:pPr>
            <w:r>
              <w:rPr>
                <w:color w:val="245BA7"/>
              </w:rPr>
              <w:t>●</w:t>
            </w:r>
          </w:p>
        </w:tc>
        <w:tc>
          <w:tcPr>
            <w:tcW w:w="1322"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195" w:after="195"/>
              <w:ind w:left="0" w:right="0" w:hanging="0"/>
              <w:jc w:val="center"/>
              <w:rPr>
                <w:color w:val="245BA7"/>
              </w:rPr>
            </w:pPr>
            <w:r>
              <w:rPr>
                <w:color w:val="245BA7"/>
              </w:rPr>
              <w:t>●</w:t>
            </w:r>
          </w:p>
        </w:tc>
        <w:tc>
          <w:tcPr>
            <w:tcW w:w="1448"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195" w:after="195"/>
              <w:ind w:left="0" w:right="0" w:hanging="0"/>
              <w:jc w:val="center"/>
              <w:rPr>
                <w:color w:val="245BA7"/>
              </w:rPr>
            </w:pPr>
            <w:r>
              <w:rPr>
                <w:color w:val="245BA7"/>
              </w:rPr>
              <w:t>●</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57"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89" descr=""/>
                          <pic:cNvPicPr>
                            <a:picLocks noChangeAspect="1" noChangeArrowheads="1"/>
                          </pic:cNvPicPr>
                        </pic:nvPicPr>
                        <pic:blipFill>
                          <a:blip r:embed="rId190"/>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62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20" w:name="new_id-111"/>
      <w:bookmarkEnd w:id="120"/>
      <w:r>
        <w:rPr>
          <w:rFonts w:ascii="Arial" w:hAnsi="Arial"/>
          <w:b/>
          <w:i w:val="false"/>
          <w:caps w:val="false"/>
          <w:smallCaps w:val="false"/>
          <w:color w:val="D31B5D"/>
          <w:sz w:val="30"/>
          <w:bdr w:val="single" w:sz="12" w:space="2" w:color="245BA7"/>
        </w:rPr>
        <w:t xml:space="preserve">BASE SALARIES </w:t>
      </w:r>
    </w:p>
    <w:p>
      <w:pPr>
        <w:pStyle w:val="TextBody"/>
        <w:pBdr/>
        <w:spacing w:before="0" w:after="210"/>
        <w:ind w:left="0" w:right="0" w:hanging="0"/>
        <w:rPr>
          <w:rFonts w:ascii="Arial" w:hAnsi="Arial"/>
          <w:color w:val="000000"/>
          <w:sz w:val="21"/>
        </w:rPr>
      </w:pPr>
      <w:r>
        <w:rPr>
          <w:rFonts w:ascii="Arial" w:hAnsi="Arial"/>
          <w:color w:val="000000"/>
          <w:sz w:val="21"/>
        </w:rPr>
        <w:t>The base salary component of NEO pay generally comprises a steadily smaller percentage of overall compensation as executives’ level of responsibility rises.</w:t>
      </w:r>
    </w:p>
    <w:p>
      <w:pPr>
        <w:pStyle w:val="TextBody"/>
        <w:pBdr/>
        <w:spacing w:before="0" w:after="210"/>
        <w:ind w:left="0" w:right="0" w:hanging="0"/>
        <w:rPr>
          <w:rFonts w:ascii="Arial" w:hAnsi="Arial"/>
          <w:color w:val="000000"/>
          <w:sz w:val="21"/>
        </w:rPr>
      </w:pPr>
      <w:r>
        <w:rPr>
          <w:rFonts w:ascii="Arial" w:hAnsi="Arial"/>
          <w:color w:val="000000"/>
          <w:sz w:val="21"/>
        </w:rPr>
        <w:t>We consider factors including the executive’s scope of responsibilities, experience, and annual performance when setting base salaries. We also consider base salaries of comparable positions in the region, among our peers, and in the broader biopharmaceutical industry. See the subsections “Compensation Processes—Independent Compensation Consultant” and “Compensation Processes—Peer Data” for further information regarding the role of the Compensation Committee’s independent compensation consultant and our use of Peer Group data for purposes of setting compensation of our NEOs.</w:t>
      </w:r>
    </w:p>
    <w:p>
      <w:pPr>
        <w:pStyle w:val="Heading4"/>
        <w:pBdr/>
        <w:spacing w:before="0" w:after="150"/>
        <w:ind w:left="0" w:right="0" w:hanging="0"/>
        <w:rPr>
          <w:rFonts w:ascii="Arial" w:hAnsi="Arial"/>
          <w:b/>
          <w:i w:val="false"/>
          <w:caps w:val="false"/>
          <w:smallCaps w:val="false"/>
          <w:color w:val="245BA7"/>
          <w:sz w:val="24"/>
        </w:rPr>
      </w:pPr>
      <w:bookmarkStart w:id="121" w:name="new_id-112"/>
      <w:bookmarkEnd w:id="121"/>
      <w:r>
        <w:rPr>
          <w:rFonts w:ascii="Arial" w:hAnsi="Arial"/>
          <w:b/>
          <w:i w:val="false"/>
          <w:caps w:val="false"/>
          <w:smallCaps w:val="false"/>
          <w:color w:val="245BA7"/>
          <w:sz w:val="24"/>
        </w:rPr>
        <w:t xml:space="preserve">2022–2023 Base Salaries </w:t>
      </w:r>
    </w:p>
    <w:tbl>
      <w:tblPr>
        <w:tblW w:w="6806" w:type="dxa"/>
        <w:jc w:val="left"/>
        <w:tblInd w:w="0" w:type="dxa"/>
        <w:tblCellMar>
          <w:top w:w="0" w:type="dxa"/>
          <w:left w:w="0" w:type="dxa"/>
          <w:bottom w:w="75" w:type="dxa"/>
          <w:right w:w="0" w:type="dxa"/>
        </w:tblCellMar>
      </w:tblPr>
      <w:tblGrid>
        <w:gridCol w:w="3136"/>
        <w:gridCol w:w="1021"/>
        <w:gridCol w:w="146"/>
        <w:gridCol w:w="1021"/>
        <w:gridCol w:w="146"/>
        <w:gridCol w:w="1336"/>
      </w:tblGrid>
      <w:tr>
        <w:trPr/>
        <w:tc>
          <w:tcPr>
            <w:tcW w:w="3136" w:type="dxa"/>
            <w:tcBorders>
              <w:bottom w:val="single" w:sz="12" w:space="0" w:color="245BA7"/>
            </w:tcBorders>
            <w:shd w:fill="auto" w:val="clear"/>
            <w:vAlign w:val="center"/>
          </w:tcPr>
          <w:p>
            <w:pPr>
              <w:pStyle w:val="TableContents"/>
              <w:pBdr/>
              <w:spacing w:before="15" w:after="0"/>
              <w:ind w:left="15" w:right="15" w:hanging="0"/>
              <w:rPr>
                <w:rFonts w:ascii="Arial" w:hAnsi="Arial"/>
                <w:b/>
                <w:color w:val="245BA7"/>
                <w:sz w:val="18"/>
              </w:rPr>
            </w:pPr>
            <w:r>
              <w:rPr>
                <w:rFonts w:ascii="Arial" w:hAnsi="Arial"/>
                <w:b/>
                <w:color w:val="245BA7"/>
                <w:sz w:val="18"/>
              </w:rPr>
              <w:t>Named Executive Officer</w:t>
            </w:r>
          </w:p>
        </w:tc>
        <w:tc>
          <w:tcPr>
            <w:tcW w:w="1021" w:type="dxa"/>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2022 Base</w:t>
            </w:r>
          </w:p>
          <w:p>
            <w:pPr>
              <w:pStyle w:val="TableContents"/>
              <w:pBdr/>
              <w:spacing w:before="15" w:after="0"/>
              <w:ind w:left="0" w:right="0" w:hanging="0"/>
              <w:jc w:val="center"/>
              <w:rPr>
                <w:rFonts w:ascii="Arial" w:hAnsi="Arial"/>
                <w:b/>
                <w:color w:val="245BA7"/>
                <w:sz w:val="18"/>
              </w:rPr>
            </w:pPr>
            <w:r>
              <w:rPr>
                <w:rFonts w:ascii="Arial" w:hAnsi="Arial"/>
                <w:b/>
                <w:color w:val="245BA7"/>
                <w:sz w:val="18"/>
              </w:rPr>
              <w:t>Salary ($)</w:t>
            </w:r>
          </w:p>
        </w:tc>
        <w:tc>
          <w:tcPr>
            <w:tcW w:w="146" w:type="dxa"/>
            <w:tcBorders>
              <w:bottom w:val="single" w:sz="12" w:space="0" w:color="245BA7"/>
            </w:tcBorders>
            <w:shd w:fill="auto" w:val="clear"/>
            <w:tcMar>
              <w:bottom w:w="28" w:type="dxa"/>
            </w:tcMar>
            <w:vAlign w:val="center"/>
          </w:tcPr>
          <w:p>
            <w:pPr>
              <w:pStyle w:val="TableContents"/>
              <w:spacing w:before="0" w:after="283"/>
              <w:rPr/>
            </w:pPr>
            <w:r>
              <w:rPr/>
              <w:t> </w:t>
            </w:r>
          </w:p>
        </w:tc>
        <w:tc>
          <w:tcPr>
            <w:tcW w:w="1021" w:type="dxa"/>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2023 Base</w:t>
            </w:r>
          </w:p>
          <w:p>
            <w:pPr>
              <w:pStyle w:val="TableContents"/>
              <w:pBdr/>
              <w:spacing w:before="15" w:after="0"/>
              <w:ind w:left="0" w:right="0" w:hanging="0"/>
              <w:jc w:val="center"/>
              <w:rPr>
                <w:rFonts w:ascii="Arial" w:hAnsi="Arial"/>
                <w:b/>
                <w:color w:val="245BA7"/>
                <w:sz w:val="18"/>
              </w:rPr>
            </w:pPr>
            <w:r>
              <w:rPr>
                <w:rFonts w:ascii="Arial" w:hAnsi="Arial"/>
                <w:b/>
                <w:color w:val="245BA7"/>
                <w:sz w:val="18"/>
              </w:rPr>
              <w:t>Salary ($)</w:t>
            </w:r>
          </w:p>
        </w:tc>
        <w:tc>
          <w:tcPr>
            <w:tcW w:w="146" w:type="dxa"/>
            <w:tcBorders>
              <w:bottom w:val="single" w:sz="12" w:space="0" w:color="245BA7"/>
            </w:tcBorders>
            <w:shd w:fill="auto" w:val="clear"/>
            <w:tcMar>
              <w:bottom w:w="28" w:type="dxa"/>
            </w:tcMar>
            <w:vAlign w:val="center"/>
          </w:tcPr>
          <w:p>
            <w:pPr>
              <w:pStyle w:val="TableContents"/>
              <w:spacing w:before="0" w:after="283"/>
              <w:rPr/>
            </w:pPr>
            <w:r>
              <w:rPr/>
              <w:t> </w:t>
            </w:r>
          </w:p>
        </w:tc>
        <w:tc>
          <w:tcPr>
            <w:tcW w:w="1336" w:type="dxa"/>
            <w:tcBorders>
              <w:top w:val="single" w:sz="12" w:space="0" w:color="245BA7"/>
              <w:left w:val="single" w:sz="12" w:space="0" w:color="245BA7"/>
              <w:bottom w:val="single" w:sz="12" w:space="0" w:color="245BA7"/>
              <w:right w:val="single" w:sz="12" w:space="0" w:color="245BA7"/>
            </w:tcBorders>
            <w:shd w:fill="245BA7" w:val="clear"/>
            <w:tcMar>
              <w:top w:w="45" w:type="dxa"/>
              <w:left w:w="28" w:type="dxa"/>
              <w:right w:w="28" w:type="dxa"/>
            </w:tcMar>
            <w:vAlign w:val="center"/>
          </w:tcPr>
          <w:p>
            <w:pPr>
              <w:pStyle w:val="TableContents"/>
              <w:pBdr/>
              <w:spacing w:before="15" w:after="0"/>
              <w:ind w:left="0" w:right="0" w:hanging="0"/>
              <w:jc w:val="center"/>
              <w:rPr>
                <w:rFonts w:ascii="Arial" w:hAnsi="Arial"/>
                <w:b/>
                <w:color w:val="FFFFFF"/>
                <w:sz w:val="18"/>
              </w:rPr>
            </w:pPr>
            <w:r>
              <w:rPr>
                <w:rFonts w:ascii="Arial" w:hAnsi="Arial"/>
                <w:b/>
                <w:color w:val="FFFFFF"/>
                <w:sz w:val="18"/>
              </w:rPr>
              <w:t>2023 vs. 2022</w:t>
            </w:r>
          </w:p>
          <w:p>
            <w:pPr>
              <w:pStyle w:val="TableContents"/>
              <w:pBdr/>
              <w:spacing w:before="15" w:after="0"/>
              <w:ind w:left="0" w:right="0" w:hanging="0"/>
              <w:jc w:val="center"/>
              <w:rPr>
                <w:rFonts w:ascii="Arial" w:hAnsi="Arial"/>
                <w:b/>
                <w:color w:val="FFFFFF"/>
                <w:sz w:val="18"/>
              </w:rPr>
            </w:pPr>
            <w:r>
              <w:rPr>
                <w:rFonts w:ascii="Arial" w:hAnsi="Arial"/>
                <w:b/>
                <w:color w:val="FFFFFF"/>
                <w:sz w:val="18"/>
              </w:rPr>
              <w:t>Change (%)</w:t>
            </w:r>
          </w:p>
        </w:tc>
      </w:tr>
      <w:tr>
        <w:trPr/>
        <w:tc>
          <w:tcPr>
            <w:tcW w:w="3136"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Leonard S. Schleifer, M.D., Ph.D.</w:t>
            </w:r>
          </w:p>
        </w:tc>
        <w:tc>
          <w:tcPr>
            <w:tcW w:w="1021"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1,811,995</w:t>
            </w:r>
          </w:p>
        </w:tc>
        <w:tc>
          <w:tcPr>
            <w:tcW w:w="146"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021"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1,875,415</w:t>
            </w:r>
          </w:p>
        </w:tc>
        <w:tc>
          <w:tcPr>
            <w:tcW w:w="146"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336" w:type="dxa"/>
            <w:tcBorders>
              <w:top w:val="single" w:sz="2" w:space="0" w:color="F4F7FB"/>
              <w:left w:val="single" w:sz="2" w:space="0" w:color="F4F7FB"/>
              <w:bottom w:val="single" w:sz="2" w:space="0" w:color="575756"/>
              <w:right w:val="single" w:sz="2" w:space="0" w:color="F4F7FB"/>
            </w:tcBorders>
            <w:shd w:fill="F4F7FB" w:val="clear"/>
            <w:tcMar>
              <w:top w:w="90" w:type="dxa"/>
              <w:left w:w="28" w:type="dxa"/>
              <w:bottom w:w="45" w:type="dxa"/>
              <w:right w:w="28"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3.5</w:t>
            </w:r>
            <w:r>
              <w:rPr>
                <w:rFonts w:ascii="Arial" w:hAnsi="Arial"/>
                <w:color w:val="000000"/>
                <w:sz w:val="11"/>
              </w:rPr>
              <w:t>1</w:t>
            </w:r>
          </w:p>
        </w:tc>
      </w:tr>
      <w:tr>
        <w:trPr/>
        <w:tc>
          <w:tcPr>
            <w:tcW w:w="3136" w:type="dxa"/>
            <w:tcBorders>
              <w:top w:val="single" w:sz="2" w:space="0" w:color="F2F2F2"/>
              <w:left w:val="single" w:sz="2" w:space="0" w:color="F2F2F2"/>
              <w:bottom w:val="single" w:sz="2" w:space="0" w:color="575756"/>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George D. Yancopoulos, M.D., Ph.D.</w:t>
            </w:r>
          </w:p>
        </w:tc>
        <w:tc>
          <w:tcPr>
            <w:tcW w:w="102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1,811,995</w:t>
            </w:r>
          </w:p>
        </w:tc>
        <w:tc>
          <w:tcPr>
            <w:tcW w:w="146"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02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1,875,415</w:t>
            </w:r>
          </w:p>
        </w:tc>
        <w:tc>
          <w:tcPr>
            <w:tcW w:w="146"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336" w:type="dxa"/>
            <w:tcBorders>
              <w:top w:val="single" w:sz="2" w:space="0" w:color="E5EBF4"/>
              <w:left w:val="single" w:sz="2" w:space="0" w:color="E5EBF4"/>
              <w:bottom w:val="single" w:sz="2" w:space="0" w:color="575756"/>
              <w:right w:val="single" w:sz="2" w:space="0" w:color="E5EBF4"/>
            </w:tcBorders>
            <w:shd w:fill="E5EBF4" w:val="clear"/>
            <w:tcMar>
              <w:top w:w="90" w:type="dxa"/>
              <w:left w:w="28" w:type="dxa"/>
              <w:bottom w:w="45" w:type="dxa"/>
              <w:right w:w="28"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3.5</w:t>
            </w:r>
            <w:r>
              <w:rPr>
                <w:rFonts w:ascii="Arial" w:hAnsi="Arial"/>
                <w:color w:val="000000"/>
                <w:sz w:val="11"/>
              </w:rPr>
              <w:t>1</w:t>
            </w:r>
          </w:p>
        </w:tc>
      </w:tr>
      <w:tr>
        <w:trPr/>
        <w:tc>
          <w:tcPr>
            <w:tcW w:w="3136"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Robert E. Landry</w:t>
            </w:r>
          </w:p>
        </w:tc>
        <w:tc>
          <w:tcPr>
            <w:tcW w:w="1021"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851,600</w:t>
            </w:r>
          </w:p>
        </w:tc>
        <w:tc>
          <w:tcPr>
            <w:tcW w:w="146"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021"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881,406</w:t>
            </w:r>
          </w:p>
        </w:tc>
        <w:tc>
          <w:tcPr>
            <w:tcW w:w="146"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336" w:type="dxa"/>
            <w:tcBorders>
              <w:top w:val="single" w:sz="2" w:space="0" w:color="F4F7FB"/>
              <w:left w:val="single" w:sz="2" w:space="0" w:color="F4F7FB"/>
              <w:bottom w:val="single" w:sz="2" w:space="0" w:color="575756"/>
              <w:right w:val="single" w:sz="2" w:space="0" w:color="F4F7FB"/>
            </w:tcBorders>
            <w:shd w:fill="F4F7FB" w:val="clear"/>
            <w:tcMar>
              <w:top w:w="90" w:type="dxa"/>
              <w:left w:w="28" w:type="dxa"/>
              <w:bottom w:w="45" w:type="dxa"/>
              <w:right w:w="28"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3.5</w:t>
            </w:r>
            <w:r>
              <w:rPr>
                <w:rFonts w:ascii="Arial" w:hAnsi="Arial"/>
                <w:color w:val="000000"/>
                <w:sz w:val="11"/>
              </w:rPr>
              <w:t>1</w:t>
            </w:r>
          </w:p>
        </w:tc>
      </w:tr>
      <w:tr>
        <w:trPr/>
        <w:tc>
          <w:tcPr>
            <w:tcW w:w="3136" w:type="dxa"/>
            <w:tcBorders>
              <w:top w:val="single" w:sz="2" w:space="0" w:color="F2F2F2"/>
              <w:left w:val="single" w:sz="2" w:space="0" w:color="F2F2F2"/>
              <w:bottom w:val="single" w:sz="2" w:space="0" w:color="575756"/>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Daniel P. Van Plew</w:t>
            </w:r>
          </w:p>
        </w:tc>
        <w:tc>
          <w:tcPr>
            <w:tcW w:w="102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900,000</w:t>
            </w:r>
          </w:p>
        </w:tc>
        <w:tc>
          <w:tcPr>
            <w:tcW w:w="146"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02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931,500</w:t>
            </w:r>
          </w:p>
        </w:tc>
        <w:tc>
          <w:tcPr>
            <w:tcW w:w="146"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336" w:type="dxa"/>
            <w:tcBorders>
              <w:top w:val="single" w:sz="2" w:space="0" w:color="E5EBF4"/>
              <w:left w:val="single" w:sz="2" w:space="0" w:color="E5EBF4"/>
              <w:bottom w:val="single" w:sz="2" w:space="0" w:color="575756"/>
              <w:right w:val="single" w:sz="2" w:space="0" w:color="E5EBF4"/>
            </w:tcBorders>
            <w:shd w:fill="E5EBF4" w:val="clear"/>
            <w:tcMar>
              <w:top w:w="90" w:type="dxa"/>
              <w:left w:w="28" w:type="dxa"/>
              <w:bottom w:w="45" w:type="dxa"/>
              <w:right w:w="28"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3.5</w:t>
            </w:r>
            <w:r>
              <w:rPr>
                <w:rFonts w:ascii="Arial" w:hAnsi="Arial"/>
                <w:color w:val="000000"/>
                <w:sz w:val="11"/>
              </w:rPr>
              <w:t>1</w:t>
            </w:r>
          </w:p>
        </w:tc>
      </w:tr>
      <w:tr>
        <w:trPr/>
        <w:tc>
          <w:tcPr>
            <w:tcW w:w="3136"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Andrew J. Murphy, Ph.D.</w:t>
            </w:r>
          </w:p>
        </w:tc>
        <w:tc>
          <w:tcPr>
            <w:tcW w:w="1021"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750,000</w:t>
            </w:r>
          </w:p>
        </w:tc>
        <w:tc>
          <w:tcPr>
            <w:tcW w:w="146"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021"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776,250</w:t>
            </w:r>
          </w:p>
        </w:tc>
        <w:tc>
          <w:tcPr>
            <w:tcW w:w="146"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336" w:type="dxa"/>
            <w:tcBorders>
              <w:top w:val="single" w:sz="2" w:space="0" w:color="F4F7FB"/>
              <w:left w:val="single" w:sz="2" w:space="0" w:color="F4F7FB"/>
              <w:bottom w:val="single" w:sz="2" w:space="0" w:color="575756"/>
              <w:right w:val="single" w:sz="2" w:space="0" w:color="F4F7FB"/>
            </w:tcBorders>
            <w:shd w:fill="F4F7FB" w:val="clear"/>
            <w:tcMar>
              <w:top w:w="90" w:type="dxa"/>
              <w:left w:w="28" w:type="dxa"/>
              <w:bottom w:w="45" w:type="dxa"/>
              <w:right w:w="28"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3.5</w:t>
            </w:r>
            <w:r>
              <w:rPr>
                <w:rFonts w:ascii="Arial" w:hAnsi="Arial"/>
                <w:color w:val="000000"/>
                <w:sz w:val="11"/>
              </w:rPr>
              <w:t>1</w:t>
            </w:r>
          </w:p>
        </w:tc>
      </w:tr>
      <w:tr>
        <w:trPr/>
        <w:tc>
          <w:tcPr>
            <w:tcW w:w="3136" w:type="dxa"/>
            <w:tcBorders>
              <w:top w:val="single" w:sz="2" w:space="0" w:color="F2F2F2"/>
              <w:left w:val="single" w:sz="2" w:space="0" w:color="F2F2F2"/>
              <w:bottom w:val="single" w:sz="2" w:space="0" w:color="245BA7"/>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Marion McCourt</w:t>
            </w:r>
          </w:p>
        </w:tc>
        <w:tc>
          <w:tcPr>
            <w:tcW w:w="1021"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706,300</w:t>
            </w:r>
          </w:p>
        </w:tc>
        <w:tc>
          <w:tcPr>
            <w:tcW w:w="146"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021"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731,021</w:t>
            </w:r>
          </w:p>
        </w:tc>
        <w:tc>
          <w:tcPr>
            <w:tcW w:w="146"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336" w:type="dxa"/>
            <w:tcBorders>
              <w:top w:val="single" w:sz="2" w:space="0" w:color="E5EBF4"/>
              <w:left w:val="single" w:sz="2" w:space="0" w:color="E5EBF4"/>
              <w:bottom w:val="single" w:sz="2" w:space="0" w:color="245BA7"/>
              <w:right w:val="single" w:sz="2" w:space="0" w:color="E5EBF4"/>
            </w:tcBorders>
            <w:shd w:fill="E5EBF4" w:val="clear"/>
            <w:tcMar>
              <w:top w:w="90" w:type="dxa"/>
              <w:left w:w="28" w:type="dxa"/>
              <w:bottom w:w="45" w:type="dxa"/>
              <w:right w:w="28"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3.5</w:t>
            </w:r>
            <w:r>
              <w:rPr>
                <w:rFonts w:ascii="Arial" w:hAnsi="Arial"/>
                <w:color w:val="000000"/>
                <w:sz w:val="11"/>
              </w:rPr>
              <w:t>1</w:t>
            </w:r>
          </w:p>
        </w:tc>
      </w:tr>
      <w:tr>
        <w:trPr/>
        <w:tc>
          <w:tcPr>
            <w:tcW w:w="6806" w:type="dxa"/>
            <w:gridSpan w:val="6"/>
            <w:tcBorders/>
            <w:shd w:fill="auto" w:val="clear"/>
            <w:tcMar>
              <w:top w:w="28" w:type="dxa"/>
              <w:left w:w="28" w:type="dxa"/>
              <w:bottom w:w="28" w:type="dxa"/>
              <w:right w:w="28" w:type="dxa"/>
            </w:tcMar>
            <w:vAlign w:val="center"/>
          </w:tcPr>
          <w:p>
            <w:pPr>
              <w:pStyle w:val="TableContents"/>
              <w:spacing w:before="0" w:after="0"/>
              <w:ind w:left="0" w:right="30" w:hanging="0"/>
              <w:rPr>
                <w:rFonts w:ascii="Arial" w:hAnsi="Arial"/>
                <w:color w:val="245BA7"/>
                <w:sz w:val="20"/>
              </w:rPr>
            </w:pPr>
            <w:r>
              <w:rPr>
                <w:rFonts w:ascii="Arial" w:hAnsi="Arial"/>
                <w:color w:val="245BA7"/>
                <w:sz w:val="20"/>
              </w:rPr>
              <w:t>1</w:t>
            </w:r>
          </w:p>
          <w:p>
            <w:pPr>
              <w:pStyle w:val="TableContents"/>
              <w:pBdr/>
              <w:spacing w:before="0" w:after="0"/>
              <w:ind w:left="0" w:right="30" w:hanging="0"/>
              <w:rPr>
                <w:rFonts w:ascii="Arial" w:hAnsi="Arial"/>
                <w:color w:val="000000"/>
                <w:sz w:val="20"/>
              </w:rPr>
            </w:pPr>
            <w:r>
              <w:rPr>
                <w:rFonts w:ascii="Arial" w:hAnsi="Arial"/>
                <w:color w:val="000000"/>
                <w:sz w:val="20"/>
              </w:rPr>
              <w:t>Reflects a 3.5% merit increase consistent with market practice.</w:t>
            </w:r>
          </w:p>
        </w:tc>
      </w:tr>
    </w:tbl>
    <w:p>
      <w:pPr>
        <w:pStyle w:val="TextBody"/>
        <w:pBdr/>
        <w:spacing w:before="0" w:after="210"/>
        <w:ind w:left="0" w:right="0" w:hanging="0"/>
        <w:rPr>
          <w:color w:val="000000"/>
        </w:rPr>
      </w:pPr>
      <w:r>
        <w:rPr>
          <w:color w:val="000000"/>
        </w:rPr>
        <w:t> </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22" w:name="new_id-113"/>
      <w:bookmarkEnd w:id="122"/>
      <w:r>
        <w:rPr>
          <w:rFonts w:ascii="Arial" w:hAnsi="Arial"/>
          <w:b/>
          <w:i w:val="false"/>
          <w:caps w:val="false"/>
          <w:smallCaps w:val="false"/>
          <w:color w:val="D31B5D"/>
          <w:sz w:val="30"/>
          <w:bdr w:val="single" w:sz="12" w:space="2" w:color="245BA7"/>
        </w:rPr>
        <w:t xml:space="preserve">ANNUAL CASH INCENTIVES </w:t>
      </w:r>
    </w:p>
    <w:p>
      <w:pPr>
        <w:pStyle w:val="TextBody"/>
        <w:pBdr/>
        <w:spacing w:before="0" w:after="210"/>
        <w:ind w:left="0" w:right="0" w:hanging="0"/>
        <w:rPr>
          <w:rFonts w:ascii="Arial" w:hAnsi="Arial"/>
          <w:color w:val="000000"/>
          <w:sz w:val="21"/>
        </w:rPr>
      </w:pPr>
      <w:r>
        <w:rPr>
          <w:rFonts w:ascii="Arial" w:hAnsi="Arial"/>
          <w:color w:val="000000"/>
          <w:sz w:val="21"/>
        </w:rPr>
        <w:t xml:space="preserve">Our NEOs are eligible for cash incentives based on annual performance. We use these annual incentive opportunities to reward short-term achievements and milestones towards our long-term goals. </w:t>
      </w:r>
    </w:p>
    <w:p>
      <w:pPr>
        <w:pStyle w:val="TextBody"/>
        <w:pBdr/>
        <w:spacing w:before="0" w:after="210"/>
        <w:ind w:left="0" w:right="0" w:hanging="0"/>
        <w:rPr>
          <w:rFonts w:ascii="Arial" w:hAnsi="Arial"/>
          <w:color w:val="000000"/>
          <w:sz w:val="21"/>
        </w:rPr>
      </w:pPr>
      <w:r>
        <w:rPr>
          <w:rFonts w:ascii="Arial" w:hAnsi="Arial"/>
          <w:color w:val="000000"/>
          <w:sz w:val="21"/>
        </w:rPr>
        <w:t>We focus on our overall corporate performance to determine the cash incentives of our CEO and our CSO. Our other NEOs’ cash incentives are assessed on both our overall corporate performance and on their individual contributions. As shown in the table below, the annual cash incentive opportunity for each NEO in 2022 was a function of the NEO’s cash incentive target (as a percentage of base salary); the weight and multiplier for the corporate performance component; and, if applicable, the weight and multiplier for the individual performance component. Each NEO’s cash incentive target as a percentage of base salary has remained the same for the last three years.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58"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90" descr=""/>
                          <pic:cNvPicPr>
                            <a:picLocks noChangeAspect="1" noChangeArrowheads="1"/>
                          </pic:cNvPicPr>
                        </pic:nvPicPr>
                        <pic:blipFill>
                          <a:blip r:embed="rId191"/>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63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245BA7"/>
          <w:sz w:val="24"/>
        </w:rPr>
      </w:pPr>
      <w:bookmarkStart w:id="123" w:name="new_id-114"/>
      <w:bookmarkEnd w:id="123"/>
      <w:r>
        <w:rPr>
          <w:rFonts w:ascii="Arial" w:hAnsi="Arial"/>
          <w:b/>
          <w:i w:val="false"/>
          <w:caps w:val="false"/>
          <w:smallCaps w:val="false"/>
          <w:color w:val="245BA7"/>
          <w:sz w:val="24"/>
        </w:rPr>
        <w:t xml:space="preserve">How We Calculate Our Cash Incentive Awards </w:t>
      </w:r>
    </w:p>
    <w:p>
      <w:pPr>
        <w:pStyle w:val="TextBody"/>
        <w:pBdr/>
        <w:spacing w:before="0" w:after="210"/>
        <w:jc w:val="left"/>
        <w:rPr>
          <w:caps w:val="false"/>
          <w:smallCaps w:val="false"/>
          <w:color w:val="000000"/>
        </w:rPr>
      </w:pPr>
      <w:r>
        <w:rPr>
          <w:caps w:val="false"/>
          <w:smallCaps w:val="false"/>
          <w:color w:val="000000"/>
        </w:rPr>
        <w:drawing>
          <wp:inline distT="0" distB="0" distL="0" distR="0">
            <wp:extent cx="6667500" cy="3133725"/>
            <wp:effectExtent l="0" t="0" r="0" b="0"/>
            <wp:docPr id="259"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91" descr=""/>
                    <pic:cNvPicPr>
                      <a:picLocks noChangeAspect="1" noChangeArrowheads="1"/>
                    </pic:cNvPicPr>
                  </pic:nvPicPr>
                  <pic:blipFill>
                    <a:blip r:embed="rId192"/>
                    <a:stretch>
                      <a:fillRect/>
                    </a:stretch>
                  </pic:blipFill>
                  <pic:spPr bwMode="auto">
                    <a:xfrm>
                      <a:off x="0" y="0"/>
                      <a:ext cx="6667500" cy="3133725"/>
                    </a:xfrm>
                    <a:prstGeom prst="rect">
                      <a:avLst/>
                    </a:prstGeom>
                  </pic:spPr>
                </pic:pic>
              </a:graphicData>
            </a:graphic>
          </wp:inline>
        </w:drawing>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0"/>
              <w:ind w:left="0" w:right="30" w:hanging="0"/>
              <w:rPr>
                <w:rFonts w:ascii="Arial" w:hAnsi="Arial"/>
                <w:color w:val="000000"/>
                <w:sz w:val="20"/>
              </w:rPr>
            </w:pPr>
            <w:r>
              <w:rPr>
                <w:rFonts w:ascii="Arial" w:hAnsi="Arial"/>
                <w:color w:val="000000"/>
                <w:sz w:val="20"/>
              </w:rPr>
              <w:t>Reflects the historical range used by the Compensation Committee. In extraordinary cases, the Committee may exceed this range. The range for the corporate performance multiplier shown above has been exceeded only once in the last decade.</w:t>
            </w:r>
          </w:p>
        </w:tc>
      </w:tr>
    </w:tbl>
    <w:p>
      <w:pPr>
        <w:pStyle w:val="TextBody"/>
        <w:pBdr/>
        <w:spacing w:before="0" w:after="210"/>
        <w:ind w:left="0" w:right="0" w:hanging="0"/>
        <w:rPr>
          <w:color w:val="000000"/>
        </w:rPr>
      </w:pPr>
      <w:r>
        <w:rPr>
          <w:color w:val="000000"/>
        </w:rPr>
        <w:t> </w:t>
      </w:r>
    </w:p>
    <w:p>
      <w:pPr>
        <w:pStyle w:val="TextBody"/>
        <w:pBdr/>
        <w:spacing w:before="0" w:after="210"/>
        <w:ind w:left="0" w:right="0" w:hanging="0"/>
        <w:rPr>
          <w:rFonts w:ascii="Arial" w:hAnsi="Arial"/>
          <w:color w:val="000000"/>
          <w:sz w:val="21"/>
        </w:rPr>
      </w:pPr>
      <w:r>
        <w:rPr>
          <w:rFonts w:ascii="Arial" w:hAnsi="Arial"/>
          <w:b/>
          <w:color w:val="000000"/>
          <w:sz w:val="21"/>
        </w:rPr>
        <w:t>Using this formula, cash incentives are typically capped at 200% of target for our CEO and CSO and 180% of target for our other NEOs.</w:t>
      </w:r>
      <w:r>
        <w:rPr>
          <w:rFonts w:ascii="Arial" w:hAnsi="Arial"/>
          <w:color w:val="000000"/>
          <w:sz w:val="21"/>
        </w:rPr>
        <w:t xml:space="preserve"> In addition, cash incentives for each NEO and certain other senior executives are capped at the amounts previously allocated to such executives by the Compensation Committee when setting up the cash incentive pool under the Cash Incentive Bonus Plan toward the beginning of every calendar year. See “Compensation Dashboard—Additional Compensation Information—Annual Cash Incentives.”</w:t>
      </w:r>
    </w:p>
    <w:p>
      <w:pPr>
        <w:pStyle w:val="Heading4"/>
        <w:pBdr/>
        <w:spacing w:before="0" w:after="150"/>
        <w:ind w:left="0" w:right="0" w:hanging="0"/>
        <w:rPr>
          <w:rFonts w:ascii="Arial" w:hAnsi="Arial"/>
          <w:b/>
          <w:i w:val="false"/>
          <w:caps w:val="false"/>
          <w:smallCaps w:val="false"/>
          <w:color w:val="245BA7"/>
          <w:sz w:val="24"/>
        </w:rPr>
      </w:pPr>
      <w:bookmarkStart w:id="124" w:name="new_id-115"/>
      <w:bookmarkEnd w:id="124"/>
      <w:r>
        <w:rPr>
          <w:rFonts w:ascii="Arial" w:hAnsi="Arial"/>
          <w:b/>
          <w:i w:val="false"/>
          <w:caps w:val="false"/>
          <w:smallCaps w:val="false"/>
          <w:color w:val="245BA7"/>
          <w:sz w:val="24"/>
        </w:rPr>
        <w:t xml:space="preserve">Corporate Performance </w:t>
      </w:r>
    </w:p>
    <w:p>
      <w:pPr>
        <w:pStyle w:val="TextBody"/>
        <w:pBdr/>
        <w:spacing w:before="0" w:after="210"/>
        <w:ind w:left="0" w:right="0" w:hanging="0"/>
        <w:rPr>
          <w:rFonts w:ascii="Arial" w:hAnsi="Arial"/>
          <w:color w:val="000000"/>
          <w:sz w:val="21"/>
        </w:rPr>
      </w:pPr>
      <w:r>
        <w:rPr>
          <w:rFonts w:ascii="Arial" w:hAnsi="Arial"/>
          <w:color w:val="000000"/>
          <w:sz w:val="21"/>
        </w:rPr>
        <w:t>The Compensation Committee utilizes an in-depth process to review the Company’s performance every year, culminating in the Committee’s determination of the Company performance multiplier for cash incentives awarded at year-end.</w:t>
      </w:r>
    </w:p>
    <w:p>
      <w:pPr>
        <w:pStyle w:val="TextBody"/>
        <w:pBdr/>
        <w:spacing w:before="0" w:after="210"/>
        <w:jc w:val="center"/>
        <w:rPr>
          <w:caps w:val="false"/>
          <w:smallCaps w:val="false"/>
          <w:color w:val="000000"/>
        </w:rPr>
      </w:pPr>
      <w:r>
        <w:rPr>
          <w:caps w:val="false"/>
          <w:smallCaps w:val="false"/>
          <w:color w:val="000000"/>
        </w:rPr>
        <w:drawing>
          <wp:inline distT="0" distB="0" distL="0" distR="0">
            <wp:extent cx="7620000" cy="2162175"/>
            <wp:effectExtent l="0" t="0" r="0" b="0"/>
            <wp:docPr id="260"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92" descr=""/>
                    <pic:cNvPicPr>
                      <a:picLocks noChangeAspect="1" noChangeArrowheads="1"/>
                    </pic:cNvPicPr>
                  </pic:nvPicPr>
                  <pic:blipFill>
                    <a:blip r:embed="rId193"/>
                    <a:stretch>
                      <a:fillRect/>
                    </a:stretch>
                  </pic:blipFill>
                  <pic:spPr bwMode="auto">
                    <a:xfrm>
                      <a:off x="0" y="0"/>
                      <a:ext cx="7620000" cy="2162175"/>
                    </a:xfrm>
                    <a:prstGeom prst="rect">
                      <a:avLst/>
                    </a:prstGeom>
                  </pic:spPr>
                </pic:pic>
              </a:graphicData>
            </a:graphic>
          </wp:inline>
        </w:drawing>
      </w:r>
    </w:p>
    <w:p>
      <w:pPr>
        <w:pStyle w:val="TextBody"/>
        <w:pBdr/>
        <w:spacing w:before="0" w:after="210"/>
        <w:jc w:val="center"/>
        <w:rPr>
          <w:caps w:val="false"/>
          <w:smallCaps w:val="false"/>
          <w:color w:val="000000"/>
        </w:rPr>
      </w:pPr>
      <w:r>
        <w:rPr>
          <w:caps w:val="false"/>
          <w:smallCaps w:val="false"/>
          <w:color w:val="000000"/>
        </w:rPr>
        <w:t> </w:t>
      </w:r>
    </w:p>
    <w:tbl>
      <w:tblPr>
        <w:tblW w:w="10205" w:type="dxa"/>
        <w:jc w:val="center"/>
        <w:tblInd w:w="0" w:type="dxa"/>
        <w:tblCellMar>
          <w:top w:w="28" w:type="dxa"/>
          <w:left w:w="28" w:type="dxa"/>
          <w:bottom w:w="28" w:type="dxa"/>
          <w:right w:w="28" w:type="dxa"/>
        </w:tblCellMar>
      </w:tblPr>
      <w:tblGrid>
        <w:gridCol w:w="2517"/>
        <w:gridCol w:w="109"/>
        <w:gridCol w:w="2188"/>
        <w:gridCol w:w="109"/>
        <w:gridCol w:w="3076"/>
        <w:gridCol w:w="109"/>
        <w:gridCol w:w="2097"/>
      </w:tblGrid>
      <w:tr>
        <w:trPr/>
        <w:tc>
          <w:tcPr>
            <w:tcW w:w="2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7" w:type="dxa"/>
            <w:tcBorders/>
            <w:shd w:fill="auto" w:val="clear"/>
            <w:vAlign w:val="center"/>
          </w:tcPr>
          <w:p>
            <w:pPr>
              <w:pStyle w:val="TableContents"/>
              <w:spacing w:before="0" w:after="283"/>
              <w:rPr>
                <w:sz w:val="4"/>
                <w:szCs w:val="4"/>
              </w:rPr>
            </w:pPr>
            <w:r>
              <w:rPr>
                <w:sz w:val="4"/>
                <w:szCs w:val="4"/>
              </w:rPr>
            </w:r>
          </w:p>
        </w:tc>
      </w:tr>
      <w:tr>
        <w:trPr/>
        <w:tc>
          <w:tcPr>
            <w:tcW w:w="2517" w:type="dxa"/>
            <w:tcBorders/>
            <w:shd w:fill="auto" w:val="clear"/>
            <w:vAlign w:val="center"/>
          </w:tcPr>
          <w:p>
            <w:pPr>
              <w:pStyle w:val="TableContents"/>
              <w:pBdr/>
              <w:spacing w:before="75" w:after="60"/>
              <w:ind w:left="0" w:right="0" w:hanging="0"/>
              <w:jc w:val="left"/>
              <w:rPr>
                <w:rFonts w:ascii="Arial" w:hAnsi="Arial"/>
                <w:b/>
                <w:i w:val="false"/>
                <w:caps w:val="false"/>
                <w:smallCaps w:val="false"/>
                <w:color w:val="D31B5D"/>
                <w:sz w:val="59"/>
              </w:rPr>
            </w:pPr>
            <w:r>
              <w:rPr>
                <w:rFonts w:ascii="Arial" w:hAnsi="Arial"/>
                <w:b/>
                <w:i w:val="false"/>
                <w:caps w:val="false"/>
                <w:smallCaps w:val="false"/>
                <w:color w:val="D31B5D"/>
                <w:sz w:val="59"/>
              </w:rPr>
              <w:t>1</w:t>
            </w:r>
          </w:p>
          <w:p>
            <w:pPr>
              <w:pStyle w:val="TableContents"/>
              <w:pBdr/>
              <w:spacing w:before="0" w:after="105"/>
              <w:ind w:left="135" w:right="135" w:hanging="0"/>
              <w:rPr>
                <w:rFonts w:ascii="Arial" w:hAnsi="Arial"/>
                <w:color w:val="000000"/>
                <w:sz w:val="21"/>
              </w:rPr>
            </w:pPr>
            <w:r>
              <w:rPr>
                <w:rFonts w:ascii="Arial" w:hAnsi="Arial"/>
                <w:b/>
                <w:color w:val="245BA7"/>
                <w:sz w:val="20"/>
              </w:rPr>
              <w:t>Select Milestone Goals Presented</w:t>
            </w:r>
            <w:r>
              <w:rPr>
                <w:rFonts w:ascii="Arial" w:hAnsi="Arial"/>
                <w:color w:val="000000"/>
                <w:sz w:val="21"/>
              </w:rPr>
              <w:t xml:space="preserve"> </w:t>
            </w:r>
          </w:p>
          <w:p>
            <w:pPr>
              <w:pStyle w:val="TableContents"/>
              <w:pBdr/>
              <w:spacing w:before="0" w:after="105"/>
              <w:ind w:left="135" w:right="135" w:hanging="0"/>
              <w:rPr>
                <w:rFonts w:ascii="Arial" w:hAnsi="Arial"/>
                <w:color w:val="000000"/>
                <w:sz w:val="21"/>
              </w:rPr>
            </w:pPr>
            <w:r>
              <w:rPr>
                <w:rFonts w:ascii="Arial" w:hAnsi="Arial"/>
                <w:color w:val="000000"/>
                <w:sz w:val="21"/>
              </w:rPr>
              <w:t xml:space="preserve">at beginning of year, focused on product pipeline and development </w:t>
            </w:r>
          </w:p>
        </w:tc>
        <w:tc>
          <w:tcPr>
            <w:tcW w:w="109" w:type="dxa"/>
            <w:tcBorders/>
            <w:shd w:fill="auto" w:val="clear"/>
            <w:vAlign w:val="center"/>
          </w:tcPr>
          <w:p>
            <w:pPr>
              <w:pStyle w:val="TableContents"/>
              <w:spacing w:before="0" w:after="283"/>
              <w:rPr>
                <w:sz w:val="4"/>
                <w:szCs w:val="4"/>
              </w:rPr>
            </w:pPr>
            <w:r>
              <w:rPr>
                <w:sz w:val="4"/>
                <w:szCs w:val="4"/>
              </w:rPr>
            </w:r>
          </w:p>
        </w:tc>
        <w:tc>
          <w:tcPr>
            <w:tcW w:w="2188" w:type="dxa"/>
            <w:tcBorders/>
            <w:shd w:fill="auto" w:val="clear"/>
            <w:vAlign w:val="center"/>
          </w:tcPr>
          <w:p>
            <w:pPr>
              <w:pStyle w:val="TableContents"/>
              <w:pBdr/>
              <w:spacing w:before="75" w:after="60"/>
              <w:ind w:left="135" w:right="0" w:hanging="0"/>
              <w:rPr>
                <w:rFonts w:ascii="Arial" w:hAnsi="Arial"/>
                <w:b/>
                <w:color w:val="D31B5D"/>
                <w:sz w:val="59"/>
              </w:rPr>
            </w:pPr>
            <w:r>
              <w:rPr>
                <w:rFonts w:ascii="Arial" w:hAnsi="Arial"/>
                <w:b/>
                <w:color w:val="D31B5D"/>
                <w:sz w:val="59"/>
              </w:rPr>
              <w:t>2</w:t>
            </w:r>
          </w:p>
          <w:p>
            <w:pPr>
              <w:pStyle w:val="TableContents"/>
              <w:pBdr/>
              <w:spacing w:before="0" w:after="105"/>
              <w:ind w:left="135" w:right="135" w:hanging="0"/>
              <w:rPr>
                <w:rFonts w:ascii="Arial" w:hAnsi="Arial"/>
                <w:b/>
                <w:color w:val="245BA7"/>
                <w:sz w:val="20"/>
              </w:rPr>
            </w:pPr>
            <w:r>
              <w:rPr>
                <w:rFonts w:ascii="Arial" w:hAnsi="Arial"/>
                <w:b/>
                <w:color w:val="245BA7"/>
                <w:sz w:val="20"/>
              </w:rPr>
              <w:t xml:space="preserve">Progress Updates Throughout the Year </w:t>
            </w:r>
          </w:p>
          <w:p>
            <w:pPr>
              <w:pStyle w:val="TableContents"/>
              <w:pBdr/>
              <w:spacing w:before="0" w:after="105"/>
              <w:ind w:left="135" w:right="135" w:hanging="0"/>
              <w:rPr>
                <w:rFonts w:ascii="Arial" w:hAnsi="Arial"/>
                <w:color w:val="000000"/>
                <w:sz w:val="21"/>
              </w:rPr>
            </w:pPr>
            <w:r>
              <w:rPr>
                <w:rFonts w:ascii="Arial" w:hAnsi="Arial"/>
                <w:color w:val="000000"/>
                <w:sz w:val="21"/>
              </w:rPr>
              <w:t>at regularly scheduled meetings of the board of directors</w:t>
            </w:r>
          </w:p>
        </w:tc>
        <w:tc>
          <w:tcPr>
            <w:tcW w:w="109" w:type="dxa"/>
            <w:tcBorders/>
            <w:shd w:fill="auto" w:val="clear"/>
            <w:vAlign w:val="center"/>
          </w:tcPr>
          <w:p>
            <w:pPr>
              <w:pStyle w:val="TableContents"/>
              <w:spacing w:before="0" w:after="283"/>
              <w:rPr>
                <w:sz w:val="4"/>
                <w:szCs w:val="4"/>
              </w:rPr>
            </w:pPr>
            <w:r>
              <w:rPr>
                <w:sz w:val="4"/>
                <w:szCs w:val="4"/>
              </w:rPr>
            </w:r>
          </w:p>
        </w:tc>
        <w:tc>
          <w:tcPr>
            <w:tcW w:w="3076" w:type="dxa"/>
            <w:tcBorders/>
            <w:shd w:fill="auto" w:val="clear"/>
            <w:vAlign w:val="center"/>
          </w:tcPr>
          <w:p>
            <w:pPr>
              <w:pStyle w:val="TableContents"/>
              <w:pBdr/>
              <w:spacing w:before="75" w:after="60"/>
              <w:ind w:left="135" w:right="0" w:hanging="0"/>
              <w:rPr>
                <w:rFonts w:ascii="Arial" w:hAnsi="Arial"/>
                <w:b/>
                <w:color w:val="D31B5D"/>
                <w:sz w:val="59"/>
              </w:rPr>
            </w:pPr>
            <w:r>
              <w:rPr>
                <w:rFonts w:ascii="Arial" w:hAnsi="Arial"/>
                <w:b/>
                <w:color w:val="D31B5D"/>
                <w:sz w:val="59"/>
              </w:rPr>
              <w:t>3</w:t>
            </w:r>
          </w:p>
          <w:p>
            <w:pPr>
              <w:pStyle w:val="TableContents"/>
              <w:pBdr/>
              <w:spacing w:before="0" w:after="105"/>
              <w:ind w:left="135" w:right="135" w:hanging="0"/>
              <w:rPr>
                <w:rFonts w:ascii="Arial" w:hAnsi="Arial"/>
                <w:b/>
                <w:color w:val="245BA7"/>
                <w:sz w:val="20"/>
              </w:rPr>
            </w:pPr>
            <w:r>
              <w:rPr>
                <w:rFonts w:ascii="Arial" w:hAnsi="Arial"/>
                <w:b/>
                <w:color w:val="245BA7"/>
                <w:sz w:val="20"/>
              </w:rPr>
              <w:t>Final Presentation on Performance</w:t>
            </w:r>
          </w:p>
          <w:p>
            <w:pPr>
              <w:pStyle w:val="TableContents"/>
              <w:pBdr/>
              <w:spacing w:before="0" w:after="105"/>
              <w:ind w:left="135" w:right="135" w:hanging="0"/>
              <w:rPr>
                <w:rFonts w:ascii="Arial" w:hAnsi="Arial"/>
                <w:color w:val="000000"/>
                <w:sz w:val="21"/>
              </w:rPr>
            </w:pPr>
            <w:r>
              <w:rPr>
                <w:rFonts w:ascii="Arial" w:hAnsi="Arial"/>
                <w:color w:val="000000"/>
                <w:sz w:val="21"/>
              </w:rPr>
              <w:t>including a scorecard on select milestone goals and a more holistic assessment across organization</w:t>
            </w:r>
          </w:p>
        </w:tc>
        <w:tc>
          <w:tcPr>
            <w:tcW w:w="109" w:type="dxa"/>
            <w:tcBorders/>
            <w:shd w:fill="auto" w:val="clear"/>
            <w:vAlign w:val="center"/>
          </w:tcPr>
          <w:p>
            <w:pPr>
              <w:pStyle w:val="TableContents"/>
              <w:spacing w:before="0" w:after="283"/>
              <w:rPr>
                <w:sz w:val="4"/>
                <w:szCs w:val="4"/>
              </w:rPr>
            </w:pPr>
            <w:r>
              <w:rPr>
                <w:sz w:val="4"/>
                <w:szCs w:val="4"/>
              </w:rPr>
            </w:r>
          </w:p>
        </w:tc>
        <w:tc>
          <w:tcPr>
            <w:tcW w:w="2097" w:type="dxa"/>
            <w:tcBorders/>
            <w:shd w:fill="auto" w:val="clear"/>
            <w:vAlign w:val="center"/>
          </w:tcPr>
          <w:p>
            <w:pPr>
              <w:pStyle w:val="TableContents"/>
              <w:pBdr/>
              <w:spacing w:before="75" w:after="60"/>
              <w:ind w:left="135" w:right="0" w:hanging="0"/>
              <w:rPr>
                <w:rFonts w:ascii="Arial" w:hAnsi="Arial"/>
                <w:b/>
                <w:color w:val="D31B5D"/>
                <w:sz w:val="59"/>
              </w:rPr>
            </w:pPr>
            <w:r>
              <w:rPr>
                <w:rFonts w:ascii="Arial" w:hAnsi="Arial"/>
                <w:b/>
                <w:color w:val="D31B5D"/>
                <w:sz w:val="59"/>
              </w:rPr>
              <w:t>4</w:t>
            </w:r>
          </w:p>
          <w:p>
            <w:pPr>
              <w:pStyle w:val="TableContents"/>
              <w:pBdr/>
              <w:spacing w:before="0" w:after="105"/>
              <w:ind w:left="135" w:right="135" w:hanging="0"/>
              <w:rPr>
                <w:rFonts w:ascii="Arial" w:hAnsi="Arial"/>
                <w:b/>
                <w:color w:val="245BA7"/>
                <w:sz w:val="20"/>
              </w:rPr>
            </w:pPr>
            <w:r>
              <w:rPr>
                <w:rFonts w:ascii="Arial" w:hAnsi="Arial"/>
                <w:b/>
                <w:color w:val="245BA7"/>
                <w:sz w:val="20"/>
              </w:rPr>
              <w:t>Outcome: Committee Decision</w:t>
            </w:r>
          </w:p>
          <w:p>
            <w:pPr>
              <w:pStyle w:val="TableContents"/>
              <w:pBdr/>
              <w:spacing w:before="0" w:after="105"/>
              <w:ind w:left="135" w:right="135" w:hanging="0"/>
              <w:rPr>
                <w:rFonts w:ascii="Arial" w:hAnsi="Arial"/>
                <w:color w:val="000000"/>
                <w:sz w:val="21"/>
              </w:rPr>
            </w:pPr>
            <w:r>
              <w:rPr>
                <w:rFonts w:ascii="Arial" w:hAnsi="Arial"/>
                <w:color w:val="000000"/>
                <w:sz w:val="21"/>
              </w:rPr>
              <w:t>on Company performance multiplier for year</w:t>
            </w:r>
          </w:p>
        </w:tc>
      </w:tr>
    </w:tbl>
    <w:p>
      <w:pPr>
        <w:pStyle w:val="TextBody"/>
        <w:pBdr/>
        <w:spacing w:before="0" w:after="210"/>
        <w:ind w:left="0" w:right="0" w:hanging="0"/>
        <w:rPr>
          <w:color w:val="000000"/>
        </w:rPr>
      </w:pPr>
      <w:r>
        <w:rPr>
          <w:color w:val="000000"/>
        </w:rPr>
        <w:t> </w:t>
      </w:r>
    </w:p>
    <w:p>
      <w:pPr>
        <w:pStyle w:val="TextBody"/>
        <w:pBdr/>
        <w:spacing w:before="0" w:after="210"/>
        <w:ind w:left="0" w:right="0" w:hanging="0"/>
        <w:rPr>
          <w:rFonts w:ascii="Arial" w:hAnsi="Arial"/>
          <w:color w:val="000000"/>
          <w:sz w:val="21"/>
        </w:rPr>
      </w:pPr>
      <w:r>
        <w:rPr>
          <w:rFonts w:ascii="Arial" w:hAnsi="Arial"/>
          <w:color w:val="000000"/>
          <w:sz w:val="21"/>
        </w:rPr>
        <w:t xml:space="preserve">At the regularly scheduled meeting of the board of directors in January of each year, our CEO presents a targeted selection of potential milestones for the upcoming year that, if achieved, would have a substantial impact on the short-, medium-, and/or long-term success of the Company. These milestones are generally focused on our product pipeline and development in recognition of the importance of innovation as a key component of the Company’s business strategy and valuation, as well as the critical role of the development pipeline in the Company’s long-term success. Throughout the year, the board of directors is apprised of key developments related to these milestones. At the end of the year, the Committee receives a final presentation on Company performance for the year, which includes a discussion of whether and to what extent the select milestones have been achieved in the given year as well as a more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61"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93" descr=""/>
                          <pic:cNvPicPr>
                            <a:picLocks noChangeAspect="1" noChangeArrowheads="1"/>
                          </pic:cNvPicPr>
                        </pic:nvPicPr>
                        <pic:blipFill>
                          <a:blip r:embed="rId194"/>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64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detailed overview of achievements and developments across the organization. This presentation is accompanied by management’s assessment of Company performance for the year. The Committee then conducts its own, holistic assessment of the Company’s performance, with a primary focus on the following three categories:</w:t>
      </w:r>
    </w:p>
    <w:p>
      <w:pPr>
        <w:pStyle w:val="TextBody"/>
        <w:spacing w:before="0" w:after="0"/>
        <w:ind w:left="0" w:right="30" w:hanging="0"/>
        <w:rPr>
          <w:rFonts w:ascii="Arial" w:hAnsi="Arial"/>
          <w:b/>
          <w:color w:val="245BA7"/>
          <w:sz w:val="21"/>
        </w:rPr>
      </w:pPr>
      <w:r>
        <w:rPr>
          <w:rFonts w:ascii="Arial" w:hAnsi="Arial"/>
          <w:b/>
          <w:color w:val="245BA7"/>
          <w:sz w:val="21"/>
        </w:rPr>
        <w:t>1</w:t>
      </w:r>
    </w:p>
    <w:p>
      <w:pPr>
        <w:pStyle w:val="TextBody"/>
        <w:pBdr/>
        <w:spacing w:before="0" w:after="0"/>
        <w:ind w:left="0" w:right="30" w:hanging="0"/>
        <w:rPr>
          <w:rFonts w:ascii="Arial" w:hAnsi="Arial"/>
          <w:color w:val="000000"/>
          <w:sz w:val="21"/>
        </w:rPr>
      </w:pPr>
      <w:r>
        <w:rPr>
          <w:rFonts w:ascii="Arial" w:hAnsi="Arial"/>
          <w:color w:val="000000"/>
          <w:sz w:val="21"/>
        </w:rPr>
        <w:t>factors related to our product pipeline and development for both the near- and long-term;</w:t>
      </w:r>
    </w:p>
    <w:p>
      <w:pPr>
        <w:pStyle w:val="TextBody"/>
        <w:spacing w:before="0" w:after="0"/>
        <w:ind w:left="0" w:right="30" w:hanging="0"/>
        <w:rPr>
          <w:rFonts w:ascii="Arial" w:hAnsi="Arial"/>
          <w:b/>
          <w:color w:val="245BA7"/>
          <w:sz w:val="21"/>
        </w:rPr>
      </w:pPr>
      <w:r>
        <w:rPr>
          <w:rFonts w:ascii="Arial" w:hAnsi="Arial"/>
          <w:b/>
          <w:color w:val="245BA7"/>
          <w:sz w:val="21"/>
        </w:rPr>
        <w:t>2</w:t>
      </w:r>
    </w:p>
    <w:p>
      <w:pPr>
        <w:pStyle w:val="TextBody"/>
        <w:pBdr/>
        <w:spacing w:before="0" w:after="0"/>
        <w:ind w:left="0" w:right="30" w:hanging="0"/>
        <w:rPr>
          <w:rFonts w:ascii="Arial" w:hAnsi="Arial"/>
          <w:color w:val="000000"/>
          <w:sz w:val="21"/>
        </w:rPr>
      </w:pPr>
      <w:r>
        <w:rPr>
          <w:rFonts w:ascii="Arial" w:hAnsi="Arial"/>
          <w:color w:val="000000"/>
          <w:sz w:val="21"/>
        </w:rPr>
        <w:t xml:space="preserve">factors regarding our financial performance and operations; and </w:t>
      </w:r>
    </w:p>
    <w:p>
      <w:pPr>
        <w:pStyle w:val="TextBody"/>
        <w:spacing w:before="0" w:after="0"/>
        <w:ind w:left="0" w:right="30" w:hanging="0"/>
        <w:rPr>
          <w:rFonts w:ascii="Arial" w:hAnsi="Arial"/>
          <w:b/>
          <w:color w:val="245BA7"/>
          <w:sz w:val="21"/>
        </w:rPr>
      </w:pPr>
      <w:r>
        <w:rPr>
          <w:rFonts w:ascii="Arial" w:hAnsi="Arial"/>
          <w:b/>
          <w:color w:val="245BA7"/>
          <w:sz w:val="21"/>
        </w:rPr>
        <w:t>3</w:t>
      </w:r>
    </w:p>
    <w:p>
      <w:pPr>
        <w:pStyle w:val="TextBody"/>
        <w:pBdr/>
        <w:spacing w:before="0" w:after="0"/>
        <w:ind w:left="0" w:right="30" w:hanging="0"/>
        <w:rPr>
          <w:rFonts w:ascii="Arial" w:hAnsi="Arial"/>
          <w:color w:val="000000"/>
          <w:sz w:val="21"/>
        </w:rPr>
      </w:pPr>
      <w:r>
        <w:rPr>
          <w:rFonts w:ascii="Arial" w:hAnsi="Arial"/>
          <w:color w:val="000000"/>
          <w:sz w:val="21"/>
        </w:rPr>
        <w:t>factors related to our talent, culture, and corporate responsibility.</w:t>
      </w:r>
    </w:p>
    <w:p>
      <w:pPr>
        <w:pStyle w:val="TextBody"/>
        <w:pBdr/>
        <w:spacing w:before="0" w:after="210"/>
        <w:ind w:left="0" w:right="0" w:hanging="0"/>
        <w:rPr>
          <w:rFonts w:ascii="Arial" w:hAnsi="Arial"/>
          <w:color w:val="000000"/>
          <w:sz w:val="21"/>
        </w:rPr>
      </w:pPr>
      <w:r>
        <w:rPr>
          <w:rFonts w:ascii="Arial" w:hAnsi="Arial"/>
          <w:color w:val="000000"/>
          <w:sz w:val="21"/>
        </w:rPr>
        <w:t>Shown immediately below are the 2022 milestones identified at the beginning of the year and Regeneron’s progress toward achieving them as of the time the Committee made its final assessment of Company performance for purposes of the Company performance multiplier. See “Compensation Dashboard—Additional Compensation Information—Annual Cash Incentives” for a more detailed presentation of the 2022 accomplishments reviewed by the Committee when setting the Company performance multiplier for 2022.</w:t>
      </w:r>
    </w:p>
    <w:tbl>
      <w:tblPr>
        <w:tblW w:w="10205" w:type="dxa"/>
        <w:jc w:val="left"/>
        <w:tblInd w:w="0" w:type="dxa"/>
        <w:tblCellMar>
          <w:top w:w="0" w:type="dxa"/>
          <w:left w:w="0" w:type="dxa"/>
          <w:bottom w:w="90" w:type="dxa"/>
          <w:right w:w="0" w:type="dxa"/>
        </w:tblCellMar>
      </w:tblPr>
      <w:tblGrid>
        <w:gridCol w:w="2047"/>
        <w:gridCol w:w="5198"/>
        <w:gridCol w:w="2960"/>
      </w:tblGrid>
      <w:tr>
        <w:trPr/>
        <w:tc>
          <w:tcPr>
            <w:tcW w:w="2047" w:type="dxa"/>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Program</w:t>
            </w:r>
          </w:p>
        </w:tc>
        <w:tc>
          <w:tcPr>
            <w:tcW w:w="5198" w:type="dxa"/>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Milestone</w:t>
            </w:r>
          </w:p>
        </w:tc>
        <w:tc>
          <w:tcPr>
            <w:tcW w:w="2960" w:type="dxa"/>
            <w:tcBorders>
              <w:top w:val="single" w:sz="12" w:space="0" w:color="245BA7"/>
              <w:left w:val="single" w:sz="12" w:space="0" w:color="245BA7"/>
              <w:bottom w:val="single" w:sz="2" w:space="0" w:color="245BA7"/>
              <w:right w:val="single" w:sz="12" w:space="0" w:color="245BA7"/>
            </w:tcBorders>
            <w:shd w:fill="245BA7" w:val="clear"/>
            <w:tcMar>
              <w:top w:w="90" w:type="dxa"/>
              <w:left w:w="28" w:type="dxa"/>
              <w:right w:w="28" w:type="dxa"/>
            </w:tcMar>
            <w:vAlign w:val="center"/>
          </w:tcPr>
          <w:p>
            <w:pPr>
              <w:pStyle w:val="TableContents"/>
              <w:pBdr/>
              <w:spacing w:before="15" w:after="0"/>
              <w:ind w:left="0" w:right="0" w:hanging="0"/>
              <w:jc w:val="left"/>
              <w:rPr>
                <w:rFonts w:ascii="Arial" w:hAnsi="Arial"/>
                <w:b/>
                <w:color w:val="FFFFFF"/>
                <w:sz w:val="18"/>
              </w:rPr>
            </w:pPr>
            <w:r>
              <w:rPr>
                <w:rFonts w:ascii="Arial" w:hAnsi="Arial"/>
                <w:b/>
                <w:color w:val="FFFFFF"/>
                <w:sz w:val="18"/>
              </w:rPr>
              <w:t>Status*</w:t>
            </w:r>
          </w:p>
        </w:tc>
      </w:tr>
      <w:tr>
        <w:trPr/>
        <w:tc>
          <w:tcPr>
            <w:tcW w:w="2047"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b/>
                <w:color w:val="000000"/>
                <w:sz w:val="20"/>
              </w:rPr>
            </w:pPr>
            <w:r>
              <w:rPr>
                <w:rFonts w:ascii="Arial" w:hAnsi="Arial"/>
                <w:b/>
                <w:color w:val="000000"/>
                <w:sz w:val="20"/>
              </w:rPr>
              <w:t>Aflibercept 8 mg</w:t>
            </w:r>
          </w:p>
        </w:tc>
        <w:tc>
          <w:tcPr>
            <w:tcW w:w="5198"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Report positive results from Phase 3 studies in wet AMD and DME</w:t>
            </w:r>
          </w:p>
        </w:tc>
        <w:tc>
          <w:tcPr>
            <w:tcW w:w="2960" w:type="dxa"/>
            <w:tcBorders>
              <w:top w:val="single" w:sz="2" w:space="0" w:color="E9EFF6"/>
              <w:left w:val="single" w:sz="2" w:space="0" w:color="E9EFF6"/>
              <w:bottom w:val="single" w:sz="2" w:space="0" w:color="575756"/>
              <w:right w:val="single" w:sz="2" w:space="0" w:color="E9EFF6"/>
            </w:tcBorders>
            <w:shd w:fill="E9EFF6" w:val="clear"/>
            <w:tcMar>
              <w:top w:w="90" w:type="dxa"/>
              <w:left w:w="28" w:type="dxa"/>
              <w:bottom w:w="45" w:type="dxa"/>
              <w:right w:w="28" w:type="dxa"/>
            </w:tcMar>
            <w:vAlign w:val="center"/>
          </w:tcPr>
          <w:p>
            <w:pPr>
              <w:pStyle w:val="TableContents"/>
              <w:pBdr/>
              <w:spacing w:before="0" w:after="45"/>
              <w:ind w:left="75" w:right="75" w:hanging="0"/>
              <w:jc w:val="left"/>
              <w:rPr>
                <w:rFonts w:ascii="Arial" w:hAnsi="Arial"/>
                <w:b/>
                <w:i w:val="false"/>
                <w:caps w:val="false"/>
                <w:smallCaps w:val="false"/>
                <w:color w:val="D31B5D"/>
                <w:sz w:val="20"/>
              </w:rPr>
            </w:pPr>
            <w:r>
              <w:rPr>
                <w:rFonts w:ascii="Arial" w:hAnsi="Arial"/>
                <w:b/>
                <w:i w:val="false"/>
                <w:caps w:val="false"/>
                <w:smallCaps w:val="false"/>
                <w:color w:val="D31B5D"/>
                <w:sz w:val="20"/>
              </w:rPr>
              <w:t>Achieved</w:t>
            </w:r>
          </w:p>
        </w:tc>
      </w:tr>
      <w:tr>
        <w:trPr/>
        <w:tc>
          <w:tcPr>
            <w:tcW w:w="2047" w:type="dxa"/>
            <w:vMerge w:val="restart"/>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b/>
                <w:color w:val="000000"/>
                <w:sz w:val="20"/>
              </w:rPr>
            </w:pPr>
            <w:r>
              <w:rPr>
                <w:rFonts w:ascii="Arial" w:hAnsi="Arial"/>
                <w:b/>
                <w:color w:val="000000"/>
                <w:sz w:val="20"/>
              </w:rPr>
              <w:t>Dupixent (dupilumab)</w:t>
            </w:r>
          </w:p>
        </w:tc>
        <w:tc>
          <w:tcPr>
            <w:tcW w:w="5198"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Complete rolling supplemental Biologics License Application (“sBLA”) submission for eosinophilic esophagitis in adults and adolescents with priority review and approval in late 2022</w:t>
            </w:r>
          </w:p>
        </w:tc>
        <w:tc>
          <w:tcPr>
            <w:tcW w:w="2960" w:type="dxa"/>
            <w:tcBorders>
              <w:top w:val="single" w:sz="2" w:space="0" w:color="D3DEED"/>
              <w:left w:val="single" w:sz="2" w:space="0" w:color="D3DEED"/>
              <w:bottom w:val="single" w:sz="2" w:space="0" w:color="575756"/>
              <w:right w:val="single" w:sz="2" w:space="0" w:color="D3DEED"/>
            </w:tcBorders>
            <w:shd w:fill="D3DEED" w:val="clear"/>
            <w:tcMar>
              <w:top w:w="90" w:type="dxa"/>
              <w:left w:w="28" w:type="dxa"/>
              <w:bottom w:w="45" w:type="dxa"/>
              <w:right w:w="28" w:type="dxa"/>
            </w:tcMar>
            <w:vAlign w:val="center"/>
          </w:tcPr>
          <w:p>
            <w:pPr>
              <w:pStyle w:val="TableContents"/>
              <w:pBdr/>
              <w:spacing w:before="0" w:after="45"/>
              <w:ind w:left="75" w:right="75" w:hanging="0"/>
              <w:jc w:val="left"/>
              <w:rPr>
                <w:rFonts w:ascii="Arial" w:hAnsi="Arial"/>
                <w:b/>
                <w:color w:val="D31B5D"/>
                <w:sz w:val="20"/>
              </w:rPr>
            </w:pPr>
            <w:r>
              <w:rPr>
                <w:rFonts w:ascii="Arial" w:hAnsi="Arial"/>
                <w:b/>
                <w:color w:val="D31B5D"/>
                <w:sz w:val="20"/>
              </w:rPr>
              <w:t>Achieved</w:t>
            </w:r>
          </w:p>
        </w:tc>
      </w:tr>
      <w:tr>
        <w:trPr/>
        <w:tc>
          <w:tcPr>
            <w:tcW w:w="2047" w:type="dxa"/>
            <w:vMerge w:val="continue"/>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Normal"/>
              <w:rPr/>
            </w:pPr>
            <w:r>
              <w:rPr/>
            </w:r>
          </w:p>
        </w:tc>
        <w:tc>
          <w:tcPr>
            <w:tcW w:w="5198"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FDA approval of sBLA for children aged 6 months to 5 years with moderate-to-severe atopic dermatitis</w:t>
            </w:r>
          </w:p>
        </w:tc>
        <w:tc>
          <w:tcPr>
            <w:tcW w:w="2960" w:type="dxa"/>
            <w:tcBorders>
              <w:top w:val="single" w:sz="2" w:space="0" w:color="D3DEED"/>
              <w:left w:val="single" w:sz="2" w:space="0" w:color="D3DEED"/>
              <w:bottom w:val="single" w:sz="2" w:space="0" w:color="575756"/>
              <w:right w:val="single" w:sz="2" w:space="0" w:color="D3DEED"/>
            </w:tcBorders>
            <w:shd w:fill="D3DEED" w:val="clear"/>
            <w:tcMar>
              <w:top w:w="90" w:type="dxa"/>
              <w:left w:w="28" w:type="dxa"/>
              <w:bottom w:w="45" w:type="dxa"/>
              <w:right w:w="28" w:type="dxa"/>
            </w:tcMar>
            <w:vAlign w:val="center"/>
          </w:tcPr>
          <w:p>
            <w:pPr>
              <w:pStyle w:val="TableContents"/>
              <w:pBdr/>
              <w:spacing w:before="0" w:after="45"/>
              <w:ind w:left="75" w:right="75" w:hanging="0"/>
              <w:jc w:val="left"/>
              <w:rPr>
                <w:rFonts w:ascii="Arial" w:hAnsi="Arial"/>
                <w:b/>
                <w:color w:val="D31B5D"/>
                <w:sz w:val="20"/>
              </w:rPr>
            </w:pPr>
            <w:r>
              <w:rPr>
                <w:rFonts w:ascii="Arial" w:hAnsi="Arial"/>
                <w:b/>
                <w:color w:val="D31B5D"/>
                <w:sz w:val="20"/>
              </w:rPr>
              <w:t>Achieved</w:t>
            </w:r>
          </w:p>
        </w:tc>
      </w:tr>
      <w:tr>
        <w:trPr/>
        <w:tc>
          <w:tcPr>
            <w:tcW w:w="2047" w:type="dxa"/>
            <w:vMerge w:val="restart"/>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b/>
                <w:color w:val="000000"/>
                <w:sz w:val="20"/>
              </w:rPr>
            </w:pPr>
            <w:r>
              <w:rPr>
                <w:rFonts w:ascii="Arial" w:hAnsi="Arial"/>
                <w:b/>
                <w:color w:val="000000"/>
                <w:sz w:val="20"/>
              </w:rPr>
              <w:t>Antibodies to SARS-CoV-2 virus</w:t>
            </w:r>
          </w:p>
        </w:tc>
        <w:tc>
          <w:tcPr>
            <w:tcW w:w="5198"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Agree with FDA on regulatory pathway for an accelerated emergency use authorization (“EUA”) for treatment of Omicron (B.1.1.529) variant with “next generation” antibodies; obtain such EUA assuming significant number of COVID-19 cases still ongoing</w:t>
            </w:r>
          </w:p>
        </w:tc>
        <w:tc>
          <w:tcPr>
            <w:tcW w:w="2960" w:type="dxa"/>
            <w:vMerge w:val="restart"/>
            <w:tcBorders>
              <w:top w:val="single" w:sz="2" w:space="0" w:color="E9EFF6"/>
              <w:left w:val="single" w:sz="2" w:space="0" w:color="E9EFF6"/>
              <w:bottom w:val="single" w:sz="2" w:space="0" w:color="575756"/>
              <w:right w:val="single" w:sz="2" w:space="0" w:color="E9EFF6"/>
            </w:tcBorders>
            <w:shd w:fill="E9EFF6" w:val="clear"/>
            <w:tcMar>
              <w:top w:w="90" w:type="dxa"/>
              <w:left w:w="28" w:type="dxa"/>
              <w:bottom w:w="45" w:type="dxa"/>
              <w:right w:w="28" w:type="dxa"/>
            </w:tcMar>
            <w:vAlign w:val="center"/>
          </w:tcPr>
          <w:p>
            <w:pPr>
              <w:pStyle w:val="TableContents"/>
              <w:pBdr/>
              <w:spacing w:before="0" w:after="45"/>
              <w:ind w:left="75" w:right="75" w:hanging="0"/>
              <w:jc w:val="left"/>
              <w:rPr>
                <w:rFonts w:ascii="Arial" w:hAnsi="Arial"/>
                <w:color w:val="000000"/>
                <w:sz w:val="20"/>
              </w:rPr>
            </w:pPr>
            <w:r>
              <w:rPr>
                <w:rFonts w:ascii="Arial" w:hAnsi="Arial"/>
                <w:color w:val="000000"/>
                <w:sz w:val="20"/>
              </w:rPr>
              <w:t>Delayed progress due to speed of Omicron mutations showing resistance to “next-generation” antibodies</w:t>
            </w:r>
          </w:p>
        </w:tc>
      </w:tr>
      <w:tr>
        <w:trPr/>
        <w:tc>
          <w:tcPr>
            <w:tcW w:w="2047" w:type="dxa"/>
            <w:vMerge w:val="continue"/>
            <w:tcBorders>
              <w:bottom w:val="single" w:sz="2" w:space="0" w:color="575756"/>
            </w:tcBorders>
            <w:shd w:fill="auto" w:val="clear"/>
            <w:tcMar>
              <w:bottom w:w="45" w:type="dxa"/>
            </w:tcMar>
            <w:vAlign w:val="center"/>
          </w:tcPr>
          <w:p>
            <w:pPr>
              <w:pStyle w:val="Normal"/>
              <w:rPr/>
            </w:pPr>
            <w:r>
              <w:rPr/>
            </w:r>
          </w:p>
        </w:tc>
        <w:tc>
          <w:tcPr>
            <w:tcW w:w="5198"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Fully enroll a prevention study with “next-generation” antibody or antibodies active against Omicron variant</w:t>
            </w:r>
          </w:p>
        </w:tc>
        <w:tc>
          <w:tcPr>
            <w:tcW w:w="2960" w:type="dxa"/>
            <w:vMerge w:val="continue"/>
            <w:tcBorders>
              <w:top w:val="single" w:sz="2" w:space="0" w:color="E9EFF6"/>
              <w:left w:val="single" w:sz="2" w:space="0" w:color="E9EFF6"/>
              <w:bottom w:val="single" w:sz="2" w:space="0" w:color="575756"/>
              <w:right w:val="single" w:sz="2" w:space="0" w:color="E9EFF6"/>
            </w:tcBorders>
            <w:shd w:fill="E9EFF6" w:val="clear"/>
            <w:tcMar>
              <w:top w:w="90" w:type="dxa"/>
              <w:left w:w="28" w:type="dxa"/>
              <w:bottom w:w="45" w:type="dxa"/>
              <w:right w:w="28" w:type="dxa"/>
            </w:tcMar>
            <w:vAlign w:val="center"/>
          </w:tcPr>
          <w:p>
            <w:pPr>
              <w:pStyle w:val="Normal"/>
              <w:rPr/>
            </w:pPr>
            <w:r>
              <w:rPr/>
            </w:r>
          </w:p>
        </w:tc>
      </w:tr>
      <w:tr>
        <w:trPr/>
        <w:tc>
          <w:tcPr>
            <w:tcW w:w="2047"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b/>
                <w:color w:val="000000"/>
                <w:sz w:val="20"/>
              </w:rPr>
            </w:pPr>
            <w:r>
              <w:rPr>
                <w:rFonts w:ascii="Arial" w:hAnsi="Arial"/>
                <w:b/>
                <w:color w:val="000000"/>
                <w:sz w:val="20"/>
              </w:rPr>
              <w:t>Libtayo (cemiplimab)</w:t>
            </w:r>
          </w:p>
        </w:tc>
        <w:tc>
          <w:tcPr>
            <w:tcW w:w="5198"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FDA approval of sBLA for the treatment of NSCLC in combination with chemotherapy</w:t>
            </w:r>
          </w:p>
        </w:tc>
        <w:tc>
          <w:tcPr>
            <w:tcW w:w="2960" w:type="dxa"/>
            <w:tcBorders>
              <w:top w:val="single" w:sz="2" w:space="0" w:color="D3DEED"/>
              <w:left w:val="single" w:sz="2" w:space="0" w:color="D3DEED"/>
              <w:bottom w:val="single" w:sz="2" w:space="0" w:color="575756"/>
              <w:right w:val="single" w:sz="2" w:space="0" w:color="D3DEED"/>
            </w:tcBorders>
            <w:shd w:fill="D3DEED" w:val="clear"/>
            <w:tcMar>
              <w:top w:w="90" w:type="dxa"/>
              <w:left w:w="28" w:type="dxa"/>
              <w:bottom w:w="45" w:type="dxa"/>
              <w:right w:w="28" w:type="dxa"/>
            </w:tcMar>
            <w:vAlign w:val="center"/>
          </w:tcPr>
          <w:p>
            <w:pPr>
              <w:pStyle w:val="TableContents"/>
              <w:pBdr/>
              <w:spacing w:before="0" w:after="45"/>
              <w:ind w:left="75" w:right="75" w:hanging="0"/>
              <w:jc w:val="left"/>
              <w:rPr>
                <w:rFonts w:ascii="Arial" w:hAnsi="Arial"/>
                <w:b/>
                <w:i w:val="false"/>
                <w:caps w:val="false"/>
                <w:smallCaps w:val="false"/>
                <w:color w:val="D31B5D"/>
                <w:sz w:val="20"/>
              </w:rPr>
            </w:pPr>
            <w:r>
              <w:rPr>
                <w:rFonts w:ascii="Arial" w:hAnsi="Arial"/>
                <w:b/>
                <w:i w:val="false"/>
                <w:caps w:val="false"/>
                <w:smallCaps w:val="false"/>
                <w:color w:val="D31B5D"/>
                <w:sz w:val="20"/>
              </w:rPr>
              <w:t>Achieved</w:t>
            </w:r>
          </w:p>
        </w:tc>
      </w:tr>
      <w:tr>
        <w:trPr/>
        <w:tc>
          <w:tcPr>
            <w:tcW w:w="2047" w:type="dxa"/>
            <w:vMerge w:val="restart"/>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b/>
                <w:color w:val="000000"/>
                <w:sz w:val="20"/>
              </w:rPr>
            </w:pPr>
            <w:r>
              <w:rPr>
                <w:rFonts w:ascii="Arial" w:hAnsi="Arial"/>
                <w:b/>
                <w:color w:val="000000"/>
                <w:sz w:val="20"/>
              </w:rPr>
              <w:t xml:space="preserve">Linvoseltamab </w:t>
              <w:br/>
              <w:t>(BCMA and CD3 bispecific antibody)</w:t>
            </w:r>
          </w:p>
        </w:tc>
        <w:tc>
          <w:tcPr>
            <w:tcW w:w="5198"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Report positive results from potentially pivotal Phase 2 study in multiple myeloma</w:t>
            </w:r>
          </w:p>
        </w:tc>
        <w:tc>
          <w:tcPr>
            <w:tcW w:w="2960" w:type="dxa"/>
            <w:tcBorders>
              <w:top w:val="single" w:sz="2" w:space="0" w:color="E9EFF6"/>
              <w:left w:val="single" w:sz="2" w:space="0" w:color="E9EFF6"/>
              <w:bottom w:val="single" w:sz="2" w:space="0" w:color="575756"/>
              <w:right w:val="single" w:sz="2" w:space="0" w:color="E9EFF6"/>
            </w:tcBorders>
            <w:shd w:fill="E9EFF6" w:val="clear"/>
            <w:tcMar>
              <w:top w:w="90" w:type="dxa"/>
              <w:left w:w="28" w:type="dxa"/>
              <w:bottom w:w="45" w:type="dxa"/>
              <w:right w:w="28" w:type="dxa"/>
            </w:tcMar>
            <w:vAlign w:val="center"/>
          </w:tcPr>
          <w:p>
            <w:pPr>
              <w:pStyle w:val="TableContents"/>
              <w:pBdr/>
              <w:spacing w:before="0" w:after="45"/>
              <w:ind w:left="75" w:right="75" w:hanging="0"/>
              <w:jc w:val="left"/>
              <w:rPr>
                <w:rFonts w:ascii="Arial" w:hAnsi="Arial"/>
                <w:b/>
                <w:color w:val="D31B5D"/>
                <w:sz w:val="20"/>
              </w:rPr>
            </w:pPr>
            <w:r>
              <w:rPr>
                <w:rFonts w:ascii="Arial" w:hAnsi="Arial"/>
                <w:b/>
                <w:color w:val="D31B5D"/>
                <w:sz w:val="20"/>
              </w:rPr>
              <w:t>Achieved</w:t>
            </w:r>
          </w:p>
        </w:tc>
      </w:tr>
      <w:tr>
        <w:trPr/>
        <w:tc>
          <w:tcPr>
            <w:tcW w:w="2047" w:type="dxa"/>
            <w:vMerge w:val="continue"/>
            <w:tcBorders>
              <w:bottom w:val="single" w:sz="2" w:space="0" w:color="575756"/>
            </w:tcBorders>
            <w:shd w:fill="auto" w:val="clear"/>
            <w:tcMar>
              <w:bottom w:w="45" w:type="dxa"/>
            </w:tcMar>
            <w:vAlign w:val="center"/>
          </w:tcPr>
          <w:p>
            <w:pPr>
              <w:pStyle w:val="Normal"/>
              <w:rPr/>
            </w:pPr>
            <w:r>
              <w:rPr/>
            </w:r>
          </w:p>
        </w:tc>
        <w:tc>
          <w:tcPr>
            <w:tcW w:w="5198" w:type="dxa"/>
            <w:tcBorders>
              <w:bottom w:val="single" w:sz="2" w:space="0" w:color="575756"/>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Initiate Phase 1 and Phase 3 studies exploring combinations with standard of care and additional combination studies</w:t>
            </w:r>
          </w:p>
        </w:tc>
        <w:tc>
          <w:tcPr>
            <w:tcW w:w="2960" w:type="dxa"/>
            <w:tcBorders>
              <w:top w:val="single" w:sz="2" w:space="0" w:color="E9EFF6"/>
              <w:left w:val="single" w:sz="2" w:space="0" w:color="E9EFF6"/>
              <w:bottom w:val="single" w:sz="2" w:space="0" w:color="575756"/>
              <w:right w:val="single" w:sz="2" w:space="0" w:color="E9EFF6"/>
            </w:tcBorders>
            <w:shd w:fill="E9EFF6" w:val="clear"/>
            <w:tcMar>
              <w:top w:w="90" w:type="dxa"/>
              <w:left w:w="28" w:type="dxa"/>
              <w:bottom w:w="45" w:type="dxa"/>
              <w:right w:w="28" w:type="dxa"/>
            </w:tcMar>
            <w:vAlign w:val="center"/>
          </w:tcPr>
          <w:p>
            <w:pPr>
              <w:pStyle w:val="TableContents"/>
              <w:pBdr/>
              <w:spacing w:before="0" w:after="45"/>
              <w:ind w:left="75" w:right="75" w:hanging="0"/>
              <w:jc w:val="left"/>
              <w:rPr>
                <w:rFonts w:ascii="Arial" w:hAnsi="Arial"/>
                <w:b/>
                <w:color w:val="D31B5D"/>
                <w:sz w:val="20"/>
              </w:rPr>
            </w:pPr>
            <w:r>
              <w:rPr>
                <w:rFonts w:ascii="Arial" w:hAnsi="Arial"/>
                <w:b/>
                <w:color w:val="D31B5D"/>
                <w:sz w:val="20"/>
              </w:rPr>
              <w:t>Achieved in Part</w:t>
            </w:r>
          </w:p>
          <w:p>
            <w:pPr>
              <w:pStyle w:val="TableContents"/>
              <w:pBdr/>
              <w:spacing w:before="0" w:after="45"/>
              <w:ind w:left="75" w:right="75" w:hanging="0"/>
              <w:jc w:val="left"/>
              <w:rPr>
                <w:rFonts w:ascii="Arial" w:hAnsi="Arial"/>
                <w:color w:val="000000"/>
                <w:sz w:val="20"/>
              </w:rPr>
            </w:pPr>
            <w:r>
              <w:rPr>
                <w:rFonts w:ascii="Arial" w:hAnsi="Arial"/>
                <w:color w:val="000000"/>
                <w:sz w:val="20"/>
              </w:rPr>
              <w:t xml:space="preserve">Phase 1 initiation achieved; </w:t>
              <w:br/>
              <w:t>Phase 3 initiation in process</w:t>
            </w:r>
          </w:p>
        </w:tc>
      </w:tr>
      <w:tr>
        <w:trPr/>
        <w:tc>
          <w:tcPr>
            <w:tcW w:w="2047" w:type="dxa"/>
            <w:vMerge w:val="restart"/>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b/>
                <w:color w:val="000000"/>
                <w:sz w:val="20"/>
              </w:rPr>
            </w:pPr>
            <w:r>
              <w:rPr>
                <w:rFonts w:ascii="Arial" w:hAnsi="Arial"/>
                <w:b/>
                <w:color w:val="000000"/>
                <w:sz w:val="20"/>
              </w:rPr>
              <w:t>Odronextamab (CD20 and CD3 bispecific antibody)</w:t>
            </w:r>
          </w:p>
        </w:tc>
        <w:tc>
          <w:tcPr>
            <w:tcW w:w="5198"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Report positive results from potentially pivotal Phase 2 study in B-cell non-Hodgkin lymphoma; submit BLA for approval</w:t>
            </w:r>
          </w:p>
        </w:tc>
        <w:tc>
          <w:tcPr>
            <w:tcW w:w="2960" w:type="dxa"/>
            <w:tcBorders>
              <w:top w:val="single" w:sz="2" w:space="0" w:color="D3DEED"/>
              <w:left w:val="single" w:sz="2" w:space="0" w:color="D3DEED"/>
              <w:bottom w:val="single" w:sz="2" w:space="0" w:color="575756"/>
              <w:right w:val="single" w:sz="2" w:space="0" w:color="D3DEED"/>
            </w:tcBorders>
            <w:shd w:fill="D3DEED" w:val="clear"/>
            <w:tcMar>
              <w:top w:w="90" w:type="dxa"/>
              <w:left w:w="28" w:type="dxa"/>
              <w:bottom w:w="45" w:type="dxa"/>
              <w:right w:w="28" w:type="dxa"/>
            </w:tcMar>
            <w:vAlign w:val="center"/>
          </w:tcPr>
          <w:p>
            <w:pPr>
              <w:pStyle w:val="TableContents"/>
              <w:pBdr/>
              <w:spacing w:before="0" w:after="45"/>
              <w:ind w:left="75" w:right="75" w:hanging="0"/>
              <w:jc w:val="left"/>
              <w:rPr>
                <w:rFonts w:ascii="Arial" w:hAnsi="Arial"/>
                <w:b/>
                <w:color w:val="D31B5D"/>
                <w:sz w:val="20"/>
              </w:rPr>
            </w:pPr>
            <w:r>
              <w:rPr>
                <w:rFonts w:ascii="Arial" w:hAnsi="Arial"/>
                <w:b/>
                <w:color w:val="D31B5D"/>
                <w:sz w:val="20"/>
              </w:rPr>
              <w:t>Achieved in Part</w:t>
            </w:r>
          </w:p>
          <w:p>
            <w:pPr>
              <w:pStyle w:val="TableContents"/>
              <w:pBdr/>
              <w:spacing w:before="0" w:after="45"/>
              <w:ind w:left="75" w:right="75" w:hanging="0"/>
              <w:jc w:val="left"/>
              <w:rPr>
                <w:rFonts w:ascii="Arial" w:hAnsi="Arial"/>
                <w:color w:val="000000"/>
                <w:sz w:val="20"/>
              </w:rPr>
            </w:pPr>
            <w:r>
              <w:rPr>
                <w:rFonts w:ascii="Arial" w:hAnsi="Arial"/>
                <w:color w:val="000000"/>
                <w:sz w:val="20"/>
              </w:rPr>
              <w:t>Positive Phase 2 results; BLA submission delayed</w:t>
            </w:r>
          </w:p>
        </w:tc>
      </w:tr>
      <w:tr>
        <w:trPr/>
        <w:tc>
          <w:tcPr>
            <w:tcW w:w="2047" w:type="dxa"/>
            <w:vMerge w:val="continue"/>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Normal"/>
              <w:rPr/>
            </w:pPr>
            <w:r>
              <w:rPr/>
            </w:r>
          </w:p>
        </w:tc>
        <w:tc>
          <w:tcPr>
            <w:tcW w:w="5198"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Initiate OLYMPIA Phase 3 program and additional combination studies</w:t>
            </w:r>
          </w:p>
        </w:tc>
        <w:tc>
          <w:tcPr>
            <w:tcW w:w="2960" w:type="dxa"/>
            <w:tcBorders>
              <w:top w:val="single" w:sz="2" w:space="0" w:color="D3DEED"/>
              <w:left w:val="single" w:sz="2" w:space="0" w:color="D3DEED"/>
              <w:bottom w:val="single" w:sz="2" w:space="0" w:color="575756"/>
              <w:right w:val="single" w:sz="2" w:space="0" w:color="D3DEED"/>
            </w:tcBorders>
            <w:shd w:fill="D3DEED" w:val="clear"/>
            <w:tcMar>
              <w:top w:w="90" w:type="dxa"/>
              <w:left w:w="28" w:type="dxa"/>
              <w:bottom w:w="45" w:type="dxa"/>
              <w:right w:w="28" w:type="dxa"/>
            </w:tcMar>
            <w:vAlign w:val="center"/>
          </w:tcPr>
          <w:p>
            <w:pPr>
              <w:pStyle w:val="TableContents"/>
              <w:pBdr/>
              <w:spacing w:before="0" w:after="45"/>
              <w:ind w:left="75" w:right="75" w:hanging="0"/>
              <w:jc w:val="left"/>
              <w:rPr>
                <w:rFonts w:ascii="Arial" w:hAnsi="Arial"/>
                <w:color w:val="000000"/>
                <w:sz w:val="20"/>
              </w:rPr>
            </w:pPr>
            <w:r>
              <w:rPr>
                <w:rFonts w:ascii="Arial" w:hAnsi="Arial"/>
                <w:color w:val="000000"/>
                <w:sz w:val="20"/>
              </w:rPr>
              <w:t>Phase 3 initiation in process</w:t>
            </w:r>
          </w:p>
        </w:tc>
      </w:tr>
      <w:tr>
        <w:trPr/>
        <w:tc>
          <w:tcPr>
            <w:tcW w:w="2047" w:type="dxa"/>
            <w:vMerge w:val="restart"/>
            <w:tcBorders>
              <w:bottom w:val="single" w:sz="2" w:space="0" w:color="245BA7"/>
            </w:tcBorders>
            <w:shd w:fill="auto" w:val="clear"/>
            <w:tcMar>
              <w:bottom w:w="45" w:type="dxa"/>
            </w:tcMar>
            <w:vAlign w:val="center"/>
          </w:tcPr>
          <w:p>
            <w:pPr>
              <w:pStyle w:val="TableContents"/>
              <w:pBdr/>
              <w:spacing w:before="0" w:after="45"/>
              <w:ind w:left="75" w:right="0" w:hanging="0"/>
              <w:rPr>
                <w:rFonts w:ascii="Arial" w:hAnsi="Arial"/>
                <w:b/>
                <w:color w:val="000000"/>
                <w:sz w:val="20"/>
              </w:rPr>
            </w:pPr>
            <w:r>
              <w:rPr>
                <w:rFonts w:ascii="Arial" w:hAnsi="Arial"/>
                <w:b/>
                <w:color w:val="000000"/>
                <w:sz w:val="20"/>
              </w:rPr>
              <w:t>Solid tumor bispecific antibodies</w:t>
            </w:r>
          </w:p>
        </w:tc>
        <w:tc>
          <w:tcPr>
            <w:tcW w:w="5198" w:type="dxa"/>
            <w:tcBorders>
              <w:bottom w:val="single" w:sz="2" w:space="0" w:color="000000"/>
            </w:tcBorders>
            <w:shd w:fill="auto" w:val="clear"/>
            <w:tcMar>
              <w:bottom w:w="45" w:type="dxa"/>
            </w:tcMar>
            <w:vAlign w:val="center"/>
          </w:tcPr>
          <w:p>
            <w:pPr>
              <w:pStyle w:val="TableContents"/>
              <w:pBdr/>
              <w:spacing w:before="0" w:after="45"/>
              <w:ind w:left="75" w:right="75" w:hanging="0"/>
              <w:jc w:val="left"/>
              <w:rPr>
                <w:rFonts w:ascii="Arial" w:hAnsi="Arial"/>
                <w:color w:val="000000"/>
                <w:sz w:val="20"/>
              </w:rPr>
            </w:pPr>
            <w:r>
              <w:rPr>
                <w:rFonts w:ascii="Arial" w:hAnsi="Arial"/>
                <w:color w:val="000000"/>
                <w:sz w:val="20"/>
              </w:rPr>
              <w:t>Obtain proof of concept with a costimulatory bispecific combination therapy</w:t>
            </w:r>
          </w:p>
        </w:tc>
        <w:tc>
          <w:tcPr>
            <w:tcW w:w="2960" w:type="dxa"/>
            <w:tcBorders>
              <w:top w:val="single" w:sz="2" w:space="0" w:color="E9EFF6"/>
              <w:left w:val="single" w:sz="2" w:space="0" w:color="E9EFF6"/>
              <w:bottom w:val="single" w:sz="2" w:space="0" w:color="000000"/>
              <w:right w:val="single" w:sz="2" w:space="0" w:color="E9EFF6"/>
            </w:tcBorders>
            <w:shd w:fill="E9EFF6" w:val="clear"/>
            <w:tcMar>
              <w:top w:w="90" w:type="dxa"/>
              <w:left w:w="28" w:type="dxa"/>
              <w:bottom w:w="45" w:type="dxa"/>
              <w:right w:w="28" w:type="dxa"/>
            </w:tcMar>
            <w:vAlign w:val="center"/>
          </w:tcPr>
          <w:p>
            <w:pPr>
              <w:pStyle w:val="TableContents"/>
              <w:pBdr/>
              <w:spacing w:before="0" w:after="45"/>
              <w:ind w:left="75" w:right="75" w:hanging="0"/>
              <w:jc w:val="left"/>
              <w:rPr>
                <w:rFonts w:ascii="Arial" w:hAnsi="Arial"/>
                <w:b/>
                <w:color w:val="D31B5D"/>
                <w:sz w:val="20"/>
              </w:rPr>
            </w:pPr>
            <w:r>
              <w:rPr>
                <w:rFonts w:ascii="Arial" w:hAnsi="Arial"/>
                <w:b/>
                <w:color w:val="D31B5D"/>
                <w:sz w:val="20"/>
              </w:rPr>
              <w:t>Achieved</w:t>
            </w:r>
          </w:p>
        </w:tc>
      </w:tr>
      <w:tr>
        <w:trPr/>
        <w:tc>
          <w:tcPr>
            <w:tcW w:w="2047" w:type="dxa"/>
            <w:vMerge w:val="continue"/>
            <w:tcBorders>
              <w:bottom w:val="single" w:sz="2" w:space="0" w:color="245BA7"/>
            </w:tcBorders>
            <w:shd w:fill="auto" w:val="clear"/>
            <w:tcMar>
              <w:bottom w:w="45" w:type="dxa"/>
            </w:tcMar>
            <w:vAlign w:val="center"/>
          </w:tcPr>
          <w:p>
            <w:pPr>
              <w:pStyle w:val="Normal"/>
              <w:rPr/>
            </w:pPr>
            <w:r>
              <w:rPr/>
            </w:r>
          </w:p>
        </w:tc>
        <w:tc>
          <w:tcPr>
            <w:tcW w:w="5198" w:type="dxa"/>
            <w:tcBorders>
              <w:bottom w:val="single" w:sz="2" w:space="0" w:color="245BA7"/>
            </w:tcBorders>
            <w:shd w:fill="auto" w:val="clear"/>
            <w:tcMar>
              <w:bottom w:w="45"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Obtain proof of concept for REGN5093 (bispecific antibody targeting two distinct MET epitopes) from Phase 1 study in MET-altered advanced NSCLC</w:t>
            </w:r>
          </w:p>
        </w:tc>
        <w:tc>
          <w:tcPr>
            <w:tcW w:w="2960" w:type="dxa"/>
            <w:tcBorders>
              <w:top w:val="single" w:sz="2" w:space="0" w:color="E9EFF6"/>
              <w:left w:val="single" w:sz="2" w:space="0" w:color="E9EFF6"/>
              <w:bottom w:val="single" w:sz="2" w:space="0" w:color="245BA7"/>
              <w:right w:val="single" w:sz="2" w:space="0" w:color="E9EFF6"/>
            </w:tcBorders>
            <w:shd w:fill="E9EFF6" w:val="clear"/>
            <w:tcMar>
              <w:top w:w="90" w:type="dxa"/>
              <w:left w:w="28" w:type="dxa"/>
              <w:bottom w:w="45" w:type="dxa"/>
              <w:right w:w="28" w:type="dxa"/>
            </w:tcMar>
            <w:vAlign w:val="center"/>
          </w:tcPr>
          <w:p>
            <w:pPr>
              <w:pStyle w:val="TableContents"/>
              <w:pBdr/>
              <w:spacing w:before="0" w:after="45"/>
              <w:ind w:left="75" w:right="75" w:hanging="0"/>
              <w:jc w:val="left"/>
              <w:rPr>
                <w:rFonts w:ascii="Arial" w:hAnsi="Arial"/>
                <w:b/>
                <w:color w:val="D31B5D"/>
                <w:sz w:val="20"/>
              </w:rPr>
            </w:pPr>
            <w:r>
              <w:rPr>
                <w:rFonts w:ascii="Arial" w:hAnsi="Arial"/>
                <w:b/>
                <w:color w:val="D31B5D"/>
                <w:sz w:val="20"/>
              </w:rPr>
              <w:t>Achieved</w:t>
            </w:r>
          </w:p>
        </w:tc>
      </w:tr>
      <w:tr>
        <w:trPr/>
        <w:tc>
          <w:tcPr>
            <w:tcW w:w="10205" w:type="dxa"/>
            <w:gridSpan w:val="3"/>
            <w:tcBorders/>
            <w:shd w:fill="auto" w:val="clear"/>
            <w:tcMar>
              <w:top w:w="28" w:type="dxa"/>
              <w:left w:w="28" w:type="dxa"/>
              <w:bottom w:w="28" w:type="dxa"/>
              <w:right w:w="28" w:type="dxa"/>
            </w:tcMar>
            <w:vAlign w:val="center"/>
          </w:tcPr>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0"/>
              <w:ind w:left="0" w:right="30" w:hanging="0"/>
              <w:rPr>
                <w:rFonts w:ascii="Arial" w:hAnsi="Arial"/>
                <w:color w:val="000000"/>
                <w:sz w:val="20"/>
              </w:rPr>
            </w:pPr>
            <w:r>
              <w:rPr>
                <w:rFonts w:ascii="Arial" w:hAnsi="Arial"/>
                <w:color w:val="000000"/>
                <w:sz w:val="20"/>
              </w:rPr>
              <w:t>As of the time the Committee determined the Company performance multiplier for 2022.</w:t>
            </w:r>
          </w:p>
        </w:tc>
      </w:tr>
    </w:tbl>
    <w:p>
      <w:pPr>
        <w:pStyle w:val="TextBody"/>
        <w:pBdr/>
        <w:spacing w:before="0" w:after="210"/>
        <w:ind w:left="0" w:right="0" w:hanging="0"/>
        <w:rPr>
          <w:rFonts w:ascii="Arial" w:hAnsi="Arial"/>
          <w:color w:val="000000"/>
          <w:sz w:val="21"/>
        </w:rPr>
      </w:pPr>
      <w:r>
        <w:rPr>
          <w:rFonts w:ascii="Arial" w:hAnsi="Arial"/>
          <w:color w:val="000000"/>
          <w:sz w:val="21"/>
        </w:rPr>
        <w:t>Based on a holistic assessment of these milestones as well as other relevant Company performance factors as discussed in this proxy statement, the Compensation Committee set the Company performance multiplier at 1.9 for 2022. In setting the multiplier at 1.9, the Compensation Committee recognized outstanding Company performance in 2022 while also identifying areas of possible improvement. See the subsection “Compensation Dashboard—Additional Compensation Information—Annual Cash Incentives” for additional information.</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62"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94" descr=""/>
                          <pic:cNvPicPr>
                            <a:picLocks noChangeAspect="1" noChangeArrowheads="1"/>
                          </pic:cNvPicPr>
                        </pic:nvPicPr>
                        <pic:blipFill>
                          <a:blip r:embed="rId195"/>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65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245BA7"/>
          <w:sz w:val="24"/>
        </w:rPr>
      </w:pPr>
      <w:bookmarkStart w:id="125" w:name="new_id-116"/>
      <w:bookmarkEnd w:id="125"/>
      <w:r>
        <w:rPr>
          <w:rFonts w:ascii="Arial" w:hAnsi="Arial"/>
          <w:b/>
          <w:i w:val="false"/>
          <w:caps w:val="false"/>
          <w:smallCaps w:val="false"/>
          <w:color w:val="245BA7"/>
          <w:sz w:val="24"/>
        </w:rPr>
        <w:t xml:space="preserve">Individual Performance </w:t>
      </w:r>
    </w:p>
    <w:p>
      <w:pPr>
        <w:pStyle w:val="TextBody"/>
        <w:pBdr/>
        <w:spacing w:before="0" w:after="210"/>
        <w:ind w:left="0" w:right="0" w:hanging="0"/>
        <w:rPr>
          <w:rFonts w:ascii="Arial" w:hAnsi="Arial"/>
          <w:color w:val="000000"/>
          <w:sz w:val="21"/>
        </w:rPr>
      </w:pPr>
      <w:r>
        <w:rPr>
          <w:rFonts w:ascii="Arial" w:hAnsi="Arial"/>
          <w:color w:val="000000"/>
          <w:sz w:val="21"/>
        </w:rPr>
        <w:t>The personal performance multiplier may range from 0 to 1.5. For the explanation of individual factors considered in the cash incentive decisions, see the subsection “Compensation Dashboard—Additional Compensation Information—Annual Cash Incentives.”</w:t>
      </w:r>
    </w:p>
    <w:p>
      <w:pPr>
        <w:pStyle w:val="Heading4"/>
        <w:pBdr/>
        <w:spacing w:before="0" w:after="150"/>
        <w:ind w:left="0" w:right="0" w:hanging="0"/>
        <w:rPr>
          <w:rFonts w:ascii="Arial" w:hAnsi="Arial"/>
          <w:b/>
          <w:i w:val="false"/>
          <w:caps w:val="false"/>
          <w:smallCaps w:val="false"/>
          <w:color w:val="245BA7"/>
          <w:sz w:val="24"/>
        </w:rPr>
      </w:pPr>
      <w:bookmarkStart w:id="126" w:name="new_id-117"/>
      <w:bookmarkEnd w:id="126"/>
      <w:r>
        <w:rPr>
          <w:rFonts w:ascii="Arial" w:hAnsi="Arial"/>
          <w:b/>
          <w:i w:val="false"/>
          <w:caps w:val="false"/>
          <w:smallCaps w:val="false"/>
          <w:color w:val="245BA7"/>
          <w:sz w:val="24"/>
        </w:rPr>
        <w:t xml:space="preserve">2022 Earned Cash Incentives </w:t>
      </w:r>
    </w:p>
    <w:p>
      <w:pPr>
        <w:pStyle w:val="TextBody"/>
        <w:pBdr/>
        <w:spacing w:before="0" w:after="210"/>
        <w:ind w:left="0" w:right="0" w:hanging="0"/>
        <w:rPr>
          <w:rFonts w:ascii="Arial" w:hAnsi="Arial"/>
          <w:color w:val="000000"/>
          <w:sz w:val="21"/>
        </w:rPr>
      </w:pPr>
      <w:r>
        <w:rPr>
          <w:rFonts w:ascii="Arial" w:hAnsi="Arial"/>
          <w:color w:val="000000"/>
          <w:sz w:val="21"/>
        </w:rPr>
        <w:t>In determining the level of 2022 cash incentives earned, we calculated the NEOs’ respective target cash incentive amounts (which, for our CEO, was set approximately at the median of the Peer Group) and applied the Company performance multiplier based on the Company’s achievement of 2022 objectives; and, for the four NEOs who also have a personal performance component, we applied a personal performance multiplier. For the four NEOs with a personal performance component, the personal performance component had a 40% weighting and the Company performance component had a 60% weighting.</w:t>
      </w:r>
    </w:p>
    <w:p>
      <w:pPr>
        <w:pStyle w:val="TextBody"/>
        <w:pBdr/>
        <w:spacing w:before="0" w:after="210"/>
        <w:ind w:left="0" w:right="0" w:hanging="0"/>
        <w:rPr>
          <w:rFonts w:ascii="Arial" w:hAnsi="Arial"/>
          <w:color w:val="000000"/>
          <w:sz w:val="21"/>
        </w:rPr>
      </w:pPr>
      <w:r>
        <w:rPr>
          <w:rFonts w:ascii="Arial" w:hAnsi="Arial"/>
          <w:color w:val="000000"/>
          <w:sz w:val="21"/>
        </w:rPr>
        <w:t>Based on the achievement of corporate goals and, where applicable, individual goals (discussed above and in the subsection “Compensation Dashboard—Additional Compensation Information—Annual Cash Incentives”) in the past year, our NEOs earned the followed cash incentives in 2022:</w:t>
      </w:r>
    </w:p>
    <w:tbl>
      <w:tblPr>
        <w:tblW w:w="9930" w:type="dxa"/>
        <w:jc w:val="left"/>
        <w:tblInd w:w="0" w:type="dxa"/>
        <w:tblCellMar>
          <w:top w:w="0" w:type="dxa"/>
          <w:left w:w="0" w:type="dxa"/>
          <w:bottom w:w="75" w:type="dxa"/>
          <w:right w:w="0" w:type="dxa"/>
        </w:tblCellMar>
      </w:tblPr>
      <w:tblGrid>
        <w:gridCol w:w="3095"/>
        <w:gridCol w:w="935"/>
        <w:gridCol w:w="60"/>
        <w:gridCol w:w="1940"/>
        <w:gridCol w:w="60"/>
        <w:gridCol w:w="75"/>
        <w:gridCol w:w="1145"/>
        <w:gridCol w:w="60"/>
        <w:gridCol w:w="1145"/>
        <w:gridCol w:w="60"/>
        <w:gridCol w:w="1355"/>
      </w:tblGrid>
      <w:tr>
        <w:trPr/>
        <w:tc>
          <w:tcPr>
            <w:tcW w:w="3095" w:type="dxa"/>
            <w:tcBorders>
              <w:bottom w:val="single" w:sz="12" w:space="0" w:color="245BA7"/>
            </w:tcBorders>
            <w:shd w:fill="auto" w:val="clear"/>
            <w:vAlign w:val="center"/>
          </w:tcPr>
          <w:p>
            <w:pPr>
              <w:pStyle w:val="TableContents"/>
              <w:pBdr/>
              <w:spacing w:before="15" w:after="0"/>
              <w:ind w:left="15" w:right="15" w:hanging="0"/>
              <w:rPr>
                <w:rFonts w:ascii="Arial" w:hAnsi="Arial"/>
                <w:b/>
                <w:color w:val="245BA7"/>
                <w:sz w:val="18"/>
              </w:rPr>
            </w:pPr>
            <w:r>
              <w:rPr>
                <w:rFonts w:ascii="Arial" w:hAnsi="Arial"/>
                <w:b/>
                <w:color w:val="245BA7"/>
                <w:sz w:val="18"/>
              </w:rPr>
              <w:t>Named Executive Officer</w:t>
            </w:r>
          </w:p>
        </w:tc>
        <w:tc>
          <w:tcPr>
            <w:tcW w:w="935" w:type="dxa"/>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2022 Base</w:t>
            </w:r>
          </w:p>
          <w:p>
            <w:pPr>
              <w:pStyle w:val="TableContents"/>
              <w:pBdr/>
              <w:spacing w:before="15" w:after="0"/>
              <w:ind w:left="0" w:right="0" w:hanging="0"/>
              <w:jc w:val="center"/>
              <w:rPr>
                <w:rFonts w:ascii="Arial" w:hAnsi="Arial"/>
                <w:b/>
                <w:color w:val="245BA7"/>
                <w:sz w:val="18"/>
              </w:rPr>
            </w:pPr>
            <w:r>
              <w:rPr>
                <w:rFonts w:ascii="Arial" w:hAnsi="Arial"/>
                <w:b/>
                <w:color w:val="245BA7"/>
                <w:sz w:val="18"/>
              </w:rPr>
              <w:t>Salary ($)</w:t>
            </w:r>
          </w:p>
        </w:tc>
        <w:tc>
          <w:tcPr>
            <w:tcW w:w="60" w:type="dxa"/>
            <w:tcBorders>
              <w:bottom w:val="single" w:sz="12" w:space="0" w:color="245BA7"/>
            </w:tcBorders>
            <w:shd w:fill="auto" w:val="clear"/>
            <w:tcMar>
              <w:bottom w:w="28" w:type="dxa"/>
            </w:tcMar>
            <w:vAlign w:val="center"/>
          </w:tcPr>
          <w:p>
            <w:pPr>
              <w:pStyle w:val="TableContents"/>
              <w:spacing w:before="0" w:after="283"/>
              <w:rPr/>
            </w:pPr>
            <w:r>
              <w:rPr/>
              <w:t> </w:t>
            </w:r>
          </w:p>
        </w:tc>
        <w:tc>
          <w:tcPr>
            <w:tcW w:w="1940" w:type="dxa"/>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 xml:space="preserve">Cash Incentive Target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(as percentage of </w:t>
            </w:r>
          </w:p>
          <w:p>
            <w:pPr>
              <w:pStyle w:val="TableContents"/>
              <w:pBdr/>
              <w:spacing w:before="0" w:after="0"/>
              <w:ind w:left="0" w:right="0" w:hanging="0"/>
              <w:jc w:val="center"/>
              <w:rPr>
                <w:rFonts w:ascii="Arial" w:hAnsi="Arial"/>
                <w:b/>
                <w:color w:val="245BA7"/>
                <w:sz w:val="18"/>
              </w:rPr>
            </w:pPr>
            <w:r>
              <w:rPr>
                <w:rFonts w:ascii="Arial" w:hAnsi="Arial"/>
                <w:b/>
                <w:color w:val="245BA7"/>
                <w:sz w:val="18"/>
              </w:rPr>
              <w:t>base salary)</w:t>
            </w:r>
          </w:p>
        </w:tc>
        <w:tc>
          <w:tcPr>
            <w:tcW w:w="60" w:type="dxa"/>
            <w:tcBorders>
              <w:bottom w:val="single" w:sz="12" w:space="0" w:color="245BA7"/>
            </w:tcBorders>
            <w:shd w:fill="auto" w:val="clear"/>
            <w:tcMar>
              <w:bottom w:w="28" w:type="dxa"/>
            </w:tcMar>
            <w:vAlign w:val="center"/>
          </w:tcPr>
          <w:p>
            <w:pPr>
              <w:pStyle w:val="TableContents"/>
              <w:spacing w:before="0" w:after="283"/>
              <w:rPr/>
            </w:pPr>
            <w:r>
              <w:rPr/>
              <w:t> </w:t>
            </w:r>
          </w:p>
        </w:tc>
        <w:tc>
          <w:tcPr>
            <w:tcW w:w="75" w:type="dxa"/>
            <w:tcBorders>
              <w:bottom w:val="single" w:sz="12" w:space="0" w:color="245BA7"/>
            </w:tcBorders>
            <w:shd w:fill="auto" w:val="clear"/>
            <w:vAlign w:val="center"/>
          </w:tcPr>
          <w:p>
            <w:pPr>
              <w:pStyle w:val="TableContents"/>
              <w:pBdr/>
              <w:spacing w:before="15" w:after="0"/>
              <w:ind w:left="15" w:right="15" w:hanging="0"/>
              <w:rPr>
                <w:color w:val="245BA7"/>
              </w:rPr>
            </w:pPr>
            <w:r>
              <w:rPr>
                <w:color w:val="245BA7"/>
              </w:rPr>
              <w:t> </w:t>
            </w:r>
          </w:p>
        </w:tc>
        <w:tc>
          <w:tcPr>
            <w:tcW w:w="1145" w:type="dxa"/>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Personal</w:t>
            </w:r>
          </w:p>
          <w:p>
            <w:pPr>
              <w:pStyle w:val="TableContents"/>
              <w:pBdr/>
              <w:spacing w:before="15" w:after="0"/>
              <w:ind w:left="0" w:right="0" w:hanging="0"/>
              <w:jc w:val="center"/>
              <w:rPr>
                <w:rFonts w:ascii="Arial" w:hAnsi="Arial"/>
                <w:b/>
                <w:color w:val="245BA7"/>
                <w:sz w:val="18"/>
              </w:rPr>
            </w:pPr>
            <w:r>
              <w:rPr>
                <w:rFonts w:ascii="Arial" w:hAnsi="Arial"/>
                <w:b/>
                <w:color w:val="245BA7"/>
                <w:sz w:val="18"/>
              </w:rPr>
              <w:t>Performance</w:t>
            </w:r>
          </w:p>
          <w:p>
            <w:pPr>
              <w:pStyle w:val="TableContents"/>
              <w:pBdr/>
              <w:spacing w:before="15" w:after="0"/>
              <w:ind w:left="0" w:right="0" w:hanging="0"/>
              <w:jc w:val="center"/>
              <w:rPr>
                <w:rFonts w:ascii="Arial" w:hAnsi="Arial"/>
                <w:b/>
                <w:color w:val="245BA7"/>
                <w:sz w:val="18"/>
              </w:rPr>
            </w:pPr>
            <w:r>
              <w:rPr>
                <w:rFonts w:ascii="Arial" w:hAnsi="Arial"/>
                <w:b/>
                <w:color w:val="245BA7"/>
                <w:sz w:val="18"/>
              </w:rPr>
              <w:t>Multiplier</w:t>
            </w:r>
          </w:p>
        </w:tc>
        <w:tc>
          <w:tcPr>
            <w:tcW w:w="60" w:type="dxa"/>
            <w:tcBorders>
              <w:bottom w:val="single" w:sz="12" w:space="0" w:color="245BA7"/>
            </w:tcBorders>
            <w:shd w:fill="auto" w:val="clear"/>
            <w:tcMar>
              <w:bottom w:w="28" w:type="dxa"/>
            </w:tcMar>
            <w:vAlign w:val="center"/>
          </w:tcPr>
          <w:p>
            <w:pPr>
              <w:pStyle w:val="TableContents"/>
              <w:spacing w:before="0" w:after="283"/>
              <w:rPr/>
            </w:pPr>
            <w:r>
              <w:rPr/>
              <w:t> </w:t>
            </w:r>
          </w:p>
        </w:tc>
        <w:tc>
          <w:tcPr>
            <w:tcW w:w="1145" w:type="dxa"/>
            <w:tcBorders>
              <w:bottom w:val="single" w:sz="12" w:space="0" w:color="245BA7"/>
            </w:tcBorders>
            <w:shd w:fill="auto" w:val="clear"/>
            <w:vAlign w:val="center"/>
          </w:tcPr>
          <w:p>
            <w:pPr>
              <w:pStyle w:val="TableContents"/>
              <w:pBdr/>
              <w:spacing w:before="15" w:after="0"/>
              <w:jc w:val="center"/>
              <w:rPr>
                <w:rFonts w:ascii="Arial" w:hAnsi="Arial"/>
                <w:b/>
                <w:i w:val="false"/>
                <w:caps w:val="false"/>
                <w:smallCaps w:val="false"/>
                <w:color w:val="245BA7"/>
                <w:sz w:val="18"/>
              </w:rPr>
            </w:pPr>
            <w:r>
              <w:rPr>
                <w:rFonts w:ascii="Arial" w:hAnsi="Arial"/>
                <w:b/>
                <w:i w:val="false"/>
                <w:caps w:val="false"/>
                <w:smallCaps w:val="false"/>
                <w:color w:val="245BA7"/>
                <w:sz w:val="18"/>
              </w:rPr>
              <w:t>Company</w:t>
            </w:r>
          </w:p>
          <w:p>
            <w:pPr>
              <w:pStyle w:val="TableContents"/>
              <w:pBdr/>
              <w:spacing w:before="15" w:after="0"/>
              <w:jc w:val="center"/>
              <w:rPr>
                <w:rFonts w:ascii="Arial" w:hAnsi="Arial"/>
                <w:b/>
                <w:i w:val="false"/>
                <w:caps w:val="false"/>
                <w:smallCaps w:val="false"/>
                <w:color w:val="245BA7"/>
                <w:sz w:val="18"/>
              </w:rPr>
            </w:pPr>
            <w:r>
              <w:rPr>
                <w:rFonts w:ascii="Arial" w:hAnsi="Arial"/>
                <w:b/>
                <w:i w:val="false"/>
                <w:caps w:val="false"/>
                <w:smallCaps w:val="false"/>
                <w:color w:val="245BA7"/>
                <w:sz w:val="18"/>
              </w:rPr>
              <w:t>Performance</w:t>
            </w:r>
          </w:p>
          <w:p>
            <w:pPr>
              <w:pStyle w:val="TableContents"/>
              <w:pBdr/>
              <w:spacing w:before="15" w:after="0"/>
              <w:jc w:val="center"/>
              <w:rPr>
                <w:rFonts w:ascii="Arial" w:hAnsi="Arial"/>
                <w:b/>
                <w:i w:val="false"/>
                <w:caps w:val="false"/>
                <w:smallCaps w:val="false"/>
                <w:color w:val="245BA7"/>
                <w:sz w:val="18"/>
              </w:rPr>
            </w:pPr>
            <w:r>
              <w:rPr>
                <w:rFonts w:ascii="Arial" w:hAnsi="Arial"/>
                <w:b/>
                <w:i w:val="false"/>
                <w:caps w:val="false"/>
                <w:smallCaps w:val="false"/>
                <w:color w:val="245BA7"/>
                <w:sz w:val="18"/>
              </w:rPr>
              <w:t>Multiplier</w:t>
            </w:r>
          </w:p>
        </w:tc>
        <w:tc>
          <w:tcPr>
            <w:tcW w:w="60" w:type="dxa"/>
            <w:tcBorders>
              <w:bottom w:val="single" w:sz="12" w:space="0" w:color="245BA7"/>
            </w:tcBorders>
            <w:shd w:fill="auto" w:val="clear"/>
            <w:tcMar>
              <w:bottom w:w="28" w:type="dxa"/>
            </w:tcMar>
            <w:vAlign w:val="center"/>
          </w:tcPr>
          <w:p>
            <w:pPr>
              <w:pStyle w:val="TableContents"/>
              <w:spacing w:before="0" w:after="283"/>
              <w:rPr/>
            </w:pPr>
            <w:r>
              <w:rPr/>
              <w:t> </w:t>
            </w:r>
          </w:p>
        </w:tc>
        <w:tc>
          <w:tcPr>
            <w:tcW w:w="1355" w:type="dxa"/>
            <w:tcBorders>
              <w:top w:val="single" w:sz="12" w:space="0" w:color="245BA7"/>
              <w:left w:val="single" w:sz="12" w:space="0" w:color="245BA7"/>
              <w:bottom w:val="single" w:sz="2" w:space="0" w:color="245BA7"/>
              <w:right w:val="single" w:sz="12" w:space="0" w:color="245BA7"/>
            </w:tcBorders>
            <w:shd w:fill="245BA7" w:val="clear"/>
            <w:tcMar>
              <w:top w:w="45" w:type="dxa"/>
              <w:left w:w="28" w:type="dxa"/>
              <w:right w:w="28" w:type="dxa"/>
            </w:tcMar>
            <w:vAlign w:val="center"/>
          </w:tcPr>
          <w:p>
            <w:pPr>
              <w:pStyle w:val="TableContents"/>
              <w:pBdr/>
              <w:spacing w:before="15" w:after="0"/>
              <w:ind w:left="0" w:right="0" w:hanging="0"/>
              <w:jc w:val="center"/>
              <w:rPr>
                <w:rFonts w:ascii="Arial" w:hAnsi="Arial"/>
                <w:b/>
                <w:color w:val="FFFFFF"/>
                <w:sz w:val="18"/>
              </w:rPr>
            </w:pPr>
            <w:r>
              <w:rPr>
                <w:rFonts w:ascii="Arial" w:hAnsi="Arial"/>
                <w:b/>
                <w:color w:val="FFFFFF"/>
                <w:sz w:val="18"/>
              </w:rPr>
              <w:t xml:space="preserve">2022 Total </w:t>
            </w:r>
          </w:p>
          <w:p>
            <w:pPr>
              <w:pStyle w:val="TableContents"/>
              <w:pBdr/>
              <w:spacing w:before="0" w:after="15"/>
              <w:ind w:left="0" w:right="0" w:hanging="0"/>
              <w:jc w:val="center"/>
              <w:rPr>
                <w:rFonts w:ascii="Arial" w:hAnsi="Arial"/>
                <w:b/>
                <w:color w:val="FFFFFF"/>
                <w:sz w:val="18"/>
              </w:rPr>
            </w:pPr>
            <w:r>
              <w:rPr>
                <w:rFonts w:ascii="Arial" w:hAnsi="Arial"/>
                <w:b/>
                <w:color w:val="FFFFFF"/>
                <w:sz w:val="18"/>
              </w:rPr>
              <w:t xml:space="preserve">Cash Incentive </w:t>
            </w:r>
          </w:p>
          <w:p>
            <w:pPr>
              <w:pStyle w:val="TableContents"/>
              <w:pBdr/>
              <w:spacing w:before="0" w:after="0"/>
              <w:ind w:left="0" w:right="0" w:hanging="0"/>
              <w:jc w:val="center"/>
              <w:rPr>
                <w:rFonts w:ascii="Arial" w:hAnsi="Arial"/>
                <w:b/>
                <w:color w:val="FFFFFF"/>
                <w:sz w:val="18"/>
              </w:rPr>
            </w:pPr>
            <w:r>
              <w:rPr>
                <w:rFonts w:ascii="Arial" w:hAnsi="Arial"/>
                <w:b/>
                <w:color w:val="FFFFFF"/>
                <w:sz w:val="18"/>
              </w:rPr>
              <w:t>Payout ($)</w:t>
            </w:r>
          </w:p>
        </w:tc>
      </w:tr>
      <w:tr>
        <w:trPr/>
        <w:tc>
          <w:tcPr>
            <w:tcW w:w="3095"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Leonard S. Schleifer, M.D., Ph.D.</w:t>
            </w:r>
          </w:p>
        </w:tc>
        <w:tc>
          <w:tcPr>
            <w:tcW w:w="935"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1,811,995</w:t>
            </w:r>
          </w:p>
        </w:tc>
        <w:tc>
          <w:tcPr>
            <w:tcW w:w="60"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940"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120%</w:t>
            </w:r>
          </w:p>
        </w:tc>
        <w:tc>
          <w:tcPr>
            <w:tcW w:w="60"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75" w:type="dxa"/>
            <w:tcBorders>
              <w:bottom w:val="single" w:sz="2" w:space="0" w:color="575756"/>
            </w:tcBorders>
            <w:shd w:fill="auto" w:val="clear"/>
            <w:tcMar>
              <w:bottom w:w="30" w:type="dxa"/>
            </w:tcMar>
            <w:vAlign w:val="center"/>
          </w:tcPr>
          <w:p>
            <w:pPr>
              <w:pStyle w:val="TableContents"/>
              <w:pBdr/>
              <w:spacing w:before="0" w:after="45"/>
              <w:ind w:left="15" w:right="0" w:hanging="0"/>
              <w:rPr>
                <w:color w:val="000000"/>
              </w:rPr>
            </w:pPr>
            <w:r>
              <w:rPr>
                <w:color w:val="000000"/>
              </w:rPr>
              <w:t> </w:t>
            </w:r>
          </w:p>
        </w:tc>
        <w:tc>
          <w:tcPr>
            <w:tcW w:w="1145"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n/a</w:t>
            </w:r>
          </w:p>
        </w:tc>
        <w:tc>
          <w:tcPr>
            <w:tcW w:w="60"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45" w:type="dxa"/>
            <w:tcBorders>
              <w:bottom w:val="single" w:sz="2" w:space="0" w:color="575756"/>
            </w:tcBorders>
            <w:shd w:fill="auto" w:val="clear"/>
            <w:tcMar>
              <w:bottom w:w="45" w:type="dxa"/>
            </w:tcMar>
            <w:vAlign w:val="center"/>
          </w:tcPr>
          <w:p>
            <w:pPr>
              <w:pStyle w:val="TableContents"/>
              <w:pBdr/>
              <w:spacing w:before="0" w:after="45"/>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1.9</w:t>
            </w:r>
          </w:p>
        </w:tc>
        <w:tc>
          <w:tcPr>
            <w:tcW w:w="60"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355" w:type="dxa"/>
            <w:tcBorders>
              <w:top w:val="single" w:sz="2" w:space="0" w:color="F4F7FB"/>
              <w:left w:val="single" w:sz="2" w:space="0" w:color="F4F7FB"/>
              <w:bottom w:val="single" w:sz="2" w:space="0" w:color="575756"/>
              <w:right w:val="single" w:sz="2" w:space="0" w:color="F4F7FB"/>
            </w:tcBorders>
            <w:shd w:fill="F4F7FB"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4,131,349</w:t>
            </w:r>
          </w:p>
        </w:tc>
      </w:tr>
      <w:tr>
        <w:trPr/>
        <w:tc>
          <w:tcPr>
            <w:tcW w:w="3095" w:type="dxa"/>
            <w:tcBorders>
              <w:top w:val="single" w:sz="2" w:space="0" w:color="F2F2F2"/>
              <w:left w:val="single" w:sz="2" w:space="0" w:color="F2F2F2"/>
              <w:bottom w:val="single" w:sz="2" w:space="0" w:color="575756"/>
              <w:right w:val="single" w:sz="2" w:space="0" w:color="F2F2F2"/>
            </w:tcBorders>
            <w:shd w:fill="F2F2F2" w:val="clear"/>
            <w:tcMar>
              <w:top w:w="45" w:type="dxa"/>
              <w:left w:w="60" w:type="dxa"/>
              <w:bottom w:w="30" w:type="dxa"/>
              <w:right w:w="28"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George D. Yancopoulos, M.D., Ph.D. </w:t>
            </w:r>
          </w:p>
        </w:tc>
        <w:tc>
          <w:tcPr>
            <w:tcW w:w="935" w:type="dxa"/>
            <w:tcBorders>
              <w:top w:val="single" w:sz="2" w:space="0" w:color="F2F2F2"/>
              <w:left w:val="single" w:sz="2" w:space="0" w:color="F2F2F2"/>
              <w:bottom w:val="single" w:sz="2" w:space="0" w:color="575756"/>
              <w:right w:val="single" w:sz="2" w:space="0" w:color="F2F2F2"/>
            </w:tcBorders>
            <w:shd w:fill="F2F2F2" w:val="clear"/>
            <w:tcMar>
              <w:top w:w="90" w:type="dxa"/>
              <w:left w:w="100" w:type="dxa"/>
              <w:bottom w:w="45" w:type="dxa"/>
              <w:right w:w="160"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1,811,995</w:t>
            </w:r>
          </w:p>
        </w:tc>
        <w:tc>
          <w:tcPr>
            <w:tcW w:w="6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94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600"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120%</w:t>
            </w:r>
          </w:p>
        </w:tc>
        <w:tc>
          <w:tcPr>
            <w:tcW w:w="6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75" w:type="dxa"/>
            <w:tcBorders>
              <w:top w:val="single" w:sz="2" w:space="0" w:color="F2F2F2"/>
              <w:left w:val="single" w:sz="2" w:space="0" w:color="F2F2F2"/>
              <w:bottom w:val="single" w:sz="2" w:space="0" w:color="575756"/>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color w:val="000000"/>
              </w:rPr>
            </w:pPr>
            <w:r>
              <w:rPr>
                <w:color w:val="000000"/>
              </w:rPr>
              <w:t> </w:t>
            </w:r>
          </w:p>
        </w:tc>
        <w:tc>
          <w:tcPr>
            <w:tcW w:w="114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400"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n/a</w:t>
            </w:r>
          </w:p>
        </w:tc>
        <w:tc>
          <w:tcPr>
            <w:tcW w:w="6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14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1.9</w:t>
            </w:r>
          </w:p>
        </w:tc>
        <w:tc>
          <w:tcPr>
            <w:tcW w:w="6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355" w:type="dxa"/>
            <w:tcBorders>
              <w:top w:val="single" w:sz="2" w:space="0" w:color="E5EBF4"/>
              <w:left w:val="single" w:sz="2" w:space="0" w:color="E5EBF4"/>
              <w:bottom w:val="single" w:sz="2" w:space="0" w:color="575756"/>
              <w:right w:val="single" w:sz="2" w:space="0" w:color="E5EBF4"/>
            </w:tcBorders>
            <w:shd w:fill="E5EBF4"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4,131,349</w:t>
            </w:r>
          </w:p>
        </w:tc>
      </w:tr>
      <w:tr>
        <w:trPr/>
        <w:tc>
          <w:tcPr>
            <w:tcW w:w="3095"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Robert E. Landry</w:t>
            </w:r>
          </w:p>
        </w:tc>
        <w:tc>
          <w:tcPr>
            <w:tcW w:w="935"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851,600</w:t>
            </w:r>
          </w:p>
        </w:tc>
        <w:tc>
          <w:tcPr>
            <w:tcW w:w="60"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940"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65%</w:t>
            </w:r>
          </w:p>
        </w:tc>
        <w:tc>
          <w:tcPr>
            <w:tcW w:w="60"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75" w:type="dxa"/>
            <w:tcBorders>
              <w:bottom w:val="single" w:sz="2" w:space="0" w:color="575756"/>
            </w:tcBorders>
            <w:shd w:fill="auto" w:val="clear"/>
            <w:tcMar>
              <w:bottom w:w="30" w:type="dxa"/>
            </w:tcMar>
            <w:vAlign w:val="center"/>
          </w:tcPr>
          <w:p>
            <w:pPr>
              <w:pStyle w:val="TableContents"/>
              <w:pBdr/>
              <w:spacing w:before="0" w:after="45"/>
              <w:ind w:left="15" w:right="0" w:hanging="0"/>
              <w:rPr>
                <w:color w:val="000000"/>
              </w:rPr>
            </w:pPr>
            <w:r>
              <w:rPr>
                <w:color w:val="000000"/>
              </w:rPr>
              <w:t> </w:t>
            </w:r>
          </w:p>
        </w:tc>
        <w:tc>
          <w:tcPr>
            <w:tcW w:w="1145"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1.5</w:t>
            </w:r>
          </w:p>
        </w:tc>
        <w:tc>
          <w:tcPr>
            <w:tcW w:w="60"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45" w:type="dxa"/>
            <w:tcBorders>
              <w:bottom w:val="single" w:sz="2" w:space="0" w:color="575756"/>
            </w:tcBorders>
            <w:shd w:fill="auto" w:val="clear"/>
            <w:tcMar>
              <w:bottom w:w="45" w:type="dxa"/>
            </w:tcMar>
            <w:vAlign w:val="center"/>
          </w:tcPr>
          <w:p>
            <w:pPr>
              <w:pStyle w:val="TableContents"/>
              <w:pBdr/>
              <w:spacing w:before="0" w:after="45"/>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1.9</w:t>
            </w:r>
          </w:p>
        </w:tc>
        <w:tc>
          <w:tcPr>
            <w:tcW w:w="60"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355" w:type="dxa"/>
            <w:tcBorders>
              <w:top w:val="single" w:sz="2" w:space="0" w:color="F4F7FB"/>
              <w:left w:val="single" w:sz="2" w:space="0" w:color="F4F7FB"/>
              <w:bottom w:val="single" w:sz="2" w:space="0" w:color="575756"/>
              <w:right w:val="single" w:sz="2" w:space="0" w:color="F4F7FB"/>
            </w:tcBorders>
            <w:shd w:fill="F4F7FB"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963,160</w:t>
            </w:r>
          </w:p>
        </w:tc>
      </w:tr>
      <w:tr>
        <w:trPr/>
        <w:tc>
          <w:tcPr>
            <w:tcW w:w="3095" w:type="dxa"/>
            <w:tcBorders>
              <w:top w:val="single" w:sz="2" w:space="0" w:color="F2F2F2"/>
              <w:left w:val="single" w:sz="2" w:space="0" w:color="F2F2F2"/>
              <w:bottom w:val="single" w:sz="2" w:space="0" w:color="575756"/>
              <w:right w:val="single" w:sz="2" w:space="0" w:color="F2F2F2"/>
            </w:tcBorders>
            <w:shd w:fill="F2F2F2" w:val="clear"/>
            <w:tcMar>
              <w:top w:w="45" w:type="dxa"/>
              <w:left w:w="60" w:type="dxa"/>
              <w:bottom w:w="30" w:type="dxa"/>
              <w:right w:w="28"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Daniel P. Van Plew</w:t>
            </w:r>
          </w:p>
        </w:tc>
        <w:tc>
          <w:tcPr>
            <w:tcW w:w="935" w:type="dxa"/>
            <w:tcBorders>
              <w:top w:val="single" w:sz="2" w:space="0" w:color="F2F2F2"/>
              <w:left w:val="single" w:sz="2" w:space="0" w:color="F2F2F2"/>
              <w:bottom w:val="single" w:sz="2" w:space="0" w:color="575756"/>
              <w:right w:val="single" w:sz="2" w:space="0" w:color="F2F2F2"/>
            </w:tcBorders>
            <w:shd w:fill="F2F2F2" w:val="clear"/>
            <w:tcMar>
              <w:top w:w="90" w:type="dxa"/>
              <w:left w:w="100" w:type="dxa"/>
              <w:bottom w:w="45" w:type="dxa"/>
              <w:right w:w="160"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900,000</w:t>
            </w:r>
          </w:p>
        </w:tc>
        <w:tc>
          <w:tcPr>
            <w:tcW w:w="6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94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600"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65%</w:t>
            </w:r>
          </w:p>
        </w:tc>
        <w:tc>
          <w:tcPr>
            <w:tcW w:w="6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75" w:type="dxa"/>
            <w:tcBorders>
              <w:top w:val="single" w:sz="2" w:space="0" w:color="F2F2F2"/>
              <w:left w:val="single" w:sz="2" w:space="0" w:color="F2F2F2"/>
              <w:bottom w:val="single" w:sz="2" w:space="0" w:color="575756"/>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color w:val="000000"/>
              </w:rPr>
            </w:pPr>
            <w:r>
              <w:rPr>
                <w:color w:val="000000"/>
              </w:rPr>
              <w:t> </w:t>
            </w:r>
          </w:p>
        </w:tc>
        <w:tc>
          <w:tcPr>
            <w:tcW w:w="114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400"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1.5</w:t>
            </w:r>
          </w:p>
        </w:tc>
        <w:tc>
          <w:tcPr>
            <w:tcW w:w="6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14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1.9</w:t>
            </w:r>
          </w:p>
        </w:tc>
        <w:tc>
          <w:tcPr>
            <w:tcW w:w="6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355" w:type="dxa"/>
            <w:tcBorders>
              <w:top w:val="single" w:sz="2" w:space="0" w:color="E5EBF4"/>
              <w:left w:val="single" w:sz="2" w:space="0" w:color="E5EBF4"/>
              <w:bottom w:val="single" w:sz="2" w:space="0" w:color="575756"/>
              <w:right w:val="single" w:sz="2" w:space="0" w:color="E5EBF4"/>
            </w:tcBorders>
            <w:shd w:fill="E5EBF4"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1,017,900</w:t>
            </w:r>
          </w:p>
        </w:tc>
      </w:tr>
      <w:tr>
        <w:trPr/>
        <w:tc>
          <w:tcPr>
            <w:tcW w:w="3095"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Andrew J. Murphy, Ph.D.</w:t>
            </w:r>
          </w:p>
        </w:tc>
        <w:tc>
          <w:tcPr>
            <w:tcW w:w="935"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750,000</w:t>
            </w:r>
          </w:p>
        </w:tc>
        <w:tc>
          <w:tcPr>
            <w:tcW w:w="60"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940"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65%</w:t>
            </w:r>
          </w:p>
        </w:tc>
        <w:tc>
          <w:tcPr>
            <w:tcW w:w="60"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75" w:type="dxa"/>
            <w:tcBorders>
              <w:bottom w:val="single" w:sz="2" w:space="0" w:color="575756"/>
            </w:tcBorders>
            <w:shd w:fill="auto" w:val="clear"/>
            <w:tcMar>
              <w:bottom w:w="30" w:type="dxa"/>
            </w:tcMar>
            <w:vAlign w:val="center"/>
          </w:tcPr>
          <w:p>
            <w:pPr>
              <w:pStyle w:val="TableContents"/>
              <w:pBdr/>
              <w:spacing w:before="0" w:after="45"/>
              <w:ind w:left="15" w:right="0" w:hanging="0"/>
              <w:rPr>
                <w:color w:val="000000"/>
              </w:rPr>
            </w:pPr>
            <w:r>
              <w:rPr>
                <w:color w:val="000000"/>
              </w:rPr>
              <w:t> </w:t>
            </w:r>
          </w:p>
        </w:tc>
        <w:tc>
          <w:tcPr>
            <w:tcW w:w="1145"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1.5</w:t>
            </w:r>
          </w:p>
        </w:tc>
        <w:tc>
          <w:tcPr>
            <w:tcW w:w="60"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45" w:type="dxa"/>
            <w:tcBorders>
              <w:bottom w:val="single" w:sz="2" w:space="0" w:color="575756"/>
            </w:tcBorders>
            <w:shd w:fill="auto" w:val="clear"/>
            <w:tcMar>
              <w:bottom w:w="45" w:type="dxa"/>
            </w:tcMar>
            <w:vAlign w:val="center"/>
          </w:tcPr>
          <w:p>
            <w:pPr>
              <w:pStyle w:val="TableContents"/>
              <w:pBdr/>
              <w:spacing w:before="0" w:after="45"/>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1.9</w:t>
            </w:r>
          </w:p>
        </w:tc>
        <w:tc>
          <w:tcPr>
            <w:tcW w:w="60"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355" w:type="dxa"/>
            <w:tcBorders>
              <w:top w:val="single" w:sz="2" w:space="0" w:color="F4F7FB"/>
              <w:left w:val="single" w:sz="2" w:space="0" w:color="F4F7FB"/>
              <w:bottom w:val="single" w:sz="2" w:space="0" w:color="575756"/>
              <w:right w:val="single" w:sz="2" w:space="0" w:color="F4F7FB"/>
            </w:tcBorders>
            <w:shd w:fill="F4F7FB"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848,250</w:t>
            </w:r>
          </w:p>
        </w:tc>
      </w:tr>
      <w:tr>
        <w:trPr/>
        <w:tc>
          <w:tcPr>
            <w:tcW w:w="3095" w:type="dxa"/>
            <w:tcBorders>
              <w:top w:val="single" w:sz="2" w:space="0" w:color="F2F2F2"/>
              <w:left w:val="single" w:sz="2" w:space="0" w:color="F2F2F2"/>
              <w:bottom w:val="single" w:sz="2" w:space="0" w:color="245BA7"/>
              <w:right w:val="single" w:sz="2" w:space="0" w:color="F2F2F2"/>
            </w:tcBorders>
            <w:shd w:fill="F2F2F2" w:val="clear"/>
            <w:tcMar>
              <w:top w:w="45" w:type="dxa"/>
              <w:left w:w="60" w:type="dxa"/>
              <w:bottom w:w="30" w:type="dxa"/>
              <w:right w:w="28"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Marion McCourt</w:t>
            </w:r>
          </w:p>
        </w:tc>
        <w:tc>
          <w:tcPr>
            <w:tcW w:w="935" w:type="dxa"/>
            <w:tcBorders>
              <w:top w:val="single" w:sz="2" w:space="0" w:color="F2F2F2"/>
              <w:left w:val="single" w:sz="2" w:space="0" w:color="F2F2F2"/>
              <w:bottom w:val="single" w:sz="2" w:space="0" w:color="245BA7"/>
              <w:right w:val="single" w:sz="2" w:space="0" w:color="F2F2F2"/>
            </w:tcBorders>
            <w:shd w:fill="F2F2F2" w:val="clear"/>
            <w:tcMar>
              <w:top w:w="90" w:type="dxa"/>
              <w:left w:w="100" w:type="dxa"/>
              <w:bottom w:w="45" w:type="dxa"/>
              <w:right w:w="160"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706,300</w:t>
            </w:r>
          </w:p>
        </w:tc>
        <w:tc>
          <w:tcPr>
            <w:tcW w:w="60"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940"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600"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65%</w:t>
            </w:r>
          </w:p>
        </w:tc>
        <w:tc>
          <w:tcPr>
            <w:tcW w:w="60"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75" w:type="dxa"/>
            <w:tcBorders>
              <w:top w:val="single" w:sz="2" w:space="0" w:color="F2F2F2"/>
              <w:left w:val="single" w:sz="2" w:space="0" w:color="F2F2F2"/>
              <w:bottom w:val="single" w:sz="2" w:space="0" w:color="245BA7"/>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color w:val="000000"/>
              </w:rPr>
            </w:pPr>
            <w:r>
              <w:rPr>
                <w:color w:val="000000"/>
              </w:rPr>
              <w:t> </w:t>
            </w:r>
          </w:p>
        </w:tc>
        <w:tc>
          <w:tcPr>
            <w:tcW w:w="1145"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400"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1.4</w:t>
            </w:r>
          </w:p>
        </w:tc>
        <w:tc>
          <w:tcPr>
            <w:tcW w:w="60"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145"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jc w:val="center"/>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1.9</w:t>
            </w:r>
          </w:p>
        </w:tc>
        <w:tc>
          <w:tcPr>
            <w:tcW w:w="60"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355" w:type="dxa"/>
            <w:tcBorders>
              <w:top w:val="single" w:sz="2" w:space="0" w:color="E5EBF4"/>
              <w:left w:val="single" w:sz="2" w:space="0" w:color="E5EBF4"/>
              <w:bottom w:val="single" w:sz="2" w:space="0" w:color="245BA7"/>
              <w:right w:val="single" w:sz="2" w:space="0" w:color="E5EBF4"/>
            </w:tcBorders>
            <w:shd w:fill="E5EBF4"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780,462</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63"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95" descr=""/>
                          <pic:cNvPicPr>
                            <a:picLocks noChangeAspect="1" noChangeArrowheads="1"/>
                          </pic:cNvPicPr>
                        </pic:nvPicPr>
                        <pic:blipFill>
                          <a:blip r:embed="rId196"/>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66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27" w:name="new_id-118"/>
      <w:bookmarkEnd w:id="127"/>
      <w:r>
        <w:rPr>
          <w:rFonts w:ascii="Arial" w:hAnsi="Arial"/>
          <w:b/>
          <w:i w:val="false"/>
          <w:caps w:val="false"/>
          <w:smallCaps w:val="false"/>
          <w:color w:val="D31B5D"/>
          <w:sz w:val="30"/>
          <w:bdr w:val="single" w:sz="12" w:space="2" w:color="245BA7"/>
        </w:rPr>
        <w:t xml:space="preserve">ANNUAL EQUITY AWARDS </w:t>
      </w:r>
    </w:p>
    <w:p>
      <w:pPr>
        <w:pStyle w:val="TextBody"/>
        <w:pBdr/>
        <w:spacing w:before="0" w:after="60"/>
        <w:ind w:left="0" w:right="0" w:hanging="0"/>
        <w:rPr>
          <w:rFonts w:ascii="Arial" w:hAnsi="Arial"/>
          <w:color w:val="000000"/>
          <w:sz w:val="21"/>
        </w:rPr>
      </w:pPr>
      <w:r>
        <w:rPr>
          <w:rFonts w:ascii="Arial" w:hAnsi="Arial"/>
          <w:color w:val="000000"/>
          <w:sz w:val="21"/>
        </w:rPr>
        <w:t>Equity grants represent the largest portion of the value awarded annually to our NEOs for compensation purposes. These awards are designed to incentivize delivery of sustainable long-term value, which we believe is created by focusing on the discovery, development, and commercialization of new medicines. Our Compensation Committee utilizes a customized framework for determining the size and mix of the annual equity awards of our NEOs and other executives, which is periodically reassessed in light of our business objectives, feedback from our shareholders, and market practices. This framework and the relevant considerations underlying our equity program and the types of awards we have utilized in recent years are summarized below.</w:t>
      </w:r>
    </w:p>
    <w:p>
      <w:pPr>
        <w:pStyle w:val="TextBody"/>
        <w:pBdr/>
        <w:spacing w:before="0" w:after="60"/>
        <w:ind w:left="0" w:right="0" w:hanging="0"/>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1690"/>
        <w:gridCol w:w="8515"/>
      </w:tblGrid>
      <w:tr>
        <w:trPr/>
        <w:tc>
          <w:tcPr>
            <w:tcW w:w="1690" w:type="dxa"/>
            <w:vMerge w:val="restart"/>
            <w:tcBorders/>
            <w:shd w:fill="auto" w:val="clear"/>
            <w:vAlign w:val="center"/>
          </w:tcPr>
          <w:p>
            <w:pPr>
              <w:pStyle w:val="TableContents"/>
              <w:spacing w:before="0" w:after="283"/>
              <w:jc w:val="right"/>
              <w:rPr/>
            </w:pPr>
            <w:r>
              <w:rPr/>
              <w:drawing>
                <wp:inline distT="0" distB="0" distL="0" distR="0">
                  <wp:extent cx="1057275" cy="838200"/>
                  <wp:effectExtent l="0" t="0" r="0" b="0"/>
                  <wp:docPr id="264"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96" descr=""/>
                          <pic:cNvPicPr>
                            <a:picLocks noChangeAspect="1" noChangeArrowheads="1"/>
                          </pic:cNvPicPr>
                        </pic:nvPicPr>
                        <pic:blipFill>
                          <a:blip r:embed="rId197"/>
                          <a:stretch>
                            <a:fillRect/>
                          </a:stretch>
                        </pic:blipFill>
                        <pic:spPr bwMode="auto">
                          <a:xfrm>
                            <a:off x="0" y="0"/>
                            <a:ext cx="1057275" cy="838200"/>
                          </a:xfrm>
                          <a:prstGeom prst="rect">
                            <a:avLst/>
                          </a:prstGeom>
                        </pic:spPr>
                      </pic:pic>
                    </a:graphicData>
                  </a:graphic>
                </wp:inline>
              </w:drawing>
            </w:r>
            <w:r>
              <w:rPr/>
              <w:t xml:space="preserve"> </w:t>
            </w:r>
          </w:p>
        </w:tc>
        <w:tc>
          <w:tcPr>
            <w:tcW w:w="8515" w:type="dxa"/>
            <w:tcBorders/>
            <w:shd w:fill="D9EFFD" w:val="clear"/>
            <w:vAlign w:val="center"/>
          </w:tcPr>
          <w:p>
            <w:pPr>
              <w:pStyle w:val="TableContents"/>
              <w:pBdr/>
              <w:spacing w:before="0" w:after="0"/>
              <w:ind w:left="150" w:right="150" w:hanging="0"/>
              <w:rPr>
                <w:rFonts w:ascii="Arial" w:hAnsi="Arial"/>
                <w:b/>
                <w:color w:val="245BA7"/>
                <w:sz w:val="24"/>
              </w:rPr>
            </w:pPr>
            <w:r>
              <w:rPr>
                <w:rFonts w:ascii="Arial" w:hAnsi="Arial"/>
                <w:b/>
                <w:color w:val="245BA7"/>
                <w:sz w:val="24"/>
              </w:rPr>
              <w:t>Performance-Based Sizing and Value Delivery</w:t>
            </w:r>
          </w:p>
        </w:tc>
      </w:tr>
      <w:tr>
        <w:trPr/>
        <w:tc>
          <w:tcPr>
            <w:tcW w:w="1690" w:type="dxa"/>
            <w:vMerge w:val="continue"/>
            <w:tcBorders/>
            <w:shd w:fill="auto" w:val="clear"/>
            <w:vAlign w:val="center"/>
          </w:tcPr>
          <w:p>
            <w:pPr>
              <w:pStyle w:val="Normal"/>
              <w:rPr/>
            </w:pPr>
            <w:r>
              <w:rPr/>
            </w:r>
          </w:p>
        </w:tc>
        <w:tc>
          <w:tcPr>
            <w:tcW w:w="8515" w:type="dxa"/>
            <w:tcBorders/>
            <w:shd w:fill="D9EFFD" w:val="clear"/>
            <w:vAlign w:val="center"/>
          </w:tcPr>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b/>
                <w:color w:val="000000"/>
                <w:sz w:val="18"/>
              </w:rPr>
            </w:pPr>
            <w:r>
              <w:rPr>
                <w:rFonts w:ascii="Arial" w:hAnsi="Arial"/>
                <w:b/>
                <w:color w:val="000000"/>
                <w:sz w:val="18"/>
              </w:rPr>
              <w:t>In determining the size of equity awards to our NEOs, we take into account:</w:t>
            </w:r>
          </w:p>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color w:val="000000"/>
                <w:sz w:val="18"/>
              </w:rPr>
            </w:pPr>
            <w:r>
              <w:rPr>
                <w:rFonts w:ascii="Arial" w:hAnsi="Arial"/>
                <w:color w:val="000000"/>
                <w:sz w:val="18"/>
              </w:rPr>
              <w:t>Corporate performance (assessment of Regeneron’s corporate accomplishments, particularly as they relate to our product pipeline); and/or</w:t>
            </w:r>
          </w:p>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color w:val="000000"/>
                <w:sz w:val="18"/>
              </w:rPr>
            </w:pPr>
            <w:r>
              <w:rPr>
                <w:rFonts w:ascii="Arial" w:hAnsi="Arial"/>
                <w:color w:val="000000"/>
                <w:sz w:val="18"/>
              </w:rPr>
              <w:t>Individual performance (assessment of performance against the corporate goals established by the board of directors for the CEO and the goals established by the Committee and/or the CEO for the other NEOs, as well as an assessment of the individual’s importance to the Company’s future performance).</w:t>
            </w:r>
          </w:p>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b/>
                <w:color w:val="000000"/>
                <w:sz w:val="18"/>
              </w:rPr>
            </w:pPr>
            <w:r>
              <w:rPr>
                <w:rFonts w:ascii="Arial" w:hAnsi="Arial"/>
                <w:b/>
                <w:color w:val="000000"/>
                <w:sz w:val="18"/>
              </w:rPr>
              <w:t>Both stock options and PSUs are performance-based:</w:t>
            </w:r>
          </w:p>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color w:val="000000"/>
                <w:sz w:val="18"/>
              </w:rPr>
            </w:pPr>
            <w:r>
              <w:rPr>
                <w:rFonts w:ascii="Arial" w:hAnsi="Arial"/>
                <w:color w:val="000000"/>
                <w:sz w:val="18"/>
              </w:rPr>
              <w:t>Stock options only deliver value if we deliver stock price appreciation for shareholders after grant. No amount of time will make a stock option deliver any value unless the company’s stock price increases.</w:t>
            </w:r>
          </w:p>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color w:val="000000"/>
                <w:sz w:val="18"/>
              </w:rPr>
            </w:pPr>
            <w:r>
              <w:rPr>
                <w:rFonts w:ascii="Arial" w:hAnsi="Arial"/>
                <w:color w:val="000000"/>
                <w:sz w:val="18"/>
              </w:rPr>
              <w:t>PSUs (which were most recently granted in 2020 but not utilized for any NEOs in 2021 or 2022) only vest if the relevant performance criteria related to TSR are satisfied. They are designed to reward top performance; reward exceptional long-term shareholder value creation; and ensure stability and continuity of leadership to support the achievement of the next phase of Regeneron’s ambitious product, pipeline, and talent development plans.</w:t>
            </w:r>
          </w:p>
        </w:tc>
      </w:tr>
      <w:tr>
        <w:trPr/>
        <w:tc>
          <w:tcPr>
            <w:tcW w:w="1690" w:type="dxa"/>
            <w:tcBorders/>
            <w:shd w:fill="auto" w:val="clear"/>
            <w:vAlign w:val="center"/>
          </w:tcPr>
          <w:p>
            <w:pPr>
              <w:pStyle w:val="TableContents"/>
              <w:spacing w:before="0" w:after="283"/>
              <w:jc w:val="right"/>
              <w:rPr/>
            </w:pPr>
            <w:r>
              <w:rPr/>
              <w:t> </w:t>
            </w:r>
          </w:p>
        </w:tc>
        <w:tc>
          <w:tcPr>
            <w:tcW w:w="8515" w:type="dxa"/>
            <w:tcBorders/>
            <w:shd w:fill="auto" w:val="clear"/>
            <w:vAlign w:val="center"/>
          </w:tcPr>
          <w:p>
            <w:pPr>
              <w:pStyle w:val="TableContents"/>
              <w:spacing w:before="0" w:after="283"/>
              <w:rPr/>
            </w:pPr>
            <w:r>
              <w:rPr/>
              <w:t> </w:t>
            </w:r>
          </w:p>
        </w:tc>
      </w:tr>
      <w:tr>
        <w:trPr/>
        <w:tc>
          <w:tcPr>
            <w:tcW w:w="1690" w:type="dxa"/>
            <w:vMerge w:val="restart"/>
            <w:tcBorders/>
            <w:shd w:fill="auto" w:val="clear"/>
            <w:vAlign w:val="center"/>
          </w:tcPr>
          <w:p>
            <w:pPr>
              <w:pStyle w:val="TableContents"/>
              <w:spacing w:before="0" w:after="283"/>
              <w:jc w:val="right"/>
              <w:rPr/>
            </w:pPr>
            <w:r>
              <w:rPr/>
              <w:drawing>
                <wp:inline distT="0" distB="0" distL="0" distR="0">
                  <wp:extent cx="1057275" cy="838200"/>
                  <wp:effectExtent l="0" t="0" r="0" b="0"/>
                  <wp:docPr id="265"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97" descr=""/>
                          <pic:cNvPicPr>
                            <a:picLocks noChangeAspect="1" noChangeArrowheads="1"/>
                          </pic:cNvPicPr>
                        </pic:nvPicPr>
                        <pic:blipFill>
                          <a:blip r:embed="rId198"/>
                          <a:stretch>
                            <a:fillRect/>
                          </a:stretch>
                        </pic:blipFill>
                        <pic:spPr bwMode="auto">
                          <a:xfrm>
                            <a:off x="0" y="0"/>
                            <a:ext cx="1057275" cy="838200"/>
                          </a:xfrm>
                          <a:prstGeom prst="rect">
                            <a:avLst/>
                          </a:prstGeom>
                        </pic:spPr>
                      </pic:pic>
                    </a:graphicData>
                  </a:graphic>
                </wp:inline>
              </w:drawing>
            </w:r>
            <w:r>
              <w:rPr/>
              <w:t xml:space="preserve"> </w:t>
            </w:r>
          </w:p>
        </w:tc>
        <w:tc>
          <w:tcPr>
            <w:tcW w:w="8515" w:type="dxa"/>
            <w:tcBorders/>
            <w:shd w:fill="D9EFFD" w:val="clear"/>
            <w:vAlign w:val="center"/>
          </w:tcPr>
          <w:p>
            <w:pPr>
              <w:pStyle w:val="TableContents"/>
              <w:pBdr/>
              <w:spacing w:before="0" w:after="0"/>
              <w:ind w:left="150" w:right="150" w:hanging="0"/>
              <w:rPr>
                <w:rFonts w:ascii="Arial" w:hAnsi="Arial"/>
                <w:b/>
                <w:color w:val="245BA7"/>
                <w:sz w:val="24"/>
              </w:rPr>
            </w:pPr>
            <w:r>
              <w:rPr>
                <w:rFonts w:ascii="Arial" w:hAnsi="Arial"/>
                <w:b/>
                <w:color w:val="245BA7"/>
                <w:sz w:val="24"/>
              </w:rPr>
              <w:t>Long-Term Value Creation</w:t>
            </w:r>
          </w:p>
        </w:tc>
      </w:tr>
      <w:tr>
        <w:trPr/>
        <w:tc>
          <w:tcPr>
            <w:tcW w:w="1690" w:type="dxa"/>
            <w:vMerge w:val="continue"/>
            <w:tcBorders/>
            <w:shd w:fill="auto" w:val="clear"/>
            <w:vAlign w:val="center"/>
          </w:tcPr>
          <w:p>
            <w:pPr>
              <w:pStyle w:val="Normal"/>
              <w:rPr/>
            </w:pPr>
            <w:r>
              <w:rPr/>
            </w:r>
          </w:p>
        </w:tc>
        <w:tc>
          <w:tcPr>
            <w:tcW w:w="8515" w:type="dxa"/>
            <w:tcBorders/>
            <w:shd w:fill="D9EFFD" w:val="clear"/>
            <w:vAlign w:val="center"/>
          </w:tcPr>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b/>
                <w:color w:val="000000"/>
                <w:sz w:val="18"/>
              </w:rPr>
            </w:pPr>
            <w:r>
              <w:rPr>
                <w:rFonts w:ascii="Arial" w:hAnsi="Arial"/>
                <w:b/>
                <w:color w:val="000000"/>
                <w:sz w:val="18"/>
              </w:rPr>
              <w:t>Stock option grants have ten-year terms and four-year vesting provisions (generally requiring our employees, including our NEOs, to remain employed for four years in order for all options to vest</w:t>
            </w:r>
            <w:r>
              <w:rPr>
                <w:rFonts w:ascii="Arial" w:hAnsi="Arial"/>
                <w:b/>
                <w:color w:val="000000"/>
                <w:sz w:val="11"/>
              </w:rPr>
              <w:t>*</w:t>
            </w:r>
            <w:r>
              <w:rPr>
                <w:rFonts w:ascii="Arial" w:hAnsi="Arial"/>
                <w:b/>
                <w:color w:val="000000"/>
                <w:sz w:val="18"/>
              </w:rPr>
              <w:t>) to align with long-term value creation and the development cycle of our products.</w:t>
            </w:r>
          </w:p>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b/>
                <w:color w:val="000000"/>
                <w:sz w:val="18"/>
              </w:rPr>
            </w:pPr>
            <w:r>
              <w:rPr>
                <w:rFonts w:ascii="Arial" w:hAnsi="Arial"/>
                <w:b/>
                <w:color w:val="000000"/>
                <w:sz w:val="18"/>
              </w:rPr>
              <w:t>PSUs granted in 2019 and 2020 incorporate a long-term, five-year performance period. In addition, the PSUs granted in 2020 require a three-year deferral and holding period, thus promoting and rewarding value creation over eight years.</w:t>
            </w:r>
          </w:p>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b/>
                <w:color w:val="000000"/>
                <w:sz w:val="18"/>
              </w:rPr>
            </w:pPr>
            <w:r>
              <w:rPr>
                <w:rFonts w:ascii="Arial" w:hAnsi="Arial"/>
                <w:b/>
                <w:color w:val="000000"/>
                <w:sz w:val="18"/>
              </w:rPr>
              <w:t>RSAs/RSUs promote long-term employment:</w:t>
            </w:r>
          </w:p>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color w:val="000000"/>
                <w:sz w:val="18"/>
              </w:rPr>
            </w:pPr>
            <w:r>
              <w:rPr>
                <w:rFonts w:ascii="Arial" w:hAnsi="Arial"/>
                <w:color w:val="000000"/>
                <w:sz w:val="18"/>
              </w:rPr>
              <w:t>RSAs/RSUs awarded as a component of annual equity awards vest 50% on the second anniversary of the date of grant and 50% on the fourth anniversary of the date of grant, which is a more backloaded vesting schedule than is typical in the industry.</w:t>
            </w:r>
          </w:p>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color w:val="000000"/>
                <w:sz w:val="18"/>
              </w:rPr>
            </w:pPr>
            <w:r>
              <w:rPr>
                <w:rFonts w:ascii="Arial" w:hAnsi="Arial"/>
                <w:color w:val="000000"/>
                <w:sz w:val="18"/>
              </w:rPr>
              <w:t>Special RSAs awarded to our NEOs in recent years vest 100% on the fifth anniversary of the date of grant. No special RSAs were awarded to our NEOs in 2021 or 2022.</w:t>
            </w:r>
          </w:p>
        </w:tc>
      </w:tr>
      <w:tr>
        <w:trPr/>
        <w:tc>
          <w:tcPr>
            <w:tcW w:w="1690" w:type="dxa"/>
            <w:tcBorders/>
            <w:shd w:fill="auto" w:val="clear"/>
            <w:vAlign w:val="center"/>
          </w:tcPr>
          <w:p>
            <w:pPr>
              <w:pStyle w:val="TableContents"/>
              <w:spacing w:before="0" w:after="283"/>
              <w:rPr/>
            </w:pPr>
            <w:r>
              <w:rPr/>
              <w:t> </w:t>
            </w:r>
          </w:p>
        </w:tc>
        <w:tc>
          <w:tcPr>
            <w:tcW w:w="8515" w:type="dxa"/>
            <w:tcBorders/>
            <w:shd w:fill="auto" w:val="clear"/>
            <w:vAlign w:val="center"/>
          </w:tcPr>
          <w:p>
            <w:pPr>
              <w:pStyle w:val="TableContents"/>
              <w:spacing w:before="0" w:after="283"/>
              <w:rPr/>
            </w:pPr>
            <w:r>
              <w:rPr/>
              <w:t> </w:t>
            </w:r>
          </w:p>
        </w:tc>
      </w:tr>
      <w:tr>
        <w:trPr/>
        <w:tc>
          <w:tcPr>
            <w:tcW w:w="1690" w:type="dxa"/>
            <w:vMerge w:val="restart"/>
            <w:tcBorders/>
            <w:shd w:fill="auto" w:val="clear"/>
            <w:vAlign w:val="center"/>
          </w:tcPr>
          <w:p>
            <w:pPr>
              <w:pStyle w:val="TableContents"/>
              <w:spacing w:before="0" w:after="283"/>
              <w:jc w:val="right"/>
              <w:rPr/>
            </w:pPr>
            <w:r>
              <w:rPr/>
              <w:drawing>
                <wp:inline distT="0" distB="0" distL="0" distR="0">
                  <wp:extent cx="1057275" cy="838200"/>
                  <wp:effectExtent l="0" t="0" r="0" b="0"/>
                  <wp:docPr id="266"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98" descr=""/>
                          <pic:cNvPicPr>
                            <a:picLocks noChangeAspect="1" noChangeArrowheads="1"/>
                          </pic:cNvPicPr>
                        </pic:nvPicPr>
                        <pic:blipFill>
                          <a:blip r:embed="rId199"/>
                          <a:stretch>
                            <a:fillRect/>
                          </a:stretch>
                        </pic:blipFill>
                        <pic:spPr bwMode="auto">
                          <a:xfrm>
                            <a:off x="0" y="0"/>
                            <a:ext cx="1057275" cy="838200"/>
                          </a:xfrm>
                          <a:prstGeom prst="rect">
                            <a:avLst/>
                          </a:prstGeom>
                        </pic:spPr>
                      </pic:pic>
                    </a:graphicData>
                  </a:graphic>
                </wp:inline>
              </w:drawing>
            </w:r>
            <w:r>
              <w:rPr/>
              <w:t xml:space="preserve"> </w:t>
            </w:r>
          </w:p>
        </w:tc>
        <w:tc>
          <w:tcPr>
            <w:tcW w:w="8515" w:type="dxa"/>
            <w:tcBorders/>
            <w:shd w:fill="D9EFFD" w:val="clear"/>
            <w:vAlign w:val="center"/>
          </w:tcPr>
          <w:p>
            <w:pPr>
              <w:pStyle w:val="TableContents"/>
              <w:pBdr/>
              <w:spacing w:before="0" w:after="0"/>
              <w:ind w:left="150" w:right="150" w:hanging="0"/>
              <w:rPr>
                <w:rFonts w:ascii="Arial" w:hAnsi="Arial"/>
                <w:b/>
                <w:color w:val="245BA7"/>
                <w:sz w:val="24"/>
              </w:rPr>
            </w:pPr>
            <w:r>
              <w:rPr>
                <w:rFonts w:ascii="Arial" w:hAnsi="Arial"/>
                <w:b/>
                <w:color w:val="245BA7"/>
                <w:sz w:val="24"/>
              </w:rPr>
              <w:t>Meaningful Holding Requirements</w:t>
            </w:r>
          </w:p>
        </w:tc>
      </w:tr>
      <w:tr>
        <w:trPr/>
        <w:tc>
          <w:tcPr>
            <w:tcW w:w="1690" w:type="dxa"/>
            <w:vMerge w:val="continue"/>
            <w:tcBorders/>
            <w:shd w:fill="auto" w:val="clear"/>
            <w:vAlign w:val="center"/>
          </w:tcPr>
          <w:p>
            <w:pPr>
              <w:pStyle w:val="Normal"/>
              <w:rPr/>
            </w:pPr>
            <w:r>
              <w:rPr/>
            </w:r>
          </w:p>
        </w:tc>
        <w:tc>
          <w:tcPr>
            <w:tcW w:w="8515" w:type="dxa"/>
            <w:tcBorders/>
            <w:shd w:fill="D9EFFD" w:val="clear"/>
            <w:vAlign w:val="center"/>
          </w:tcPr>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b/>
                <w:color w:val="000000"/>
                <w:sz w:val="18"/>
              </w:rPr>
            </w:pPr>
            <w:r>
              <w:rPr>
                <w:rFonts w:ascii="Arial" w:hAnsi="Arial"/>
                <w:b/>
                <w:color w:val="000000"/>
                <w:sz w:val="18"/>
              </w:rPr>
              <w:t>We require NEOs to retain a significant amount of equity within five years of their employment with Regeneron:</w:t>
            </w:r>
          </w:p>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color w:val="000000"/>
                <w:sz w:val="18"/>
              </w:rPr>
            </w:pPr>
            <w:r>
              <w:rPr>
                <w:rFonts w:ascii="Arial" w:hAnsi="Arial"/>
                <w:color w:val="000000"/>
                <w:sz w:val="18"/>
              </w:rPr>
              <w:t>Our CEO and CSO must own shares with a value at least 6x their respective base salaries.</w:t>
            </w:r>
          </w:p>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color w:val="000000"/>
                <w:sz w:val="18"/>
              </w:rPr>
            </w:pPr>
            <w:r>
              <w:rPr>
                <w:rFonts w:ascii="Arial" w:hAnsi="Arial"/>
                <w:color w:val="000000"/>
                <w:sz w:val="18"/>
              </w:rPr>
              <w:t>Our other NEOs must own shares with a value at least 2x their respective base salaries.</w:t>
            </w:r>
          </w:p>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b/>
                <w:color w:val="000000"/>
                <w:sz w:val="18"/>
              </w:rPr>
            </w:pPr>
            <w:r>
              <w:rPr>
                <w:rFonts w:ascii="Arial" w:hAnsi="Arial"/>
                <w:b/>
                <w:color w:val="000000"/>
                <w:sz w:val="18"/>
              </w:rPr>
              <w:t>In addition, PSUs awarded in 2020 require a three-year deferral and holding period following vesting, except in certain limited circumstances.</w:t>
            </w:r>
          </w:p>
        </w:tc>
      </w:tr>
      <w:tr>
        <w:trPr/>
        <w:tc>
          <w:tcPr>
            <w:tcW w:w="1690" w:type="dxa"/>
            <w:tcBorders/>
            <w:shd w:fill="auto" w:val="clear"/>
            <w:vAlign w:val="center"/>
          </w:tcPr>
          <w:p>
            <w:pPr>
              <w:pStyle w:val="TableContents"/>
              <w:spacing w:before="0" w:after="283"/>
              <w:rPr/>
            </w:pPr>
            <w:r>
              <w:rPr/>
              <w:t> </w:t>
            </w:r>
          </w:p>
        </w:tc>
        <w:tc>
          <w:tcPr>
            <w:tcW w:w="8515" w:type="dxa"/>
            <w:tcBorders/>
            <w:shd w:fill="auto" w:val="clear"/>
            <w:vAlign w:val="center"/>
          </w:tcPr>
          <w:p>
            <w:pPr>
              <w:pStyle w:val="TableContents"/>
              <w:spacing w:before="0" w:after="283"/>
              <w:rPr/>
            </w:pPr>
            <w:r>
              <w:rPr/>
              <w:t> </w:t>
            </w:r>
          </w:p>
        </w:tc>
      </w:tr>
      <w:tr>
        <w:trPr/>
        <w:tc>
          <w:tcPr>
            <w:tcW w:w="1690" w:type="dxa"/>
            <w:vMerge w:val="restart"/>
            <w:tcBorders/>
            <w:shd w:fill="auto" w:val="clear"/>
            <w:vAlign w:val="center"/>
          </w:tcPr>
          <w:p>
            <w:pPr>
              <w:pStyle w:val="TableContents"/>
              <w:spacing w:before="0" w:after="283"/>
              <w:jc w:val="right"/>
              <w:rPr/>
            </w:pPr>
            <w:r>
              <w:rPr/>
              <w:drawing>
                <wp:inline distT="0" distB="0" distL="0" distR="0">
                  <wp:extent cx="1057275" cy="838200"/>
                  <wp:effectExtent l="0" t="0" r="0" b="0"/>
                  <wp:docPr id="267"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99" descr=""/>
                          <pic:cNvPicPr>
                            <a:picLocks noChangeAspect="1" noChangeArrowheads="1"/>
                          </pic:cNvPicPr>
                        </pic:nvPicPr>
                        <pic:blipFill>
                          <a:blip r:embed="rId200"/>
                          <a:stretch>
                            <a:fillRect/>
                          </a:stretch>
                        </pic:blipFill>
                        <pic:spPr bwMode="auto">
                          <a:xfrm>
                            <a:off x="0" y="0"/>
                            <a:ext cx="1057275" cy="838200"/>
                          </a:xfrm>
                          <a:prstGeom prst="rect">
                            <a:avLst/>
                          </a:prstGeom>
                        </pic:spPr>
                      </pic:pic>
                    </a:graphicData>
                  </a:graphic>
                </wp:inline>
              </w:drawing>
            </w:r>
            <w:r>
              <w:rPr/>
              <w:t xml:space="preserve"> </w:t>
            </w:r>
          </w:p>
        </w:tc>
        <w:tc>
          <w:tcPr>
            <w:tcW w:w="8515" w:type="dxa"/>
            <w:tcBorders/>
            <w:shd w:fill="D9EFFD" w:val="clear"/>
            <w:vAlign w:val="center"/>
          </w:tcPr>
          <w:p>
            <w:pPr>
              <w:pStyle w:val="TableContents"/>
              <w:pBdr/>
              <w:spacing w:before="0" w:after="0"/>
              <w:ind w:left="150" w:right="150" w:hanging="0"/>
              <w:rPr>
                <w:rFonts w:ascii="Arial" w:hAnsi="Arial"/>
                <w:b/>
                <w:color w:val="245BA7"/>
                <w:sz w:val="24"/>
              </w:rPr>
            </w:pPr>
            <w:r>
              <w:rPr>
                <w:rFonts w:ascii="Arial" w:hAnsi="Arial"/>
                <w:b/>
                <w:color w:val="245BA7"/>
                <w:sz w:val="24"/>
              </w:rPr>
              <w:t>Risk-Mitigating Policies and Practices</w:t>
            </w:r>
          </w:p>
        </w:tc>
      </w:tr>
      <w:tr>
        <w:trPr/>
        <w:tc>
          <w:tcPr>
            <w:tcW w:w="1690" w:type="dxa"/>
            <w:vMerge w:val="continue"/>
            <w:tcBorders/>
            <w:shd w:fill="auto" w:val="clear"/>
            <w:vAlign w:val="center"/>
          </w:tcPr>
          <w:p>
            <w:pPr>
              <w:pStyle w:val="Normal"/>
              <w:rPr/>
            </w:pPr>
            <w:r>
              <w:rPr/>
            </w:r>
          </w:p>
        </w:tc>
        <w:tc>
          <w:tcPr>
            <w:tcW w:w="8515" w:type="dxa"/>
            <w:tcBorders/>
            <w:shd w:fill="D9EFFD" w:val="clear"/>
            <w:vAlign w:val="center"/>
          </w:tcPr>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b/>
                <w:color w:val="000000"/>
                <w:sz w:val="18"/>
              </w:rPr>
            </w:pPr>
            <w:r>
              <w:rPr>
                <w:rFonts w:ascii="Arial" w:hAnsi="Arial"/>
                <w:b/>
                <w:color w:val="000000"/>
                <w:sz w:val="18"/>
              </w:rPr>
              <w:t>We have a recoupment (clawback) policy that enables us to reduce or recoup equity and other incentive compensation for compliance violations by NEOs and other covered officers and employees; importantly, the policy covers both financial and non-financial violations.</w:t>
            </w:r>
            <w:r>
              <w:rPr>
                <w:rFonts w:ascii="Arial" w:hAnsi="Arial"/>
                <w:b/>
                <w:color w:val="000000"/>
                <w:sz w:val="11"/>
              </w:rPr>
              <w:t>**</w:t>
            </w:r>
          </w:p>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b/>
                <w:color w:val="000000"/>
                <w:sz w:val="18"/>
              </w:rPr>
            </w:pPr>
            <w:r>
              <w:rPr>
                <w:rFonts w:ascii="Arial" w:hAnsi="Arial"/>
                <w:b/>
                <w:color w:val="000000"/>
                <w:sz w:val="18"/>
              </w:rPr>
              <w:t>We prohibit our NEOs from hedging or pledging Regeneron securities they hold.</w:t>
            </w:r>
          </w:p>
          <w:p>
            <w:pPr>
              <w:pStyle w:val="TableContents"/>
              <w:spacing w:before="0" w:after="0"/>
              <w:ind w:left="150" w:right="180" w:hanging="0"/>
              <w:rPr>
                <w:color w:val="245BA7"/>
              </w:rPr>
            </w:pPr>
            <w:r>
              <w:rPr>
                <w:color w:val="245BA7"/>
              </w:rPr>
              <w:t>•</w:t>
            </w:r>
          </w:p>
          <w:p>
            <w:pPr>
              <w:pStyle w:val="TableContents"/>
              <w:pBdr/>
              <w:spacing w:before="0" w:after="0"/>
              <w:ind w:left="150" w:right="180" w:hanging="0"/>
              <w:rPr>
                <w:rFonts w:ascii="Arial" w:hAnsi="Arial"/>
                <w:b/>
                <w:color w:val="000000"/>
                <w:sz w:val="18"/>
              </w:rPr>
            </w:pPr>
            <w:r>
              <w:rPr>
                <w:rFonts w:ascii="Arial" w:hAnsi="Arial"/>
                <w:b/>
                <w:color w:val="000000"/>
                <w:sz w:val="18"/>
              </w:rPr>
              <w:t>We periodically evaluate each NEO’s grant history and prior grant size amounts, as well as the amount of outstanding unvested and/or vested but unexercised stock options and other equity awards (if applicable) held, including whether such awards are “in-the-money.” These considerations inform future NEO grant sizes and the mix of equity awards utilized.</w:t>
            </w:r>
          </w:p>
        </w:tc>
      </w:tr>
    </w:tbl>
    <w:p>
      <w:pPr>
        <w:pStyle w:val="TextBody"/>
        <w:pBdr/>
        <w:spacing w:before="0" w:after="0"/>
        <w:ind w:left="0" w:right="0" w:hanging="0"/>
        <w:rPr>
          <w:color w:val="000000"/>
        </w:rPr>
      </w:pPr>
      <w:r>
        <w:rPr>
          <w:color w:val="000000"/>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0"/>
              <w:ind w:left="0" w:right="30" w:hanging="0"/>
              <w:rPr>
                <w:rFonts w:ascii="Arial" w:hAnsi="Arial"/>
                <w:color w:val="000000"/>
                <w:sz w:val="20"/>
              </w:rPr>
            </w:pPr>
            <w:r>
              <w:rPr>
                <w:rFonts w:ascii="Arial" w:hAnsi="Arial"/>
                <w:color w:val="000000"/>
                <w:sz w:val="20"/>
              </w:rPr>
              <w:t>In the case of our CEO, this is subject to the terms of his employment agreement. See the subsection “Compensation Dashboard—2022 Executive Compensation Tables—Post-Employment Compensation—Leonard S. Schleifer, M.D., Ph.D. Employment Agreement.” In the case of our CSO, unvested stock options held by him will continue to vest following his qualified retirement (as defined in the applicable Company policy).</w:t>
            </w:r>
          </w:p>
        </w:tc>
      </w:tr>
    </w:tbl>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0"/>
              <w:ind w:left="0" w:right="30" w:hanging="0"/>
              <w:rPr>
                <w:rFonts w:ascii="Arial" w:hAnsi="Arial"/>
                <w:color w:val="000000"/>
                <w:sz w:val="20"/>
              </w:rPr>
            </w:pPr>
            <w:r>
              <w:rPr>
                <w:rFonts w:ascii="Arial" w:hAnsi="Arial"/>
                <w:color w:val="000000"/>
                <w:sz w:val="20"/>
              </w:rPr>
              <w:t>See the subsection “Compensation Processes—Risk Assessment” below for further information about the recoupment (clawback) policy.</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68"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00" descr=""/>
                          <pic:cNvPicPr>
                            <a:picLocks noChangeAspect="1" noChangeArrowheads="1"/>
                          </pic:cNvPicPr>
                        </pic:nvPicPr>
                        <pic:blipFill>
                          <a:blip r:embed="rId201"/>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67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In applying this framework in 2022, the Compensation Committee determined to grant our NEOs (except our CEO and CSO, who did not receive any equity awards in 2022) the target grant date fair value of the equity awards shown in the table below, with 60% of the grant date fair value of each NEO award allocated to stock options and 40% to RSAs. The 2022 annual equity awards to the NEOs were expressed in dollar terms (i.e., based on their grant date fair value). This approach allows for value delivery to be normalized and predictable year-over-year, an important consideration for the top talent we seek to attract and retain, and aligns with industry peers of similar size, maturity, and growth trajectory. It has also resulted in lowering the Company’s burn rate in recent years and helped address feedback relating to the levels of burn rate viewed as acceptable by some of our shareholders. In 2022, our burn rate was 2.7%, the lowest level in over a decade, despite keeping our broad-based equity program intact and increasing the number of our employees by 14% year-over-year.</w:t>
      </w:r>
    </w:p>
    <w:p>
      <w:pPr>
        <w:pStyle w:val="Heading4"/>
        <w:pBdr/>
        <w:spacing w:before="0" w:after="150"/>
        <w:ind w:left="0" w:right="0" w:hanging="0"/>
        <w:rPr>
          <w:rFonts w:ascii="Arial" w:hAnsi="Arial"/>
          <w:b/>
          <w:i w:val="false"/>
          <w:caps w:val="false"/>
          <w:smallCaps w:val="false"/>
          <w:color w:val="245BA7"/>
          <w:sz w:val="24"/>
        </w:rPr>
      </w:pPr>
      <w:bookmarkStart w:id="128" w:name="new_id-119"/>
      <w:bookmarkEnd w:id="128"/>
      <w:r>
        <w:rPr>
          <w:rFonts w:ascii="Arial" w:hAnsi="Arial"/>
          <w:b/>
          <w:i w:val="false"/>
          <w:caps w:val="false"/>
          <w:smallCaps w:val="false"/>
          <w:color w:val="245BA7"/>
          <w:sz w:val="24"/>
        </w:rPr>
        <w:t xml:space="preserve">2022 Annual Equity Awards </w:t>
      </w:r>
    </w:p>
    <w:tbl>
      <w:tblPr>
        <w:tblW w:w="10205" w:type="dxa"/>
        <w:jc w:val="left"/>
        <w:tblInd w:w="0" w:type="dxa"/>
        <w:tblCellMar>
          <w:top w:w="0" w:type="dxa"/>
          <w:left w:w="0" w:type="dxa"/>
          <w:bottom w:w="75" w:type="dxa"/>
          <w:right w:w="0" w:type="dxa"/>
        </w:tblCellMar>
      </w:tblPr>
      <w:tblGrid>
        <w:gridCol w:w="3615"/>
        <w:gridCol w:w="1468"/>
        <w:gridCol w:w="103"/>
        <w:gridCol w:w="1025"/>
        <w:gridCol w:w="103"/>
        <w:gridCol w:w="116"/>
        <w:gridCol w:w="1315"/>
        <w:gridCol w:w="93"/>
        <w:gridCol w:w="848"/>
        <w:gridCol w:w="93"/>
        <w:gridCol w:w="1315"/>
        <w:gridCol w:w="111"/>
      </w:tblGrid>
      <w:tr>
        <w:trPr/>
        <w:tc>
          <w:tcPr>
            <w:tcW w:w="3615" w:type="dxa"/>
            <w:vMerge w:val="restart"/>
            <w:tcBorders>
              <w:bottom w:val="single" w:sz="12" w:space="0" w:color="245BA7"/>
            </w:tcBorders>
            <w:shd w:fill="auto" w:val="clear"/>
            <w:vAlign w:val="center"/>
          </w:tcPr>
          <w:p>
            <w:pPr>
              <w:pStyle w:val="TableContents"/>
              <w:pBdr/>
              <w:spacing w:before="15" w:after="0"/>
              <w:ind w:left="15" w:right="15" w:hanging="0"/>
              <w:rPr>
                <w:rFonts w:ascii="Arial" w:hAnsi="Arial"/>
                <w:b/>
                <w:color w:val="245BA7"/>
                <w:sz w:val="18"/>
              </w:rPr>
            </w:pPr>
            <w:r>
              <w:rPr>
                <w:rFonts w:ascii="Arial" w:hAnsi="Arial"/>
                <w:b/>
                <w:color w:val="245BA7"/>
                <w:sz w:val="18"/>
              </w:rPr>
              <w:t>Named Executive Officer</w:t>
            </w:r>
          </w:p>
        </w:tc>
        <w:tc>
          <w:tcPr>
            <w:tcW w:w="2699" w:type="dxa"/>
            <w:gridSpan w:val="4"/>
            <w:tcBorders>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Annual Stock Options</w:t>
            </w:r>
          </w:p>
        </w:tc>
        <w:tc>
          <w:tcPr>
            <w:tcW w:w="116" w:type="dxa"/>
            <w:vMerge w:val="restart"/>
            <w:tcBorders>
              <w:bottom w:val="single" w:sz="12" w:space="0" w:color="245BA7"/>
            </w:tcBorders>
            <w:shd w:fill="auto" w:val="clear"/>
            <w:vAlign w:val="center"/>
          </w:tcPr>
          <w:p>
            <w:pPr>
              <w:pStyle w:val="TableContents"/>
              <w:pBdr/>
              <w:spacing w:before="15" w:after="0"/>
              <w:ind w:left="15" w:right="15" w:hanging="0"/>
              <w:rPr>
                <w:color w:val="245BA7"/>
              </w:rPr>
            </w:pPr>
            <w:r>
              <w:rPr>
                <w:color w:val="245BA7"/>
              </w:rPr>
              <w:t> </w:t>
            </w:r>
          </w:p>
        </w:tc>
        <w:tc>
          <w:tcPr>
            <w:tcW w:w="2349" w:type="dxa"/>
            <w:gridSpan w:val="4"/>
            <w:tcBorders>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Annual RSAs</w:t>
            </w:r>
          </w:p>
        </w:tc>
        <w:tc>
          <w:tcPr>
            <w:tcW w:w="1426" w:type="dxa"/>
            <w:gridSpan w:val="2"/>
            <w:vMerge w:val="restart"/>
            <w:tcBorders>
              <w:bottom w:val="single" w:sz="1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Total</w:t>
            </w:r>
          </w:p>
          <w:p>
            <w:pPr>
              <w:pStyle w:val="TableContents"/>
              <w:pBdr/>
              <w:spacing w:before="15" w:after="0"/>
              <w:ind w:left="15" w:right="15" w:hanging="0"/>
              <w:jc w:val="center"/>
              <w:rPr>
                <w:rFonts w:ascii="Arial" w:hAnsi="Arial"/>
                <w:b/>
                <w:color w:val="245BA7"/>
                <w:sz w:val="18"/>
              </w:rPr>
            </w:pPr>
            <w:r>
              <w:rPr>
                <w:rFonts w:ascii="Arial" w:hAnsi="Arial"/>
                <w:b/>
                <w:color w:val="245BA7"/>
                <w:sz w:val="18"/>
              </w:rPr>
              <w:t>($)**</w:t>
            </w:r>
          </w:p>
        </w:tc>
      </w:tr>
      <w:tr>
        <w:trPr/>
        <w:tc>
          <w:tcPr>
            <w:tcW w:w="3615" w:type="dxa"/>
            <w:vMerge w:val="continue"/>
            <w:tcBorders>
              <w:bottom w:val="single" w:sz="12" w:space="0" w:color="245BA7"/>
            </w:tcBorders>
            <w:shd w:fill="auto" w:val="clear"/>
            <w:vAlign w:val="center"/>
          </w:tcPr>
          <w:p>
            <w:pPr>
              <w:pStyle w:val="Normal"/>
              <w:rPr/>
            </w:pPr>
            <w:r>
              <w:rPr/>
            </w:r>
          </w:p>
        </w:tc>
        <w:tc>
          <w:tcPr>
            <w:tcW w:w="1571" w:type="dxa"/>
            <w:gridSpan w:val="2"/>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w:t>
            </w:r>
          </w:p>
        </w:tc>
        <w:tc>
          <w:tcPr>
            <w:tcW w:w="1128" w:type="dxa"/>
            <w:gridSpan w:val="2"/>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w:t>
            </w:r>
          </w:p>
        </w:tc>
        <w:tc>
          <w:tcPr>
            <w:tcW w:w="116" w:type="dxa"/>
            <w:vMerge w:val="continue"/>
            <w:tcBorders>
              <w:bottom w:val="single" w:sz="12" w:space="0" w:color="245BA7"/>
            </w:tcBorders>
            <w:shd w:fill="auto" w:val="clear"/>
            <w:vAlign w:val="center"/>
          </w:tcPr>
          <w:p>
            <w:pPr>
              <w:pStyle w:val="Normal"/>
              <w:rPr/>
            </w:pPr>
            <w:r>
              <w:rPr/>
            </w:r>
          </w:p>
        </w:tc>
        <w:tc>
          <w:tcPr>
            <w:tcW w:w="1408" w:type="dxa"/>
            <w:gridSpan w:val="2"/>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w:t>
            </w:r>
          </w:p>
        </w:tc>
        <w:tc>
          <w:tcPr>
            <w:tcW w:w="941" w:type="dxa"/>
            <w:gridSpan w:val="2"/>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w:t>
            </w:r>
          </w:p>
        </w:tc>
        <w:tc>
          <w:tcPr>
            <w:tcW w:w="1426" w:type="dxa"/>
            <w:gridSpan w:val="2"/>
            <w:vMerge w:val="continue"/>
            <w:tcBorders>
              <w:bottom w:val="single" w:sz="12" w:space="0" w:color="245BA7"/>
            </w:tcBorders>
            <w:shd w:fill="auto" w:val="clear"/>
            <w:vAlign w:val="center"/>
          </w:tcPr>
          <w:p>
            <w:pPr>
              <w:pStyle w:val="Normal"/>
              <w:rPr/>
            </w:pPr>
            <w:r>
              <w:rPr/>
            </w:r>
          </w:p>
        </w:tc>
      </w:tr>
      <w:tr>
        <w:trPr/>
        <w:tc>
          <w:tcPr>
            <w:tcW w:w="3615"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Leonard S. Schleifer, M.D., Ph.D.*</w:t>
            </w:r>
          </w:p>
        </w:tc>
        <w:tc>
          <w:tcPr>
            <w:tcW w:w="1468"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color w:val="000000"/>
              </w:rPr>
            </w:pPr>
            <w:r>
              <w:rPr>
                <w:color w:val="000000"/>
              </w:rPr>
              <w:t>—</w:t>
            </w:r>
          </w:p>
        </w:tc>
        <w:tc>
          <w:tcPr>
            <w:tcW w:w="103"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025"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color w:val="000000"/>
              </w:rPr>
            </w:pPr>
            <w:r>
              <w:rPr>
                <w:color w:val="000000"/>
              </w:rPr>
              <w:t>—</w:t>
            </w:r>
          </w:p>
        </w:tc>
        <w:tc>
          <w:tcPr>
            <w:tcW w:w="103"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6" w:type="dxa"/>
            <w:tcBorders>
              <w:bottom w:val="single" w:sz="2" w:space="0" w:color="575756"/>
            </w:tcBorders>
            <w:shd w:fill="auto" w:val="clear"/>
            <w:tcMar>
              <w:bottom w:w="30" w:type="dxa"/>
            </w:tcMar>
            <w:vAlign w:val="center"/>
          </w:tcPr>
          <w:p>
            <w:pPr>
              <w:pStyle w:val="TableContents"/>
              <w:pBdr/>
              <w:spacing w:before="0" w:after="45"/>
              <w:ind w:left="15" w:right="0" w:hanging="0"/>
              <w:rPr>
                <w:color w:val="000000"/>
              </w:rPr>
            </w:pPr>
            <w:r>
              <w:rPr>
                <w:color w:val="000000"/>
              </w:rPr>
              <w:t> </w:t>
            </w:r>
          </w:p>
        </w:tc>
        <w:tc>
          <w:tcPr>
            <w:tcW w:w="1315"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color w:val="000000"/>
              </w:rPr>
            </w:pPr>
            <w:r>
              <w:rPr>
                <w:color w:val="000000"/>
              </w:rPr>
              <w:t>—</w:t>
            </w:r>
          </w:p>
        </w:tc>
        <w:tc>
          <w:tcPr>
            <w:tcW w:w="93"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848"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color w:val="000000"/>
              </w:rPr>
            </w:pPr>
            <w:r>
              <w:rPr>
                <w:color w:val="000000"/>
              </w:rPr>
              <w:t>—</w:t>
            </w:r>
          </w:p>
        </w:tc>
        <w:tc>
          <w:tcPr>
            <w:tcW w:w="93"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315"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color w:val="000000"/>
              </w:rPr>
            </w:pPr>
            <w:r>
              <w:rPr>
                <w:color w:val="000000"/>
              </w:rPr>
              <w:t>—</w:t>
            </w:r>
          </w:p>
        </w:tc>
        <w:tc>
          <w:tcPr>
            <w:tcW w:w="111"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r>
      <w:tr>
        <w:trPr/>
        <w:tc>
          <w:tcPr>
            <w:tcW w:w="3615" w:type="dxa"/>
            <w:tcBorders>
              <w:top w:val="single" w:sz="2" w:space="0" w:color="F2F2F2"/>
              <w:left w:val="single" w:sz="2" w:space="0" w:color="F2F2F2"/>
              <w:bottom w:val="single" w:sz="2" w:space="0" w:color="575756"/>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George D. Yancopoulos, M.D., Ph.D.*</w:t>
            </w:r>
          </w:p>
        </w:tc>
        <w:tc>
          <w:tcPr>
            <w:tcW w:w="1468"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color w:val="000000"/>
              </w:rPr>
            </w:pPr>
            <w:r>
              <w:rPr>
                <w:color w:val="000000"/>
              </w:rPr>
              <w:t>—</w:t>
            </w:r>
          </w:p>
        </w:tc>
        <w:tc>
          <w:tcPr>
            <w:tcW w:w="103"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02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color w:val="000000"/>
              </w:rPr>
            </w:pPr>
            <w:r>
              <w:rPr>
                <w:color w:val="000000"/>
              </w:rPr>
              <w:t>—</w:t>
            </w:r>
          </w:p>
        </w:tc>
        <w:tc>
          <w:tcPr>
            <w:tcW w:w="103"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16" w:type="dxa"/>
            <w:tcBorders>
              <w:top w:val="single" w:sz="2" w:space="0" w:color="F2F2F2"/>
              <w:left w:val="single" w:sz="2" w:space="0" w:color="F2F2F2"/>
              <w:bottom w:val="single" w:sz="2" w:space="0" w:color="575756"/>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color w:val="000000"/>
              </w:rPr>
            </w:pPr>
            <w:r>
              <w:rPr>
                <w:color w:val="000000"/>
              </w:rPr>
              <w:t> </w:t>
            </w:r>
          </w:p>
        </w:tc>
        <w:tc>
          <w:tcPr>
            <w:tcW w:w="131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color w:val="000000"/>
              </w:rPr>
            </w:pPr>
            <w:r>
              <w:rPr>
                <w:color w:val="000000"/>
              </w:rPr>
              <w:t>—</w:t>
            </w:r>
          </w:p>
        </w:tc>
        <w:tc>
          <w:tcPr>
            <w:tcW w:w="93"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848"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color w:val="000000"/>
              </w:rPr>
            </w:pPr>
            <w:r>
              <w:rPr>
                <w:color w:val="000000"/>
              </w:rPr>
              <w:t>—</w:t>
            </w:r>
          </w:p>
        </w:tc>
        <w:tc>
          <w:tcPr>
            <w:tcW w:w="93"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31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color w:val="000000"/>
              </w:rPr>
            </w:pPr>
            <w:r>
              <w:rPr>
                <w:color w:val="000000"/>
              </w:rPr>
              <w:t>—</w:t>
            </w:r>
          </w:p>
        </w:tc>
        <w:tc>
          <w:tcPr>
            <w:tcW w:w="11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r>
      <w:tr>
        <w:trPr/>
        <w:tc>
          <w:tcPr>
            <w:tcW w:w="3615"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Robert E. Landry</w:t>
            </w:r>
          </w:p>
        </w:tc>
        <w:tc>
          <w:tcPr>
            <w:tcW w:w="1468"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4,200,000</w:t>
            </w:r>
          </w:p>
        </w:tc>
        <w:tc>
          <w:tcPr>
            <w:tcW w:w="103"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025"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14,222</w:t>
            </w:r>
          </w:p>
        </w:tc>
        <w:tc>
          <w:tcPr>
            <w:tcW w:w="103"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6" w:type="dxa"/>
            <w:tcBorders>
              <w:bottom w:val="single" w:sz="2" w:space="0" w:color="575756"/>
            </w:tcBorders>
            <w:shd w:fill="auto" w:val="clear"/>
            <w:tcMar>
              <w:bottom w:w="30" w:type="dxa"/>
            </w:tcMar>
            <w:vAlign w:val="center"/>
          </w:tcPr>
          <w:p>
            <w:pPr>
              <w:pStyle w:val="TableContents"/>
              <w:pBdr/>
              <w:spacing w:before="0" w:after="45"/>
              <w:ind w:left="15" w:right="0" w:hanging="0"/>
              <w:rPr>
                <w:color w:val="000000"/>
              </w:rPr>
            </w:pPr>
            <w:r>
              <w:rPr>
                <w:color w:val="000000"/>
              </w:rPr>
              <w:t> </w:t>
            </w:r>
          </w:p>
        </w:tc>
        <w:tc>
          <w:tcPr>
            <w:tcW w:w="1315"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2,800,000</w:t>
            </w:r>
          </w:p>
        </w:tc>
        <w:tc>
          <w:tcPr>
            <w:tcW w:w="93"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848"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3,853</w:t>
            </w:r>
          </w:p>
        </w:tc>
        <w:tc>
          <w:tcPr>
            <w:tcW w:w="93"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315"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7,000,000</w:t>
            </w:r>
          </w:p>
        </w:tc>
        <w:tc>
          <w:tcPr>
            <w:tcW w:w="111"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r>
      <w:tr>
        <w:trPr/>
        <w:tc>
          <w:tcPr>
            <w:tcW w:w="3615" w:type="dxa"/>
            <w:tcBorders>
              <w:top w:val="single" w:sz="2" w:space="0" w:color="F2F2F2"/>
              <w:left w:val="single" w:sz="2" w:space="0" w:color="F2F2F2"/>
              <w:bottom w:val="single" w:sz="2" w:space="0" w:color="575756"/>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Daniel P. Van Plew</w:t>
            </w:r>
          </w:p>
        </w:tc>
        <w:tc>
          <w:tcPr>
            <w:tcW w:w="1468"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4,140,000</w:t>
            </w:r>
          </w:p>
        </w:tc>
        <w:tc>
          <w:tcPr>
            <w:tcW w:w="103"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02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14,019</w:t>
            </w:r>
          </w:p>
        </w:tc>
        <w:tc>
          <w:tcPr>
            <w:tcW w:w="103"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16" w:type="dxa"/>
            <w:tcBorders>
              <w:top w:val="single" w:sz="2" w:space="0" w:color="F2F2F2"/>
              <w:left w:val="single" w:sz="2" w:space="0" w:color="F2F2F2"/>
              <w:bottom w:val="single" w:sz="2" w:space="0" w:color="575756"/>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color w:val="000000"/>
              </w:rPr>
            </w:pPr>
            <w:r>
              <w:rPr>
                <w:color w:val="000000"/>
              </w:rPr>
              <w:t> </w:t>
            </w:r>
          </w:p>
        </w:tc>
        <w:tc>
          <w:tcPr>
            <w:tcW w:w="131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2,760,000</w:t>
            </w:r>
          </w:p>
        </w:tc>
        <w:tc>
          <w:tcPr>
            <w:tcW w:w="93"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848"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color w:val="000000"/>
              </w:rPr>
            </w:pPr>
            <w:r>
              <w:rPr>
                <w:color w:val="000000"/>
              </w:rPr>
              <w:t> </w:t>
            </w:r>
            <w:r>
              <w:rPr>
                <w:rFonts w:ascii="Arial" w:hAnsi="Arial"/>
                <w:color w:val="000000"/>
                <w:sz w:val="18"/>
              </w:rPr>
              <w:t>3,798</w:t>
            </w:r>
          </w:p>
        </w:tc>
        <w:tc>
          <w:tcPr>
            <w:tcW w:w="93"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31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6,900,000</w:t>
            </w:r>
          </w:p>
        </w:tc>
        <w:tc>
          <w:tcPr>
            <w:tcW w:w="11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r>
      <w:tr>
        <w:trPr/>
        <w:tc>
          <w:tcPr>
            <w:tcW w:w="3615"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Andrew J. Murphy, Ph.D.</w:t>
            </w:r>
          </w:p>
        </w:tc>
        <w:tc>
          <w:tcPr>
            <w:tcW w:w="1468"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4,500,000</w:t>
            </w:r>
          </w:p>
        </w:tc>
        <w:tc>
          <w:tcPr>
            <w:tcW w:w="103"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025"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15,238</w:t>
            </w:r>
          </w:p>
        </w:tc>
        <w:tc>
          <w:tcPr>
            <w:tcW w:w="103"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16" w:type="dxa"/>
            <w:tcBorders>
              <w:bottom w:val="single" w:sz="2" w:space="0" w:color="575756"/>
            </w:tcBorders>
            <w:shd w:fill="auto" w:val="clear"/>
            <w:tcMar>
              <w:bottom w:w="30" w:type="dxa"/>
            </w:tcMar>
            <w:vAlign w:val="center"/>
          </w:tcPr>
          <w:p>
            <w:pPr>
              <w:pStyle w:val="TableContents"/>
              <w:pBdr/>
              <w:spacing w:before="0" w:after="45"/>
              <w:ind w:left="15" w:right="0" w:hanging="0"/>
              <w:rPr>
                <w:color w:val="000000"/>
              </w:rPr>
            </w:pPr>
            <w:r>
              <w:rPr>
                <w:color w:val="000000"/>
              </w:rPr>
              <w:t> </w:t>
            </w:r>
          </w:p>
        </w:tc>
        <w:tc>
          <w:tcPr>
            <w:tcW w:w="1315"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3,000,000</w:t>
            </w:r>
          </w:p>
        </w:tc>
        <w:tc>
          <w:tcPr>
            <w:tcW w:w="93"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848"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4,129</w:t>
            </w:r>
          </w:p>
        </w:tc>
        <w:tc>
          <w:tcPr>
            <w:tcW w:w="93"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315"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7,500,000</w:t>
            </w:r>
          </w:p>
        </w:tc>
        <w:tc>
          <w:tcPr>
            <w:tcW w:w="111"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r>
      <w:tr>
        <w:trPr/>
        <w:tc>
          <w:tcPr>
            <w:tcW w:w="3615" w:type="dxa"/>
            <w:tcBorders>
              <w:top w:val="single" w:sz="2" w:space="0" w:color="F2F2F2"/>
              <w:left w:val="single" w:sz="2" w:space="0" w:color="F2F2F2"/>
              <w:bottom w:val="single" w:sz="2" w:space="0" w:color="245BA7"/>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Marion McCourt</w:t>
            </w:r>
          </w:p>
        </w:tc>
        <w:tc>
          <w:tcPr>
            <w:tcW w:w="1468"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3,240,000</w:t>
            </w:r>
          </w:p>
        </w:tc>
        <w:tc>
          <w:tcPr>
            <w:tcW w:w="103"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025"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10,971</w:t>
            </w:r>
          </w:p>
        </w:tc>
        <w:tc>
          <w:tcPr>
            <w:tcW w:w="103"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16" w:type="dxa"/>
            <w:tcBorders>
              <w:top w:val="single" w:sz="2" w:space="0" w:color="F2F2F2"/>
              <w:left w:val="single" w:sz="2" w:space="0" w:color="F2F2F2"/>
              <w:bottom w:val="single" w:sz="2" w:space="0" w:color="245BA7"/>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color w:val="000000"/>
              </w:rPr>
            </w:pPr>
            <w:r>
              <w:rPr>
                <w:color w:val="000000"/>
              </w:rPr>
              <w:t> </w:t>
            </w:r>
          </w:p>
        </w:tc>
        <w:tc>
          <w:tcPr>
            <w:tcW w:w="1315"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2,160,000</w:t>
            </w:r>
          </w:p>
        </w:tc>
        <w:tc>
          <w:tcPr>
            <w:tcW w:w="93"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848"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2,973</w:t>
            </w:r>
          </w:p>
        </w:tc>
        <w:tc>
          <w:tcPr>
            <w:tcW w:w="93"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c>
          <w:tcPr>
            <w:tcW w:w="1315"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5,400,000</w:t>
            </w:r>
          </w:p>
        </w:tc>
        <w:tc>
          <w:tcPr>
            <w:tcW w:w="111"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0" w:right="0" w:hanging="0"/>
              <w:rPr>
                <w:color w:val="000000"/>
              </w:rPr>
            </w:pPr>
            <w:r>
              <w:rPr>
                <w:color w:val="000000"/>
              </w:rPr>
              <w:t> </w:t>
            </w:r>
          </w:p>
        </w:tc>
      </w:tr>
      <w:tr>
        <w:trPr/>
        <w:tc>
          <w:tcPr>
            <w:tcW w:w="10094" w:type="dxa"/>
            <w:gridSpan w:val="11"/>
            <w:tcBorders/>
            <w:shd w:fill="auto" w:val="clear"/>
            <w:tcMar>
              <w:bottom w:w="0" w:type="dxa"/>
            </w:tcMar>
            <w:vAlign w:val="center"/>
          </w:tcPr>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0"/>
              <w:ind w:left="0" w:right="30" w:hanging="0"/>
              <w:rPr>
                <w:rFonts w:ascii="Arial" w:hAnsi="Arial"/>
                <w:color w:val="000000"/>
                <w:sz w:val="20"/>
              </w:rPr>
            </w:pPr>
            <w:r>
              <w:rPr>
                <w:rFonts w:ascii="Arial" w:hAnsi="Arial"/>
                <w:color w:val="000000"/>
                <w:sz w:val="20"/>
              </w:rPr>
              <w:t>Drs. Schleifer and Yancopoulos did not receive any equity awards in 2022. See “Update on 2020 PSU Awards” below for more information.</w:t>
            </w:r>
          </w:p>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0"/>
              <w:ind w:left="0" w:right="30" w:hanging="0"/>
              <w:rPr>
                <w:rFonts w:ascii="Arial" w:hAnsi="Arial"/>
                <w:color w:val="000000"/>
                <w:sz w:val="20"/>
              </w:rPr>
            </w:pPr>
            <w:r>
              <w:rPr>
                <w:rFonts w:ascii="Arial" w:hAnsi="Arial"/>
                <w:color w:val="000000"/>
                <w:sz w:val="20"/>
              </w:rPr>
              <w:t>Represents the target grant date fair value of the awards. See “Compensation Dashboard—2022 Executive Compensation Tables—2022 Summary Compensation Table” for the actual grant date fair value of such awards.</w:t>
            </w:r>
          </w:p>
        </w:tc>
        <w:tc>
          <w:tcPr>
            <w:tcW w:w="111" w:type="dxa"/>
            <w:tcBorders/>
            <w:shd w:fill="auto" w:val="clear"/>
            <w:tcMar>
              <w:bottom w:w="0" w:type="dxa"/>
            </w:tcMar>
            <w:vAlign w:val="center"/>
          </w:tcPr>
          <w:p>
            <w:pPr>
              <w:pStyle w:val="TableContents"/>
              <w:pBdr/>
              <w:spacing w:before="0" w:after="0"/>
              <w:ind w:left="0" w:right="30" w:hanging="0"/>
              <w:rPr>
                <w:color w:val="000000"/>
              </w:rPr>
            </w:pPr>
            <w:r>
              <w:rPr>
                <w:color w:val="000000"/>
              </w:rPr>
              <w:t> </w:t>
            </w:r>
          </w:p>
        </w:tc>
      </w:tr>
    </w:tbl>
    <w:p>
      <w:pPr>
        <w:pStyle w:val="TextBody"/>
        <w:pBdr/>
        <w:spacing w:before="0" w:after="210"/>
        <w:ind w:left="0" w:right="0" w:hanging="0"/>
        <w:rPr>
          <w:rFonts w:ascii="Arial" w:hAnsi="Arial"/>
          <w:color w:val="000000"/>
          <w:sz w:val="21"/>
        </w:rPr>
      </w:pPr>
      <w:r>
        <w:rPr>
          <w:rFonts w:ascii="Arial" w:hAnsi="Arial"/>
          <w:color w:val="000000"/>
          <w:sz w:val="21"/>
        </w:rPr>
        <w:t>All of the equity awards granted to the NEOs in 2022 are subject to the Company’s policy regarding recoupment or reduction (clawback) of incentive compensation for compliance violations, including after such awards have been earned/vested.</w:t>
      </w:r>
    </w:p>
    <w:p>
      <w:pPr>
        <w:pStyle w:val="Heading4"/>
        <w:pBdr/>
        <w:spacing w:before="0" w:after="150"/>
        <w:ind w:left="0" w:right="0" w:hanging="0"/>
        <w:rPr>
          <w:rFonts w:ascii="Arial" w:hAnsi="Arial"/>
          <w:b/>
          <w:i w:val="false"/>
          <w:caps w:val="false"/>
          <w:smallCaps w:val="false"/>
          <w:color w:val="245BA7"/>
          <w:sz w:val="24"/>
        </w:rPr>
      </w:pPr>
      <w:bookmarkStart w:id="129" w:name="new_id-120"/>
      <w:bookmarkEnd w:id="129"/>
      <w:r>
        <w:rPr>
          <w:rFonts w:ascii="Arial" w:hAnsi="Arial"/>
          <w:b/>
          <w:i w:val="false"/>
          <w:caps w:val="false"/>
          <w:smallCaps w:val="false"/>
          <w:color w:val="245BA7"/>
          <w:sz w:val="24"/>
        </w:rPr>
        <w:t xml:space="preserve">Annual Stock Option Awards </w:t>
      </w:r>
    </w:p>
    <w:p>
      <w:pPr>
        <w:pStyle w:val="TextBody"/>
        <w:pBdr/>
        <w:spacing w:before="0" w:after="210"/>
        <w:ind w:left="0" w:right="0" w:hanging="0"/>
        <w:rPr>
          <w:rFonts w:ascii="Arial" w:hAnsi="Arial"/>
          <w:color w:val="000000"/>
          <w:sz w:val="21"/>
        </w:rPr>
      </w:pPr>
      <w:r>
        <w:rPr>
          <w:rFonts w:ascii="Arial" w:hAnsi="Arial"/>
          <w:color w:val="000000"/>
          <w:sz w:val="21"/>
        </w:rPr>
        <w:t>Stock options represented 60% of the grant date fair value of the annual equity awards granted to our NEOs in 2022 (other than our CEO and CSO, who did not receive any equity awards in 2022). The use of stock options for 2022 annual equity awards to these NEOs was based on our long-held view that stock options are a useful compensation tool when used thoughtfully as part of a well-designed compensation program because they are inherently performance-based, requiring stock price appreciation before there is any real value earned, and simple. No amount of time will make a stock option deliver any value unless the company’s stock price increases. In addition, stock options incentivize these NEOs to take actions that increase shareholder value over the entire 10-year option term, which we believe is consistent with the drug discovery and development cycle.    </w:t>
      </w:r>
    </w:p>
    <w:p>
      <w:pPr>
        <w:pStyle w:val="TextBody"/>
        <w:pBdr/>
        <w:spacing w:before="0" w:after="210"/>
        <w:ind w:left="0" w:right="0" w:hanging="0"/>
        <w:rPr>
          <w:rFonts w:ascii="Arial" w:hAnsi="Arial"/>
          <w:color w:val="000000"/>
          <w:sz w:val="21"/>
        </w:rPr>
      </w:pPr>
      <w:r>
        <w:rPr>
          <w:rFonts w:ascii="Arial" w:hAnsi="Arial"/>
          <w:color w:val="000000"/>
          <w:sz w:val="21"/>
        </w:rPr>
        <w:t>Stock options awarded to our NEOs in 2022 have an exercise price of $726.53 per share, the average of the high and low sales price per share of our common stock as quoted on the Nasdaq Global Select Market on the date of grant. These grants consist of non-qualified stock options and vest ratably over a period of four years. Except as set forth below in the subsection “Compensation Dashboard—2022 Executive Compensation Tables—Post-Employment Compensation,” stock option vesting ceases, and unvested stock options are forfeited, upon termination of employment.</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69"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01" descr=""/>
                          <pic:cNvPicPr>
                            <a:picLocks noChangeAspect="1" noChangeArrowheads="1"/>
                          </pic:cNvPicPr>
                        </pic:nvPicPr>
                        <pic:blipFill>
                          <a:blip r:embed="rId202"/>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68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245BA7"/>
          <w:sz w:val="24"/>
        </w:rPr>
      </w:pPr>
      <w:bookmarkStart w:id="130" w:name="new_id-121"/>
      <w:bookmarkEnd w:id="130"/>
      <w:r>
        <w:rPr>
          <w:rFonts w:ascii="Arial" w:hAnsi="Arial"/>
          <w:b/>
          <w:i w:val="false"/>
          <w:caps w:val="false"/>
          <w:smallCaps w:val="false"/>
          <w:color w:val="245BA7"/>
          <w:sz w:val="24"/>
        </w:rPr>
        <w:t xml:space="preserve">Annual RSAs </w:t>
      </w:r>
    </w:p>
    <w:p>
      <w:pPr>
        <w:pStyle w:val="TextBody"/>
        <w:pBdr/>
        <w:spacing w:before="0" w:after="135"/>
        <w:ind w:left="0" w:right="0" w:hanging="0"/>
        <w:rPr>
          <w:rFonts w:ascii="Arial" w:hAnsi="Arial"/>
          <w:color w:val="000000"/>
          <w:sz w:val="21"/>
        </w:rPr>
      </w:pPr>
      <w:r>
        <w:rPr>
          <w:rFonts w:ascii="Arial" w:hAnsi="Arial"/>
          <w:color w:val="000000"/>
          <w:sz w:val="21"/>
        </w:rPr>
        <w:t>We granted time-based RSAs as a component of the annual equity awards for our NEOs in 2022 (other than our CEO and CSO, who did not receive any equity awards in 2022), representing 40% of the grant date fair value of the annual equity award for each of these executives. In continuing to use RSAs/RSUs as a component of the equity award mix for the 2022 annual equity awards to our NEOs and other employees, the Compensation Committee took into account, among other factors, shareholder feedback about the annual rate of equity compensation dilution, retention considerations, and employee input. The RSAs vest 50% on the second anniversary of the date of grant and 50% on the fourth anniversary of the date of grant, which is a more backloaded vesting schedule than is typical in the industry.</w:t>
      </w:r>
    </w:p>
    <w:p>
      <w:pPr>
        <w:pStyle w:val="Heading4"/>
        <w:pBdr/>
        <w:spacing w:before="0" w:after="150"/>
        <w:ind w:left="0" w:right="0" w:hanging="0"/>
        <w:rPr>
          <w:rFonts w:ascii="Arial" w:hAnsi="Arial"/>
          <w:b/>
          <w:i w:val="false"/>
          <w:caps w:val="false"/>
          <w:smallCaps w:val="false"/>
          <w:color w:val="245BA7"/>
          <w:sz w:val="24"/>
        </w:rPr>
      </w:pPr>
      <w:bookmarkStart w:id="131" w:name="new_id-122"/>
      <w:bookmarkEnd w:id="131"/>
      <w:r>
        <w:rPr>
          <w:rFonts w:ascii="Arial" w:hAnsi="Arial"/>
          <w:b/>
          <w:i w:val="false"/>
          <w:caps w:val="false"/>
          <w:smallCaps w:val="false"/>
          <w:color w:val="245BA7"/>
          <w:sz w:val="24"/>
        </w:rPr>
        <w:t xml:space="preserve">Update on 2020 PSU Awards </w:t>
      </w:r>
    </w:p>
    <w:p>
      <w:pPr>
        <w:pStyle w:val="TextBody"/>
        <w:pBdr/>
        <w:spacing w:before="0" w:after="210"/>
        <w:ind w:left="0" w:right="0" w:hanging="0"/>
        <w:rPr>
          <w:rFonts w:ascii="Arial" w:hAnsi="Arial"/>
          <w:color w:val="000000"/>
          <w:sz w:val="21"/>
        </w:rPr>
      </w:pPr>
      <w:r>
        <w:rPr>
          <w:rFonts w:ascii="Arial" w:hAnsi="Arial"/>
          <w:color w:val="000000"/>
          <w:sz w:val="21"/>
        </w:rPr>
        <w:t>As previously disclosed, in 2020 our CEO and CSO received front-loaded PSU awards in lieu of five years’ worth of annual equity awards (2020 through 2024). Consistent with the board’s commitment at the time of these grants, as reaffirmed by the board in response to subsequent shareholder feedback, the Compensation Committee granted no equity awards to our CEO or CSO in 2021 or 2022. In the most recent shareholder engagement cycle, a number of investors expressed an interest in receiving an update on performance to date as it relates to the 2020 PSUs. We have included the disclosure below to address this request. </w:t>
      </w:r>
    </w:p>
    <w:p>
      <w:pPr>
        <w:pStyle w:val="TextBody"/>
        <w:pBdr/>
        <w:spacing w:before="0" w:after="210"/>
        <w:ind w:left="0" w:right="0" w:hanging="0"/>
        <w:rPr>
          <w:rFonts w:ascii="Arial" w:hAnsi="Arial"/>
          <w:color w:val="000000"/>
          <w:sz w:val="21"/>
        </w:rPr>
      </w:pPr>
      <w:r>
        <w:rPr>
          <w:rFonts w:ascii="Arial" w:hAnsi="Arial"/>
          <w:color w:val="000000"/>
          <w:sz w:val="21"/>
        </w:rPr>
        <w:t>In designing the 2020 PSU awards, the Compensation Committee and the non-employee members of our board intentionally set challenging goals that would require extraordinary success in our scientific endeavors and business execution. The results to date suggest the awards have been working in the way they were intended. Over the first two years of the five-year performance period (2021 and 2022), our stock delivered a cumulative TSR of 51%, thanks in large part to the business achievements since the date of grant (including those summarized above in the subsection “Compensation Program Overview—2022 Business Highlights”).</w:t>
      </w:r>
    </w:p>
    <w:p>
      <w:pPr>
        <w:pStyle w:val="TextBody"/>
        <w:pBdr/>
        <w:spacing w:before="0" w:after="210"/>
        <w:ind w:left="0" w:right="0" w:hanging="0"/>
        <w:rPr>
          <w:rFonts w:ascii="Arial" w:hAnsi="Arial"/>
          <w:color w:val="000000"/>
          <w:sz w:val="21"/>
        </w:rPr>
      </w:pPr>
      <w:r>
        <w:rPr>
          <w:rFonts w:ascii="Arial" w:hAnsi="Arial"/>
          <w:color w:val="000000"/>
          <w:sz w:val="21"/>
        </w:rPr>
        <w:t>Despite significant stock price appreciation since the time of grant (from $478.30 to a new high of $837.55 as of the date of this proxy statement), the design of these awards ensured that only 20% of the maximum number of the 2020 PSUs awarded have been earned to date and thus eligible to vest in 2025 based on the satisfaction of the threshold performance goal corresponding to a stock price of $628. Importantly, no additional PSUs (i.e., the remaining 80% of the maximum number of the 2020 PSUs awarded) may be earned until the third anniversary of the grant date in December 2023. To the extent any earned PSUs subsequently vest at the conclusion of the five-year performance period in December 2025, they will remain subject to an additional three-year deferral and holding period until December 2028. The eight-year life of these awards is of longer duration than is typical in our industry and the broader market and was consciously selected by the Compensation Committee to further our corporate culture and pay philosophy through alignment with the drug discovery and development cycle and long-term shareholder value creation.</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70"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02" descr=""/>
                          <pic:cNvPicPr>
                            <a:picLocks noChangeAspect="1" noChangeArrowheads="1"/>
                          </pic:cNvPicPr>
                        </pic:nvPicPr>
                        <pic:blipFill>
                          <a:blip r:embed="rId203"/>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69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32" w:name="new_id-123"/>
      <w:bookmarkEnd w:id="132"/>
      <w:r>
        <w:rPr>
          <w:rFonts w:ascii="Arial" w:hAnsi="Arial"/>
          <w:b/>
          <w:i w:val="false"/>
          <w:caps w:val="false"/>
          <w:smallCaps w:val="false"/>
          <w:color w:val="D31B5D"/>
          <w:sz w:val="30"/>
          <w:bdr w:val="single" w:sz="12" w:space="2" w:color="245BA7"/>
        </w:rPr>
        <w:t xml:space="preserve">PERQUISITES AND PERSONAL BENEFITS </w:t>
      </w:r>
    </w:p>
    <w:p>
      <w:pPr>
        <w:pStyle w:val="TextBody"/>
        <w:pBdr/>
        <w:spacing w:before="0" w:after="210"/>
        <w:ind w:left="0" w:right="0" w:hanging="0"/>
        <w:rPr>
          <w:rFonts w:ascii="Arial" w:hAnsi="Arial"/>
          <w:color w:val="000000"/>
          <w:sz w:val="21"/>
        </w:rPr>
      </w:pPr>
      <w:r>
        <w:rPr>
          <w:rFonts w:ascii="Arial" w:hAnsi="Arial"/>
          <w:color w:val="000000"/>
          <w:sz w:val="21"/>
        </w:rPr>
        <w:t>Similar to our other employees, our NEOs may participate in Company-wide health, disability, life insurance, and other benefit plans, as well as our 401(k) Savings Plan. See details concerning the 401(k) Savings Plan in the subsection “Compensation Dashboard—Additional Compensation Information—Perquisites and Personal Benefits.” Our NEOs are eligible to receive a limited number of additional perquisites. These include financial and tax planning assistance, which are taxable benefits.  </w:t>
      </w:r>
    </w:p>
    <w:p>
      <w:pPr>
        <w:pStyle w:val="TextBody"/>
        <w:pBdr/>
        <w:spacing w:before="0" w:after="210"/>
        <w:ind w:left="0" w:right="0" w:hanging="0"/>
        <w:rPr>
          <w:rFonts w:ascii="Arial" w:hAnsi="Arial"/>
          <w:color w:val="000000"/>
          <w:sz w:val="21"/>
        </w:rPr>
      </w:pPr>
      <w:r>
        <w:rPr>
          <w:rFonts w:ascii="Arial" w:hAnsi="Arial"/>
          <w:color w:val="000000"/>
          <w:sz w:val="21"/>
        </w:rPr>
        <w:t>In addition, our CEO is entitled to life insurance, long-term disability, medical malpractice insurance premiums, and additional tax and financial planning services pursuant to his employment agreement. These are described in footnote 5 to the Summary Compensation Table.</w:t>
      </w:r>
    </w:p>
    <w:p>
      <w:pPr>
        <w:pStyle w:val="TextBody"/>
        <w:pBdr/>
        <w:spacing w:before="0" w:after="210"/>
        <w:ind w:left="0" w:right="0" w:hanging="0"/>
        <w:rPr>
          <w:rFonts w:ascii="Arial" w:hAnsi="Arial"/>
          <w:color w:val="000000"/>
          <w:sz w:val="21"/>
        </w:rPr>
      </w:pPr>
      <w:r>
        <w:rPr>
          <w:rFonts w:ascii="Arial" w:hAnsi="Arial"/>
          <w:color w:val="000000"/>
          <w:sz w:val="21"/>
        </w:rPr>
        <w:t>Our CEO and CSO are also eligible for various benefits under our board-approved security policy, the purpose of which is to ensure increased efficiencies and providing a more secure environment for these executives. Based on the recommendation of an independent, third-party security study, our security policy and related guidelines require our CEO and CSO (as well as their spouses and children when they accompany them) to use, as much as practicable, Company-provided aircraft for all business and personal air travel. The security policy also provides for 24/7 personal security services for each of Drs. Schleifer and Yancopoulos.</w:t>
      </w:r>
    </w:p>
    <w:p>
      <w:pPr>
        <w:pStyle w:val="TextBody"/>
        <w:pBdr/>
        <w:spacing w:before="0" w:after="210"/>
        <w:ind w:left="0" w:right="0" w:hanging="0"/>
        <w:rPr>
          <w:rFonts w:ascii="Arial" w:hAnsi="Arial"/>
          <w:color w:val="000000"/>
          <w:sz w:val="21"/>
        </w:rPr>
      </w:pPr>
      <w:r>
        <w:rPr>
          <w:rFonts w:ascii="Arial" w:hAnsi="Arial"/>
          <w:color w:val="000000"/>
          <w:sz w:val="21"/>
        </w:rPr>
        <w:t>Additional information regarding perquisites and other personal benefits provided to our NEOs in, or with respect to, 2022 is given in the applicable footnotes to the Summary Compensation Table and in the subsection “Compensation Dashboard—Additional Compensation Information—Perquisites and Personal Benefits.”</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33" w:name="new_id-124"/>
      <w:bookmarkEnd w:id="133"/>
      <w:r>
        <w:rPr>
          <w:rFonts w:ascii="Arial" w:hAnsi="Arial"/>
          <w:b/>
          <w:i w:val="false"/>
          <w:caps w:val="false"/>
          <w:smallCaps w:val="false"/>
          <w:color w:val="D31B5D"/>
          <w:sz w:val="30"/>
          <w:bdr w:val="single" w:sz="12" w:space="2" w:color="245BA7"/>
        </w:rPr>
        <w:t xml:space="preserve">POTENTIAL SEVERANCE PAYMENTS </w:t>
      </w:r>
    </w:p>
    <w:p>
      <w:pPr>
        <w:pStyle w:val="TextBody"/>
        <w:pBdr/>
        <w:spacing w:before="0" w:after="210"/>
        <w:ind w:left="0" w:right="0" w:hanging="0"/>
        <w:rPr>
          <w:rFonts w:ascii="Arial" w:hAnsi="Arial"/>
          <w:color w:val="000000"/>
          <w:sz w:val="21"/>
        </w:rPr>
      </w:pPr>
      <w:r>
        <w:rPr>
          <w:rFonts w:ascii="Arial" w:hAnsi="Arial"/>
          <w:color w:val="000000"/>
          <w:sz w:val="21"/>
        </w:rPr>
        <w:t>The following points are key to understanding our change-in-control and other severance provisions:</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Outstanding equity award agreements (with the exceptions and qualifications described in the subsection “Compensation Dashboard—Additional Compensation Information—Potential Severance Payments”) for all employees other than Dr. Vagelos include a governance best-practice “</w:t>
      </w:r>
      <w:r>
        <w:rPr>
          <w:rFonts w:ascii="Arial" w:hAnsi="Arial"/>
          <w:b/>
          <w:color w:val="000000"/>
          <w:sz w:val="21"/>
        </w:rPr>
        <w:t>double trigger”</w:t>
      </w:r>
      <w:r>
        <w:rPr>
          <w:rFonts w:ascii="Arial" w:hAnsi="Arial"/>
          <w:color w:val="000000"/>
          <w:sz w:val="21"/>
        </w:rPr>
        <w:t xml:space="preserve"> provision for the acceleration of vesting of awards granted thereunder only upon a without-cause termination by the Company within two years of a change in control.</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We have a </w:t>
      </w:r>
      <w:r>
        <w:rPr>
          <w:rFonts w:ascii="Arial" w:hAnsi="Arial"/>
          <w:b/>
          <w:color w:val="000000"/>
          <w:sz w:val="21"/>
        </w:rPr>
        <w:t>policy against excise tax gross-up provisions</w:t>
      </w:r>
      <w:r>
        <w:rPr>
          <w:rFonts w:ascii="Arial" w:hAnsi="Arial"/>
          <w:color w:val="000000"/>
          <w:sz w:val="21"/>
        </w:rPr>
        <w:t xml:space="preserve"> for payments contingent on a change in control of Regeneron in contracts, compensatory plans, and other arrangement with the Company’s officers (including NEOs) with the exception of the CEO under his existing employment agreement or amendments to it.</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Regeneron has </w:t>
      </w:r>
      <w:r>
        <w:rPr>
          <w:rFonts w:ascii="Arial" w:hAnsi="Arial"/>
          <w:b/>
          <w:color w:val="000000"/>
          <w:sz w:val="21"/>
        </w:rPr>
        <w:t>no pension, deferred compensation, or retirement plans</w:t>
      </w:r>
      <w:r>
        <w:rPr>
          <w:rFonts w:ascii="Arial" w:hAnsi="Arial"/>
          <w:color w:val="000000"/>
          <w:sz w:val="21"/>
        </w:rPr>
        <w:t xml:space="preserve"> for U.S.-based employees other than our 401(k) Savings Plan described above.</w:t>
      </w:r>
    </w:p>
    <w:p>
      <w:pPr>
        <w:pStyle w:val="TextBody"/>
        <w:pBdr/>
        <w:spacing w:before="0" w:after="210"/>
        <w:ind w:left="0" w:right="0" w:hanging="0"/>
        <w:rPr>
          <w:rFonts w:ascii="Arial" w:hAnsi="Arial"/>
          <w:color w:val="000000"/>
          <w:sz w:val="21"/>
        </w:rPr>
      </w:pPr>
      <w:r>
        <w:rPr>
          <w:rFonts w:ascii="Arial" w:hAnsi="Arial"/>
          <w:color w:val="000000"/>
          <w:sz w:val="21"/>
        </w:rPr>
        <w:t>For additional details, see the subsection “Compensation Dashboard—Additional Compensation Information—Potential Severance Payments.”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71"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03" descr=""/>
                          <pic:cNvPicPr>
                            <a:picLocks noChangeAspect="1" noChangeArrowheads="1"/>
                          </pic:cNvPicPr>
                        </pic:nvPicPr>
                        <pic:blipFill>
                          <a:blip r:embed="rId204"/>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70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2"/>
        <w:pBdr/>
        <w:spacing w:before="0" w:after="195"/>
        <w:ind w:left="0" w:right="0" w:hanging="0"/>
        <w:rPr>
          <w:rFonts w:ascii="Arial" w:hAnsi="Arial"/>
          <w:b/>
          <w:i w:val="false"/>
          <w:caps w:val="false"/>
          <w:smallCaps w:val="false"/>
          <w:color w:val="245BA7"/>
          <w:sz w:val="47"/>
        </w:rPr>
      </w:pPr>
      <w:bookmarkStart w:id="134" w:name="new_id-125"/>
      <w:bookmarkEnd w:id="134"/>
      <w:r>
        <w:rPr>
          <w:rFonts w:ascii="Arial" w:hAnsi="Arial"/>
          <w:b/>
          <w:i w:val="false"/>
          <w:caps w:val="false"/>
          <w:smallCaps w:val="false"/>
          <w:color w:val="245BA7"/>
          <w:sz w:val="47"/>
        </w:rPr>
        <w:t xml:space="preserve">COMPENSATION PROCESSES </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35" w:name="new_id-126"/>
      <w:bookmarkEnd w:id="135"/>
      <w:r>
        <w:rPr>
          <w:rFonts w:ascii="Arial" w:hAnsi="Arial"/>
          <w:b/>
          <w:i w:val="false"/>
          <w:caps w:val="false"/>
          <w:smallCaps w:val="false"/>
          <w:color w:val="D31B5D"/>
          <w:sz w:val="30"/>
          <w:bdr w:val="single" w:sz="12" w:space="2" w:color="245BA7"/>
        </w:rPr>
        <w:t xml:space="preserve">COMPENSATION COMMITTEE </w:t>
      </w:r>
    </w:p>
    <w:p>
      <w:pPr>
        <w:pStyle w:val="TextBody"/>
        <w:pBdr/>
        <w:spacing w:before="0" w:after="210"/>
        <w:ind w:left="0" w:right="0" w:hanging="0"/>
        <w:rPr>
          <w:rFonts w:ascii="Arial" w:hAnsi="Arial"/>
          <w:color w:val="000000"/>
          <w:sz w:val="21"/>
        </w:rPr>
      </w:pPr>
      <w:r>
        <w:rPr>
          <w:rFonts w:ascii="Arial" w:hAnsi="Arial"/>
          <w:color w:val="000000"/>
          <w:sz w:val="21"/>
        </w:rPr>
        <w:t>The Compensation Committee is responsible for overseeing the Company’s general compensation objectives and programs. The Compensation Committee evaluates the performance of our NEOs and approves their compensation—in the case of the CEO, subject to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hAnsi="Arial"/>
          <w:b/>
          <w:color w:val="000000"/>
          <w:sz w:val="21"/>
        </w:rPr>
        <w:t>www.regeneron.com</w:t>
      </w:r>
      <w:r>
        <w:rPr>
          <w:rFonts w:ascii="Arial" w:hAnsi="Arial"/>
          <w:color w:val="000000"/>
          <w:sz w:val="21"/>
        </w:rPr>
        <w:t> under the “Corporate Governance” heading on the “Investors &amp; Media” page. </w:t>
      </w:r>
    </w:p>
    <w:p>
      <w:pPr>
        <w:pStyle w:val="TextBody"/>
        <w:pBdr/>
        <w:spacing w:before="0" w:after="210"/>
        <w:ind w:left="0" w:right="0" w:hanging="0"/>
        <w:rPr>
          <w:rFonts w:ascii="Arial" w:hAnsi="Arial"/>
          <w:color w:val="000000"/>
          <w:sz w:val="21"/>
        </w:rPr>
      </w:pPr>
      <w:r>
        <w:rPr>
          <w:rFonts w:ascii="Arial" w:hAnsi="Arial"/>
          <w:color w:val="000000"/>
          <w:sz w:val="21"/>
        </w:rPr>
        <w:t>Annual salaries for the following year and year-end cash incentives and equity awards for all employees are determined in December of each year based on Company and individual performance, as well as other factors, which may include compensation trends among our Peer Group and in the biotechnology industry in general. With respect to our CEO, this process is formalized in the Compensation Committee’s charter, which specifies that the Compensation Committee is to annually present the proposed annual compensation of the CEO to the non-employee members of the board of directors for approval. The non-employee directors and the current Chair of the Board have also been involved in reviewing the Company’s performance for purposes of setting the annual cash incentive.</w:t>
      </w:r>
    </w:p>
    <w:p>
      <w:pPr>
        <w:pStyle w:val="TextBody"/>
        <w:pBdr/>
        <w:spacing w:before="0" w:after="210"/>
        <w:ind w:left="0" w:right="0" w:hanging="0"/>
        <w:rPr>
          <w:rFonts w:ascii="Arial" w:hAnsi="Arial"/>
          <w:color w:val="000000"/>
          <w:sz w:val="21"/>
        </w:rPr>
      </w:pPr>
      <w:r>
        <w:rPr>
          <w:rFonts w:ascii="Arial" w:hAnsi="Arial"/>
          <w:color w:val="000000"/>
          <w:sz w:val="21"/>
        </w:rPr>
        <w:t>We make our annual equity awards on a regular, pre-set schedule. The meetings at which such grants are approved are generally scheduled well in advance of the grant date, without regard to the timing of earnings or other major announcements. We generally grant annual equity awards to eligible employees whose performance is determined to merit an annual grant, including the NEOs, at a meeting held during December.</w:t>
      </w:r>
    </w:p>
    <w:p>
      <w:pPr>
        <w:pStyle w:val="TextBody"/>
        <w:pBdr/>
        <w:spacing w:before="0" w:after="210"/>
        <w:ind w:left="0" w:right="0" w:hanging="0"/>
        <w:rPr>
          <w:rFonts w:ascii="Arial" w:hAnsi="Arial"/>
          <w:color w:val="000000"/>
          <w:sz w:val="21"/>
        </w:rPr>
      </w:pPr>
      <w:r>
        <w:rPr>
          <w:rFonts w:ascii="Arial" w:hAnsi="Arial"/>
          <w:color w:val="000000"/>
          <w:sz w:val="21"/>
        </w:rPr>
        <w:t>Pursuant to the terms of the Second Amended and Restated Regeneron Pharmaceuticals, Inc. 2014 Long-Term Incentive Plan, stock option awards are granted with an exercise price equal to the average of the high and low sales price per share of our common stock as quoted on the Nasdaq Global Select Market on the date of the grant or, if such date is not a trading day, on the last preceding date on which there was a sale of our common stock on the Nasdaq Global Select Market. </w:t>
      </w:r>
    </w:p>
    <w:p>
      <w:pPr>
        <w:pStyle w:val="TextBody"/>
        <w:pBdr/>
        <w:spacing w:before="0" w:after="210"/>
        <w:ind w:left="0" w:right="0" w:hanging="0"/>
        <w:rPr>
          <w:rFonts w:ascii="Arial" w:hAnsi="Arial"/>
          <w:color w:val="000000"/>
          <w:sz w:val="21"/>
        </w:rPr>
      </w:pPr>
      <w:r>
        <w:rPr>
          <w:rFonts w:ascii="Arial" w:hAnsi="Arial"/>
          <w:color w:val="000000"/>
          <w:sz w:val="21"/>
        </w:rPr>
        <w:t>We periodically evaluate the personal benefits and perquisites afforded to our NEOs. The Compensation Committee also regularly meets in executive session to discuss any of the matters that fall within its responsibilities.</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36" w:name="new_id-127"/>
      <w:bookmarkEnd w:id="136"/>
      <w:r>
        <w:rPr>
          <w:rFonts w:ascii="Arial" w:hAnsi="Arial"/>
          <w:b/>
          <w:i w:val="false"/>
          <w:caps w:val="false"/>
          <w:smallCaps w:val="false"/>
          <w:color w:val="D31B5D"/>
          <w:sz w:val="30"/>
          <w:bdr w:val="single" w:sz="12" w:space="2" w:color="245BA7"/>
        </w:rPr>
        <w:t xml:space="preserve">MANAGEMENT </w:t>
      </w:r>
    </w:p>
    <w:p>
      <w:pPr>
        <w:pStyle w:val="TextBody"/>
        <w:pBdr/>
        <w:spacing w:before="0" w:after="210"/>
        <w:ind w:left="0" w:right="0" w:hanging="0"/>
        <w:rPr>
          <w:rFonts w:ascii="Arial" w:hAnsi="Arial"/>
          <w:color w:val="000000"/>
          <w:sz w:val="21"/>
        </w:rPr>
      </w:pPr>
      <w:r>
        <w:rPr>
          <w:rFonts w:ascii="Arial" w:hAnsi="Arial"/>
          <w:color w:val="000000"/>
          <w:sz w:val="21"/>
        </w:rPr>
        <w:t xml:space="preserve">Members of our senior management play a role in the overall executive compensation process and assess performance of other officers. They also recommend for the Compensation Committee’s approval the salary, cash incentive, and equity grant budgets for non-officers and make specific recommendations for salary increases, cash incentives, and equity grants for other officers. For our NEOs (other than our CEO), recommendations to the Compensation Committee regarding their compensation are made by our CEO, who also evaluates their performance. Our CEO’s performance is evaluated directly by the Compensation Committee based on the Company’s overall corporate performance against annual goals that are presented to the board of directors at the beginning of each year, as discussed above.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72"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04" descr=""/>
                          <pic:cNvPicPr>
                            <a:picLocks noChangeAspect="1" noChangeArrowheads="1"/>
                          </pic:cNvPicPr>
                        </pic:nvPicPr>
                        <pic:blipFill>
                          <a:blip r:embed="rId205"/>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71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37" w:name="new_id-128"/>
      <w:bookmarkEnd w:id="137"/>
      <w:r>
        <w:rPr>
          <w:rFonts w:ascii="Arial" w:hAnsi="Arial"/>
          <w:b/>
          <w:i w:val="false"/>
          <w:caps w:val="false"/>
          <w:smallCaps w:val="false"/>
          <w:color w:val="D31B5D"/>
          <w:sz w:val="30"/>
          <w:bdr w:val="single" w:sz="12" w:space="2" w:color="245BA7"/>
        </w:rPr>
        <w:t xml:space="preserve">SHAREHOLDER INPUT AND OUTREACH AND THE 2022 SAY-ON-PAY VOTE RESULT </w:t>
      </w:r>
    </w:p>
    <w:p>
      <w:pPr>
        <w:pStyle w:val="TextBody"/>
        <w:pBdr/>
        <w:spacing w:before="0" w:after="210"/>
        <w:ind w:left="0" w:right="0" w:hanging="0"/>
        <w:rPr>
          <w:rFonts w:ascii="Arial" w:hAnsi="Arial"/>
          <w:color w:val="000000"/>
          <w:sz w:val="21"/>
        </w:rPr>
      </w:pPr>
      <w:r>
        <w:rPr>
          <w:rFonts w:ascii="Arial" w:hAnsi="Arial"/>
          <w:color w:val="000000"/>
          <w:sz w:val="21"/>
        </w:rPr>
        <w:t>Fostering long-term relationships and maintaining trust with our shareholders has been a key priority for us. We seek shareholder feedback through our now-annual say-on-pay votes as well as through discussions with our shareholders in connection with our annual shareholder meetings and in the “off-season,” where we discuss compensation, governance, and other issues of importance and interest to our shareholders. This outreach complements the many touchpoints our investor relations team has with shareholders throughout the year. In addition, on a more informal basis, we engage with our shareholders through industry and corporate governance conferences and informal exchanges in other settings.</w:t>
      </w:r>
    </w:p>
    <w:p>
      <w:pPr>
        <w:pStyle w:val="TextBody"/>
        <w:pBdr/>
        <w:spacing w:before="0" w:after="210"/>
        <w:ind w:left="0" w:right="0" w:hanging="0"/>
        <w:rPr>
          <w:rFonts w:ascii="Arial" w:hAnsi="Arial"/>
          <w:color w:val="000000"/>
          <w:sz w:val="21"/>
        </w:rPr>
      </w:pPr>
      <w:r>
        <w:rPr>
          <w:rFonts w:ascii="Arial" w:hAnsi="Arial"/>
          <w:b/>
          <w:color w:val="000000"/>
          <w:sz w:val="21"/>
        </w:rPr>
        <w:t>Say-on-pay vote.</w:t>
      </w:r>
      <w:r>
        <w:rPr>
          <w:rFonts w:ascii="Arial" w:hAnsi="Arial"/>
          <w:color w:val="000000"/>
          <w:sz w:val="21"/>
        </w:rPr>
        <w:t xml:space="preserve"> Our shareholders are provided with an opportunity to cast a non-binding, advisory vote on our executive compensation program every year. We switched to the annual cadence of say-on-pay votes last year in recognition of shareholder feedback and preference. Our most recent advisory say-on-pay vote was held at our 2022 annual shareholder meeting, at which this advisory proposal was approved by 87.8% of the votes cast. This was the highest level of say-on-pay support in the last decade (up from 70.2% at the prior meeting at which this vote was on the ballot). Despite the greater approval rate of our compensation program by our shareholders evidenced by this result, we continued to engage with investors in 2022 to make sure we understand their perspectives and views of our compensation program and philosophy.</w:t>
      </w:r>
    </w:p>
    <w:p>
      <w:pPr>
        <w:pStyle w:val="TextBody"/>
        <w:pBdr/>
        <w:spacing w:before="0" w:after="210"/>
        <w:ind w:left="0" w:right="0" w:hanging="0"/>
        <w:rPr>
          <w:rFonts w:ascii="Arial" w:hAnsi="Arial"/>
          <w:color w:val="000000"/>
          <w:sz w:val="21"/>
        </w:rPr>
      </w:pPr>
      <w:r>
        <w:rPr>
          <w:rFonts w:ascii="Arial" w:hAnsi="Arial"/>
          <w:b/>
          <w:color w:val="000000"/>
          <w:sz w:val="21"/>
        </w:rPr>
        <w:t>Shareholder outreach.</w:t>
      </w:r>
      <w:r>
        <w:rPr>
          <w:rFonts w:ascii="Arial" w:hAnsi="Arial"/>
          <w:color w:val="000000"/>
          <w:sz w:val="21"/>
        </w:rPr>
        <w:t xml:space="preserve"> In the last decade, we have actively and regularly engaged with our shareholders to receive feedback on many important areas including governance, compensation, and corporate responsibility matters and are committed to continued engagement with portfolio managers and investment stewardship teams. Shareholder feedback is discussed with management and, depending on the topic, relayed for consideration to the appropriate committee of the board of directors (typically the Compensation Committee or the Corporate Governance and Compliance Committee), the full board, or both. In recent years, shareholder input resulted in specific changes to our compensation and corporate governance practices and policies. For example, after careful consideration of shareholder feedback following the 2021 annual shareholder meeting, in 2022 our board of directors voluntarily changed the frequency of our say-on-pay votes from every three years to every year. See the table further below for other recent changes informed by shareholder feedback.</w:t>
      </w:r>
    </w:p>
    <w:p>
      <w:pPr>
        <w:pStyle w:val="TextBody"/>
        <w:pBdr/>
        <w:spacing w:before="0" w:after="210"/>
        <w:ind w:left="0" w:right="0" w:hanging="0"/>
        <w:rPr>
          <w:rFonts w:ascii="Arial" w:hAnsi="Arial"/>
          <w:color w:val="000000"/>
          <w:sz w:val="21"/>
        </w:rPr>
      </w:pPr>
      <w:r>
        <w:rPr>
          <w:rFonts w:ascii="Arial" w:hAnsi="Arial"/>
          <w:color w:val="000000"/>
          <w:sz w:val="21"/>
        </w:rPr>
        <w:t>Since the 2022 annual shareholder meeting, we reached out to shareholders collectively representing over 60% of the public shares (i.e., shares of common stock outstanding as of December 31, 2022, excluding shares held by our directors and executive officers). This outreach resulted in one-on-one discussions with shareholders representing nearly 50% of our public shares.</w:t>
      </w:r>
    </w:p>
    <w:p>
      <w:pPr>
        <w:pStyle w:val="TextBody"/>
        <w:jc w:val="center"/>
        <w:rPr/>
      </w:pPr>
      <w:r>
        <w:rPr/>
        <w:drawing>
          <wp:inline distT="0" distB="0" distL="0" distR="0">
            <wp:extent cx="4762500" cy="2114550"/>
            <wp:effectExtent l="0" t="0" r="0" b="0"/>
            <wp:docPr id="273"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05" descr=""/>
                    <pic:cNvPicPr>
                      <a:picLocks noChangeAspect="1" noChangeArrowheads="1"/>
                    </pic:cNvPicPr>
                  </pic:nvPicPr>
                  <pic:blipFill>
                    <a:blip r:embed="rId206"/>
                    <a:stretch>
                      <a:fillRect/>
                    </a:stretch>
                  </pic:blipFill>
                  <pic:spPr bwMode="auto">
                    <a:xfrm>
                      <a:off x="0" y="0"/>
                      <a:ext cx="4762500" cy="2114550"/>
                    </a:xfrm>
                    <a:prstGeom prst="rect">
                      <a:avLst/>
                    </a:prstGeom>
                  </pic:spPr>
                </pic:pic>
              </a:graphicData>
            </a:graphic>
          </wp:inline>
        </w:drawing>
      </w:r>
      <w:r>
        <w:rPr/>
        <w:t xml:space="preserve"> </w:t>
      </w:r>
    </w:p>
    <w:p>
      <w:pPr>
        <w:pStyle w:val="TextBody"/>
        <w:pBdr/>
        <w:spacing w:before="0" w:after="210"/>
        <w:ind w:left="0" w:right="0" w:hanging="0"/>
        <w:jc w:val="center"/>
        <w:rPr>
          <w:color w:val="000000"/>
        </w:rPr>
      </w:pPr>
      <w:r>
        <w:rPr>
          <w:color w:val="000000"/>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74"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06" descr=""/>
                          <pic:cNvPicPr>
                            <a:picLocks noChangeAspect="1" noChangeArrowheads="1"/>
                          </pic:cNvPicPr>
                        </pic:nvPicPr>
                        <pic:blipFill>
                          <a:blip r:embed="rId207"/>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72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Our 2022 outreach built on an active outreach program in prior years and focused on, among other matters:</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the board’s </w:t>
      </w:r>
      <w:r>
        <w:rPr>
          <w:rFonts w:ascii="Arial" w:hAnsi="Arial"/>
          <w:b/>
          <w:color w:val="000000"/>
          <w:sz w:val="21"/>
        </w:rPr>
        <w:t>director refreshment</w:t>
      </w:r>
      <w:r>
        <w:rPr>
          <w:rFonts w:ascii="Arial" w:hAnsi="Arial"/>
          <w:color w:val="000000"/>
          <w:sz w:val="21"/>
        </w:rPr>
        <w:t xml:space="preserve"> efforts, including how the recent election of Dr. Thompson is consistent with the board’s director refreshment philosophy (discussed further in the subsection “Board of Directors—Board Governance–Director Refreshment Philosophy”);</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the Company’s </w:t>
      </w:r>
      <w:r>
        <w:rPr>
          <w:rFonts w:ascii="Arial" w:hAnsi="Arial"/>
          <w:b/>
          <w:color w:val="000000"/>
          <w:sz w:val="21"/>
        </w:rPr>
        <w:t>classified board structure</w:t>
      </w:r>
      <w:r>
        <w:rPr>
          <w:rFonts w:ascii="Arial" w:hAnsi="Arial"/>
          <w:color w:val="000000"/>
          <w:sz w:val="21"/>
        </w:rPr>
        <w:t>, including relevant considerations unique to the Company and its long-term orientation (discussed further in the subsection “Board of Directors—Board Governance–Board Structure”);</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the Company’s </w:t>
      </w:r>
      <w:r>
        <w:rPr>
          <w:rFonts w:ascii="Arial" w:hAnsi="Arial"/>
          <w:b/>
          <w:color w:val="000000"/>
          <w:sz w:val="21"/>
        </w:rPr>
        <w:t>dual-class capital structure</w:t>
      </w:r>
      <w:r>
        <w:rPr>
          <w:rFonts w:ascii="Arial" w:hAnsi="Arial"/>
          <w:color w:val="000000"/>
          <w:sz w:val="21"/>
        </w:rPr>
        <w:t>, including relevant mitigating factors such as the steady decline in the number of shares of Class A stock outstanding since the Company’s IPO and the relatively low percentage of overall votes controlled by the Class A shareholders, particularly when compared to other founder-led companies (discussed further in the subsection “The Company—Corporate Governance–Capital Structure”); and</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investor views of the newly mandated “</w:t>
      </w:r>
      <w:r>
        <w:rPr>
          <w:rFonts w:ascii="Arial" w:hAnsi="Arial"/>
          <w:b/>
          <w:color w:val="000000"/>
          <w:sz w:val="21"/>
        </w:rPr>
        <w:t>pay-versus-performance” disclosure</w:t>
      </w:r>
      <w:r>
        <w:rPr>
          <w:rFonts w:ascii="Arial" w:hAnsi="Arial"/>
          <w:color w:val="000000"/>
          <w:sz w:val="21"/>
        </w:rPr>
        <w:t xml:space="preserve"> (which we provide in the subsection “Compensation Dashboard—Additional Compensation Information—Pay Versus Performance”).</w:t>
      </w:r>
    </w:p>
    <w:p>
      <w:pPr>
        <w:pStyle w:val="TextBody"/>
        <w:pBdr/>
        <w:spacing w:before="0" w:after="210"/>
        <w:ind w:left="0" w:right="0" w:hanging="0"/>
        <w:rPr>
          <w:rFonts w:ascii="Arial" w:hAnsi="Arial"/>
          <w:color w:val="000000"/>
          <w:sz w:val="21"/>
        </w:rPr>
      </w:pPr>
      <w:r>
        <w:rPr>
          <w:rFonts w:ascii="Arial" w:hAnsi="Arial"/>
          <w:color w:val="000000"/>
          <w:sz w:val="21"/>
        </w:rPr>
        <w:t xml:space="preserve">We had meaningful and candid discussions about these and other corporate governance topics in 2022, and the feedback received from shareholders was discussed in detail at the board level and has already shaped the recent meeting agenda and discussion in the boardroom. For example, as described further in the subsection “Board of Directors—Board Governance–Board Structure,” 2022 shareholder feedback led the Corporate Governance and Compliance Committee to request, review, and discuss a detailed analysis of the costs and benefits of the Company’s classified board structure in order to facilitate the Committee’s continued consideration of this feature of Regeneron’s governance. </w:t>
      </w:r>
    </w:p>
    <w:p>
      <w:pPr>
        <w:pStyle w:val="TextBody"/>
        <w:pBdr/>
        <w:spacing w:before="0" w:after="210"/>
        <w:ind w:left="0" w:right="0" w:hanging="0"/>
        <w:rPr>
          <w:rFonts w:ascii="Arial" w:hAnsi="Arial"/>
          <w:color w:val="000000"/>
          <w:sz w:val="21"/>
        </w:rPr>
      </w:pPr>
      <w:r>
        <w:rPr>
          <w:rFonts w:ascii="Arial" w:hAnsi="Arial"/>
          <w:color w:val="000000"/>
          <w:sz w:val="21"/>
        </w:rPr>
        <w:t>With respect to executive compensation, feedback provided in 2022 was generally positive, with some variation among our shareholders. A number of shareholders indicated that they understood and supported Regeneron’s compensation program while others had questions about, among other matters, potential use of specific performance metrics in equity awards, potential broader use of performance-based share units, the process for determining the 2021 Company performance multiplier, and performance to date under the 2020 PSUs. We have included additional disclosure in this proxy statement to better communicate our views on key compensation points (including under “Components of Executive Pay: What We Pay and Why We Pay It—Annual Cash Incentives” and “Components of Executive Pay: What We Pay and Why We Pay It—Annual Equity Awards—Update on 2020 PSU Awards”). We will continue to consider shareholder feedback in executive compensation decisions.</w:t>
      </w:r>
    </w:p>
    <w:p>
      <w:pPr>
        <w:pStyle w:val="TextBody"/>
        <w:pBdr/>
        <w:spacing w:before="0" w:after="210"/>
        <w:ind w:left="0" w:right="0" w:hanging="0"/>
        <w:rPr>
          <w:rFonts w:ascii="Arial" w:hAnsi="Arial"/>
          <w:color w:val="000000"/>
          <w:sz w:val="21"/>
        </w:rPr>
      </w:pPr>
      <w:r>
        <w:rPr>
          <w:rFonts w:ascii="Arial" w:hAnsi="Arial"/>
          <w:color w:val="000000"/>
          <w:sz w:val="21"/>
        </w:rPr>
        <w:t>Set forth below are certain select changes to executive compensation and governance practices and other actions taken by the board and/or the relevant board committee in the last five years that were informed by shareholder feedback.</w:t>
      </w:r>
    </w:p>
    <w:p>
      <w:pPr>
        <w:pStyle w:val="Heading4"/>
        <w:pBdr/>
        <w:spacing w:before="0" w:after="150"/>
        <w:ind w:left="0" w:right="0" w:hanging="0"/>
        <w:rPr>
          <w:rFonts w:ascii="Arial" w:hAnsi="Arial"/>
          <w:b/>
          <w:i w:val="false"/>
          <w:caps w:val="false"/>
          <w:smallCaps w:val="false"/>
          <w:color w:val="245BA7"/>
          <w:sz w:val="24"/>
        </w:rPr>
      </w:pPr>
      <w:bookmarkStart w:id="138" w:name="new_id-129"/>
      <w:bookmarkEnd w:id="138"/>
      <w:r>
        <w:rPr>
          <w:rFonts w:ascii="Arial" w:hAnsi="Arial"/>
          <w:b/>
          <w:i w:val="false"/>
          <w:caps w:val="false"/>
          <w:smallCaps w:val="false"/>
          <w:color w:val="245BA7"/>
          <w:sz w:val="24"/>
        </w:rPr>
        <w:t xml:space="preserve">Response to Recent Shareholder Feedback </w:t>
      </w:r>
    </w:p>
    <w:p>
      <w:pPr>
        <w:pStyle w:val="TextBody"/>
        <w:pBdr/>
        <w:spacing w:before="0" w:after="120"/>
        <w:ind w:left="0" w:right="0" w:hanging="0"/>
        <w:rPr>
          <w:rFonts w:ascii="Arial" w:hAnsi="Arial"/>
          <w:i/>
          <w:color w:val="000000"/>
          <w:sz w:val="21"/>
        </w:rPr>
      </w:pPr>
      <w:r>
        <w:rPr>
          <w:rFonts w:ascii="Arial" w:hAnsi="Arial"/>
          <w:i/>
          <w:color w:val="000000"/>
          <w:sz w:val="21"/>
        </w:rPr>
        <w:t>Board Refreshment</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Elected Dr. Craig B. Thompson, former President and Chief Executive Officer of Memorial Sloan Kettering Cancer Center, to the Board (2022).</w:t>
      </w:r>
    </w:p>
    <w:p>
      <w:pPr>
        <w:pStyle w:val="TextBody"/>
        <w:pBdr/>
        <w:spacing w:before="0" w:after="120"/>
        <w:ind w:left="0" w:right="0" w:hanging="0"/>
        <w:rPr>
          <w:rFonts w:ascii="Arial" w:hAnsi="Arial"/>
          <w:i/>
          <w:color w:val="000000"/>
          <w:sz w:val="21"/>
        </w:rPr>
      </w:pPr>
      <w:r>
        <w:rPr>
          <w:rFonts w:ascii="Arial" w:hAnsi="Arial"/>
          <w:i/>
          <w:color w:val="000000"/>
          <w:sz w:val="21"/>
        </w:rPr>
        <w:t>Say-on-Pay</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Voluntarily adopted an annual say-on-pay vote (2022).</w:t>
      </w:r>
    </w:p>
    <w:p>
      <w:pPr>
        <w:pStyle w:val="TextBody"/>
        <w:pBdr/>
        <w:spacing w:before="0" w:after="120"/>
        <w:ind w:left="0" w:right="0" w:hanging="0"/>
        <w:rPr>
          <w:rFonts w:ascii="Arial" w:hAnsi="Arial"/>
          <w:i/>
          <w:color w:val="000000"/>
          <w:sz w:val="21"/>
        </w:rPr>
      </w:pPr>
      <w:r>
        <w:rPr>
          <w:rFonts w:ascii="Arial" w:hAnsi="Arial"/>
          <w:i/>
          <w:color w:val="000000"/>
          <w:sz w:val="21"/>
        </w:rPr>
        <w:t>Enhanced Disclosure</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Enhanced proxy statement disclosure surrounding board composition and refreshment, board structure and leadership, board oversight of pricing decisions/access to medicine, annual cash incentive determinations, 2020 PSUs, and certain other corporate governance matters (2022-2023).</w:t>
      </w:r>
    </w:p>
    <w:p>
      <w:pPr>
        <w:pStyle w:val="TextBody"/>
        <w:pBdr/>
        <w:spacing w:before="0" w:after="120"/>
        <w:ind w:left="0" w:right="0" w:hanging="0"/>
        <w:rPr>
          <w:rFonts w:ascii="Arial" w:hAnsi="Arial"/>
          <w:i/>
          <w:color w:val="000000"/>
          <w:sz w:val="21"/>
        </w:rPr>
      </w:pPr>
      <w:r>
        <w:rPr>
          <w:rFonts w:ascii="Arial" w:hAnsi="Arial"/>
          <w:i/>
          <w:color w:val="000000"/>
          <w:sz w:val="21"/>
        </w:rPr>
        <w:t>Pay-for-Performance Alignment</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Introduced PSUs as a component of CEO and CSO equity awards (2019).</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Granted 100% of CEO and CSO equity awards in the form of PSUs (2020).</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Reaffirmed commitment to issue no additional equity awards for CEO and CSO before December 2025 (2021/2022).</w:t>
      </w:r>
    </w:p>
    <w:p>
      <w:pPr>
        <w:pStyle w:val="TextBody"/>
        <w:pBdr/>
        <w:spacing w:before="0" w:after="120"/>
        <w:ind w:left="0" w:right="0" w:hanging="0"/>
        <w:rPr>
          <w:rFonts w:ascii="Arial" w:hAnsi="Arial"/>
          <w:i/>
          <w:color w:val="000000"/>
          <w:sz w:val="21"/>
        </w:rPr>
      </w:pPr>
      <w:r>
        <w:rPr>
          <w:rFonts w:ascii="Arial" w:hAnsi="Arial"/>
          <w:i/>
          <w:color w:val="000000"/>
          <w:sz w:val="21"/>
        </w:rPr>
        <w:t>Management Stability</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Increased holding/vesting requirements for CEO and CSO by incorporating a five-year performance period and a subsequent three-year holding period in most recent equity awards (2020).</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75"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07" descr=""/>
                          <pic:cNvPicPr>
                            <a:picLocks noChangeAspect="1" noChangeArrowheads="1"/>
                          </pic:cNvPicPr>
                        </pic:nvPicPr>
                        <pic:blipFill>
                          <a:blip r:embed="rId208"/>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73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120"/>
        <w:ind w:left="0" w:right="0" w:hanging="0"/>
        <w:rPr>
          <w:rFonts w:ascii="Arial" w:hAnsi="Arial"/>
          <w:i/>
          <w:color w:val="000000"/>
          <w:sz w:val="21"/>
        </w:rPr>
      </w:pPr>
      <w:r>
        <w:rPr>
          <w:rFonts w:ascii="Arial" w:hAnsi="Arial"/>
          <w:i/>
          <w:color w:val="000000"/>
          <w:sz w:val="21"/>
        </w:rPr>
        <w:t>Dilution/Burn Rate Concerns</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Recalibrated equity award mix (stock options and RSAs/RSUs) for NEOs below the CEO/CSO level and other employees (2019-2021).</w:t>
      </w:r>
    </w:p>
    <w:p>
      <w:pPr>
        <w:pStyle w:val="TextBody"/>
        <w:pBdr/>
        <w:spacing w:before="0" w:after="120"/>
        <w:ind w:left="0" w:right="0" w:hanging="0"/>
        <w:rPr>
          <w:rFonts w:ascii="Arial" w:hAnsi="Arial"/>
          <w:i/>
          <w:color w:val="000000"/>
          <w:sz w:val="21"/>
        </w:rPr>
      </w:pPr>
      <w:r>
        <w:rPr>
          <w:rFonts w:ascii="Arial" w:hAnsi="Arial"/>
          <w:i/>
          <w:color w:val="000000"/>
          <w:sz w:val="21"/>
        </w:rPr>
        <w:t>Annual Cash Incentives</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Enhanced the process by which the Compensation Committee determines the Company performance multiplier for annual cash incentives; provided more detailed disclosure regarding this process (2019-2022).</w:t>
      </w:r>
    </w:p>
    <w:p>
      <w:pPr>
        <w:pStyle w:val="TextBody"/>
        <w:pBdr/>
        <w:spacing w:before="0" w:after="120"/>
        <w:ind w:left="0" w:right="0" w:hanging="0"/>
        <w:rPr>
          <w:rFonts w:ascii="Arial" w:hAnsi="Arial"/>
          <w:i/>
          <w:color w:val="000000"/>
          <w:sz w:val="21"/>
        </w:rPr>
      </w:pPr>
      <w:r>
        <w:rPr>
          <w:rFonts w:ascii="Arial" w:hAnsi="Arial"/>
          <w:i/>
          <w:color w:val="000000"/>
          <w:sz w:val="21"/>
        </w:rPr>
        <w:t>Compensation of Non-Employee Directors and Chair of the Board</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Introduced new compensation program for our non-employee directors and the Chair of the Board, thereby reducing the annual grant date fair value of their equity awards by nearly 50% (2018).</w:t>
      </w:r>
    </w:p>
    <w:p>
      <w:pPr>
        <w:pStyle w:val="TextBody"/>
        <w:pBdr/>
        <w:spacing w:before="0" w:after="120"/>
        <w:ind w:left="0" w:right="0" w:hanging="0"/>
        <w:rPr>
          <w:rFonts w:ascii="Arial" w:hAnsi="Arial"/>
          <w:i/>
          <w:color w:val="000000"/>
          <w:sz w:val="21"/>
        </w:rPr>
      </w:pPr>
      <w:r>
        <w:rPr>
          <w:rFonts w:ascii="Arial" w:hAnsi="Arial"/>
          <w:i/>
          <w:color w:val="000000"/>
          <w:sz w:val="21"/>
        </w:rPr>
        <w:t>Corporate Responsibility</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Increased the breadth and depth of ESG data collection and reporting; aligned annual Responsibility Report with the SASB framework and, since 2021, published a separate annual report on climate-related risks and opportunities aligned with the recommendations developed by the TCFD (2017-2022).</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Bolstered DEI initiatives and reporting, including by hiring Chief DEI Officer in 2021, making a commitment to increase diversity in leadership and strengthen a culture of inclusion as part of global ESG goals, and publishing consolidated EEO-1 data (data from annual reports submitted to the U.S. Equal Employment Opportunity Commission) on Regeneron’s website (2018-2022).</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39" w:name="new_id-130"/>
      <w:bookmarkEnd w:id="139"/>
      <w:r>
        <w:rPr>
          <w:rFonts w:ascii="Arial" w:hAnsi="Arial"/>
          <w:b/>
          <w:i w:val="false"/>
          <w:caps w:val="false"/>
          <w:smallCaps w:val="false"/>
          <w:color w:val="D31B5D"/>
          <w:sz w:val="30"/>
          <w:bdr w:val="single" w:sz="12" w:space="2" w:color="245BA7"/>
        </w:rPr>
        <w:t xml:space="preserve">INDEPENDENT COMPENSATION CONSULTANT </w:t>
      </w:r>
    </w:p>
    <w:p>
      <w:pPr>
        <w:pStyle w:val="TextBody"/>
        <w:pBdr/>
        <w:spacing w:before="0" w:after="210"/>
        <w:ind w:left="0" w:right="0" w:hanging="0"/>
        <w:rPr>
          <w:rFonts w:ascii="Arial" w:hAnsi="Arial"/>
          <w:color w:val="000000"/>
          <w:sz w:val="21"/>
        </w:rPr>
      </w:pPr>
      <w:r>
        <w:rPr>
          <w:rFonts w:ascii="Arial" w:hAnsi="Arial"/>
          <w:color w:val="000000"/>
          <w:sz w:val="21"/>
        </w:rPr>
        <w:t>The Compensation Committee has the sole authority to retain, at the Company’s expense, one or more third-party compensation consultants to assist the Compensation Committee in performing its responsibilities and to terminate the services of the consultant if the Compensation Committee deems it appropriate. The Compensation Committee (and, as discussed above with respect to non-employee director compensation matters, the Corporate Governance and Compliance Committee) has utilized the services of Pay Governance LLC since September 2021. In order to maintain its independence, the Compensation Committee retained Pay Governance LLC directly, and Pay Governance LLC performed services for the Compensation Committee exclusively at the Compensation Committee’s direction. The Compensation Committee periodically evaluates the independence of its compensation consultant. In accordance with applicable listing standards of the Nasdaq Stock Market LLC and SEC rules, in 2022 the Compensation Committee evaluated the independence of Pay Governance LLC; and, on the basis of this evaluation, concluded that the engagement of Pay Governance LLC did not raise any conflicts of interest.</w:t>
      </w:r>
    </w:p>
    <w:p>
      <w:pPr>
        <w:pStyle w:val="TextBody"/>
        <w:pBdr/>
        <w:spacing w:before="0" w:after="210"/>
        <w:ind w:left="0" w:right="0" w:hanging="0"/>
        <w:rPr>
          <w:rFonts w:ascii="Arial" w:hAnsi="Arial"/>
          <w:color w:val="000000"/>
          <w:sz w:val="21"/>
        </w:rPr>
      </w:pPr>
      <w:r>
        <w:rPr>
          <w:rFonts w:ascii="Arial" w:hAnsi="Arial"/>
          <w:color w:val="000000"/>
          <w:sz w:val="21"/>
        </w:rPr>
        <w:t>The Compensation Committee’s consultant reviews management recommendations for compensation plans, budgets, and strategies, and also advises the Compensation Committee on how regulations and trends in executive compensation nationally and specifically in the pharmaceutical and biopharmaceutical industries may be relevant to the Company. It also assists with developing the Peer Group; provides comparative compensation information for our CEO and CSO and other senior executives (using the Peer Group and other compensation data as described below); reviews senior management’s compensation recommendations for other officers, including the other NEOs; and provides general advice to the Compensation Committee on compensation matters, including facilitating the articulation and periodic review of the Company’s compensation philosophy and replenishment of our long-term equity incentive plan.</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40" w:name="new_id-131"/>
      <w:bookmarkEnd w:id="140"/>
      <w:r>
        <w:rPr>
          <w:rFonts w:ascii="Arial" w:hAnsi="Arial"/>
          <w:b/>
          <w:i w:val="false"/>
          <w:caps w:val="false"/>
          <w:smallCaps w:val="false"/>
          <w:color w:val="D31B5D"/>
          <w:sz w:val="30"/>
          <w:bdr w:val="single" w:sz="12" w:space="2" w:color="245BA7"/>
        </w:rPr>
        <w:t xml:space="preserve">PEER DATA </w:t>
      </w:r>
    </w:p>
    <w:p>
      <w:pPr>
        <w:pStyle w:val="TextBody"/>
        <w:pBdr/>
        <w:spacing w:before="0" w:after="210"/>
        <w:ind w:left="0" w:right="0" w:hanging="0"/>
        <w:rPr>
          <w:rFonts w:ascii="Arial" w:hAnsi="Arial"/>
          <w:color w:val="000000"/>
          <w:sz w:val="21"/>
        </w:rPr>
      </w:pPr>
      <w:r>
        <w:rPr>
          <w:rFonts w:ascii="Arial" w:hAnsi="Arial"/>
          <w:color w:val="000000"/>
          <w:sz w:val="21"/>
        </w:rPr>
        <w:t xml:space="preserve">For purposes of setting our NEOs’ and other senior executives’ compensation, we use comparative compensation information from a relevant peer group of companies (referred to in this proxy statement as the “Peer Group”). In 2022, we selected the companies in the Peer Group with the assistance of Pay Governance LLC based on factors including, but not limited to, the following: </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research and development orientation;</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market capitalization;</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number of employees;</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stage of development; and</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total revenues.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76"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08" descr=""/>
                          <pic:cNvPicPr>
                            <a:picLocks noChangeAspect="1" noChangeArrowheads="1"/>
                          </pic:cNvPicPr>
                        </pic:nvPicPr>
                        <pic:blipFill>
                          <a:blip r:embed="rId209"/>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74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The Peer Group is also meant to provide a representative sample of companies with which we compete for talent. We periodically reassess the composition of the Peer Group and make changes as appropriate, taking into account factors such as changes in the Company’s market capitalization and merger-and-acquisition activity impacting the existing Peer Group companies.</w:t>
      </w:r>
    </w:p>
    <w:p>
      <w:pPr>
        <w:pStyle w:val="Heading4"/>
        <w:pBdr/>
        <w:spacing w:before="0" w:after="150"/>
        <w:ind w:left="0" w:right="0" w:hanging="0"/>
        <w:rPr>
          <w:rFonts w:ascii="Arial" w:hAnsi="Arial"/>
          <w:b/>
          <w:i w:val="false"/>
          <w:caps w:val="false"/>
          <w:smallCaps w:val="false"/>
          <w:color w:val="D31B5D"/>
          <w:sz w:val="24"/>
        </w:rPr>
      </w:pPr>
      <w:bookmarkStart w:id="141" w:name="new_id-132"/>
      <w:bookmarkEnd w:id="141"/>
      <w:r>
        <w:rPr>
          <w:rFonts w:ascii="Arial" w:hAnsi="Arial"/>
          <w:b/>
          <w:i w:val="false"/>
          <w:caps w:val="false"/>
          <w:smallCaps w:val="false"/>
          <w:color w:val="D31B5D"/>
          <w:sz w:val="24"/>
        </w:rPr>
        <w:t xml:space="preserve">The Peer Group utilized in 2022 consists of the following 12 companies: </w:t>
      </w:r>
    </w:p>
    <w:tbl>
      <w:tblPr>
        <w:tblW w:w="8685" w:type="dxa"/>
        <w:jc w:val="left"/>
        <w:tblInd w:w="0" w:type="dxa"/>
        <w:tblCellMar>
          <w:top w:w="90" w:type="dxa"/>
          <w:left w:w="0" w:type="dxa"/>
          <w:bottom w:w="45" w:type="dxa"/>
          <w:right w:w="0" w:type="dxa"/>
        </w:tblCellMar>
      </w:tblPr>
      <w:tblGrid>
        <w:gridCol w:w="2705"/>
        <w:gridCol w:w="2720"/>
        <w:gridCol w:w="3260"/>
      </w:tblGrid>
      <w:tr>
        <w:trPr/>
        <w:tc>
          <w:tcPr>
            <w:tcW w:w="2705" w:type="dxa"/>
            <w:tcBorders>
              <w:top w:val="single" w:sz="12" w:space="0" w:color="245BA7"/>
              <w:bottom w:val="single" w:sz="2" w:space="0" w:color="575756"/>
            </w:tcBorders>
            <w:shd w:fill="auto" w:val="clear"/>
            <w:vAlign w:val="center"/>
          </w:tcPr>
          <w:p>
            <w:pPr>
              <w:pStyle w:val="TableContents"/>
              <w:pBdr/>
              <w:spacing w:before="0" w:after="45"/>
              <w:ind w:left="75" w:right="0" w:hanging="0"/>
              <w:rPr>
                <w:rFonts w:ascii="Arial" w:hAnsi="Arial"/>
                <w:color w:val="000000"/>
                <w:sz w:val="20"/>
              </w:rPr>
            </w:pPr>
            <w:r>
              <w:rPr>
                <w:rFonts w:ascii="Arial" w:hAnsi="Arial"/>
                <w:color w:val="000000"/>
                <w:sz w:val="20"/>
              </w:rPr>
              <w:t>AbbVie Inc.</w:t>
            </w:r>
          </w:p>
        </w:tc>
        <w:tc>
          <w:tcPr>
            <w:tcW w:w="2720" w:type="dxa"/>
            <w:tcBorders>
              <w:top w:val="single" w:sz="12" w:space="0" w:color="245BA7"/>
              <w:bottom w:val="single" w:sz="2" w:space="0" w:color="575756"/>
            </w:tcBorders>
            <w:shd w:fill="auto" w:val="clear"/>
            <w:vAlign w:val="center"/>
          </w:tcPr>
          <w:p>
            <w:pPr>
              <w:pStyle w:val="TableContents"/>
              <w:pBdr/>
              <w:spacing w:before="0" w:after="45"/>
              <w:ind w:left="75" w:right="0" w:hanging="0"/>
              <w:rPr>
                <w:rFonts w:ascii="Arial" w:hAnsi="Arial"/>
                <w:color w:val="000000"/>
                <w:sz w:val="20"/>
              </w:rPr>
            </w:pPr>
            <w:r>
              <w:rPr>
                <w:rFonts w:ascii="Arial" w:hAnsi="Arial"/>
                <w:color w:val="000000"/>
                <w:sz w:val="20"/>
              </w:rPr>
              <w:t>BioMarin Pharmaceutical Inc.</w:t>
            </w:r>
          </w:p>
        </w:tc>
        <w:tc>
          <w:tcPr>
            <w:tcW w:w="3260" w:type="dxa"/>
            <w:tcBorders>
              <w:top w:val="single" w:sz="12" w:space="0" w:color="245BA7"/>
              <w:bottom w:val="single" w:sz="2" w:space="0" w:color="575756"/>
            </w:tcBorders>
            <w:shd w:fill="auto" w:val="clear"/>
            <w:vAlign w:val="center"/>
          </w:tcPr>
          <w:p>
            <w:pPr>
              <w:pStyle w:val="TableContents"/>
              <w:pBdr/>
              <w:spacing w:before="0" w:after="45"/>
              <w:ind w:left="75" w:right="0" w:hanging="0"/>
              <w:rPr>
                <w:rFonts w:ascii="Arial" w:hAnsi="Arial"/>
                <w:color w:val="000000"/>
                <w:sz w:val="20"/>
              </w:rPr>
            </w:pPr>
            <w:r>
              <w:rPr>
                <w:rFonts w:ascii="Arial" w:hAnsi="Arial"/>
                <w:color w:val="000000"/>
                <w:sz w:val="20"/>
              </w:rPr>
              <w:t>Incyte Corporation</w:t>
            </w:r>
          </w:p>
        </w:tc>
      </w:tr>
      <w:tr>
        <w:trPr/>
        <w:tc>
          <w:tcPr>
            <w:tcW w:w="2705" w:type="dxa"/>
            <w:tcBorders>
              <w:bottom w:val="single" w:sz="2" w:space="0" w:color="575756"/>
            </w:tcBorders>
            <w:shd w:fill="auto" w:val="clear"/>
            <w:tcMar>
              <w:top w:w="0"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Alnylam Pharmaceuticals, Inc.</w:t>
            </w:r>
          </w:p>
        </w:tc>
        <w:tc>
          <w:tcPr>
            <w:tcW w:w="2720" w:type="dxa"/>
            <w:tcBorders>
              <w:bottom w:val="single" w:sz="2" w:space="0" w:color="575756"/>
            </w:tcBorders>
            <w:shd w:fill="auto" w:val="clear"/>
            <w:tcMar>
              <w:top w:w="0"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Bristol-Myers Squibb Company</w:t>
            </w:r>
          </w:p>
        </w:tc>
        <w:tc>
          <w:tcPr>
            <w:tcW w:w="3260" w:type="dxa"/>
            <w:tcBorders>
              <w:bottom w:val="single" w:sz="2" w:space="0" w:color="575756"/>
            </w:tcBorders>
            <w:shd w:fill="auto" w:val="clear"/>
            <w:tcMar>
              <w:top w:w="0"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Merck &amp; Co., Inc.</w:t>
            </w:r>
          </w:p>
        </w:tc>
      </w:tr>
      <w:tr>
        <w:trPr/>
        <w:tc>
          <w:tcPr>
            <w:tcW w:w="2705" w:type="dxa"/>
            <w:tcBorders>
              <w:bottom w:val="single" w:sz="2" w:space="0" w:color="575756"/>
            </w:tcBorders>
            <w:shd w:fill="auto" w:val="clear"/>
            <w:tcMar>
              <w:top w:w="0"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Amgen Inc.</w:t>
            </w:r>
          </w:p>
        </w:tc>
        <w:tc>
          <w:tcPr>
            <w:tcW w:w="2720" w:type="dxa"/>
            <w:tcBorders>
              <w:bottom w:val="single" w:sz="2" w:space="0" w:color="575756"/>
            </w:tcBorders>
            <w:shd w:fill="auto" w:val="clear"/>
            <w:tcMar>
              <w:top w:w="0"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Eli Lilly and Company</w:t>
            </w:r>
          </w:p>
        </w:tc>
        <w:tc>
          <w:tcPr>
            <w:tcW w:w="3260" w:type="dxa"/>
            <w:tcBorders>
              <w:bottom w:val="single" w:sz="2" w:space="0" w:color="575756"/>
            </w:tcBorders>
            <w:shd w:fill="auto" w:val="clear"/>
            <w:tcMar>
              <w:top w:w="0"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Seagen Inc.</w:t>
            </w:r>
          </w:p>
        </w:tc>
      </w:tr>
      <w:tr>
        <w:trPr/>
        <w:tc>
          <w:tcPr>
            <w:tcW w:w="2705" w:type="dxa"/>
            <w:tcBorders>
              <w:bottom w:val="single" w:sz="2" w:space="0" w:color="575756"/>
            </w:tcBorders>
            <w:shd w:fill="auto" w:val="clear"/>
            <w:tcMar>
              <w:top w:w="0"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Biogen Inc.</w:t>
            </w:r>
          </w:p>
        </w:tc>
        <w:tc>
          <w:tcPr>
            <w:tcW w:w="2720" w:type="dxa"/>
            <w:tcBorders>
              <w:bottom w:val="single" w:sz="2" w:space="0" w:color="575756"/>
            </w:tcBorders>
            <w:shd w:fill="auto" w:val="clear"/>
            <w:tcMar>
              <w:top w:w="0"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Gilead Sciences, Inc.</w:t>
            </w:r>
          </w:p>
        </w:tc>
        <w:tc>
          <w:tcPr>
            <w:tcW w:w="3260" w:type="dxa"/>
            <w:tcBorders>
              <w:bottom w:val="single" w:sz="2" w:space="0" w:color="575756"/>
            </w:tcBorders>
            <w:shd w:fill="auto" w:val="clear"/>
            <w:tcMar>
              <w:top w:w="0" w:type="dxa"/>
            </w:tcMar>
            <w:vAlign w:val="center"/>
          </w:tcPr>
          <w:p>
            <w:pPr>
              <w:pStyle w:val="TableContents"/>
              <w:pBdr/>
              <w:spacing w:before="0" w:after="45"/>
              <w:ind w:left="75" w:right="0" w:hanging="0"/>
              <w:rPr>
                <w:rFonts w:ascii="Arial" w:hAnsi="Arial"/>
                <w:color w:val="000000"/>
                <w:sz w:val="20"/>
              </w:rPr>
            </w:pPr>
            <w:r>
              <w:rPr>
                <w:rFonts w:ascii="Arial" w:hAnsi="Arial"/>
                <w:color w:val="000000"/>
                <w:sz w:val="20"/>
              </w:rPr>
              <w:t>Vertex Pharmaceuticals Incorporated</w:t>
            </w:r>
          </w:p>
        </w:tc>
      </w:tr>
      <w:tr>
        <w:trPr/>
        <w:tc>
          <w:tcPr>
            <w:tcW w:w="8685" w:type="dxa"/>
            <w:gridSpan w:val="3"/>
            <w:tcBorders/>
            <w:shd w:fill="auto" w:val="clear"/>
            <w:tcMar>
              <w:top w:w="0" w:type="dxa"/>
              <w:bottom w:w="0" w:type="dxa"/>
            </w:tcMar>
            <w:vAlign w:val="center"/>
          </w:tcPr>
          <w:p>
            <w:pPr>
              <w:pStyle w:val="TableContents"/>
              <w:pBdr/>
              <w:spacing w:before="0" w:after="0"/>
              <w:ind w:left="0" w:right="30" w:hanging="0"/>
              <w:rPr>
                <w:color w:val="000000"/>
              </w:rPr>
            </w:pPr>
            <w:r>
              <w:rPr>
                <w:color w:val="000000"/>
              </w:rPr>
              <w:t> </w:t>
            </w:r>
          </w:p>
        </w:tc>
      </w:tr>
    </w:tbl>
    <w:p>
      <w:pPr>
        <w:pStyle w:val="TextBody"/>
        <w:pBdr/>
        <w:spacing w:before="0" w:after="210"/>
        <w:ind w:left="0" w:right="0" w:hanging="0"/>
        <w:rPr>
          <w:rFonts w:ascii="Arial" w:hAnsi="Arial"/>
          <w:color w:val="000000"/>
          <w:sz w:val="21"/>
        </w:rPr>
      </w:pPr>
      <w:r>
        <w:rPr>
          <w:rFonts w:ascii="Arial" w:hAnsi="Arial"/>
          <w:color w:val="000000"/>
          <w:sz w:val="21"/>
        </w:rPr>
        <w:t>The Compensation Committee reviewed the Peer Group in June 2022 and, based on the recommendation of Pay Governance LLC, did not make any changes with the exception of the removal of Alexion Pharmaceuticals, Inc. due to its acquisition by AstraZeneca PLC. As part of its assessment, the Compensation Committee took into account that Regeneron ranked at the 45</w:t>
      </w:r>
      <w:r>
        <w:rPr>
          <w:rFonts w:ascii="Arial" w:hAnsi="Arial"/>
          <w:color w:val="000000"/>
          <w:sz w:val="12"/>
        </w:rPr>
        <w:t>th</w:t>
      </w:r>
      <w:r>
        <w:rPr>
          <w:rFonts w:ascii="Arial" w:hAnsi="Arial"/>
          <w:color w:val="000000"/>
          <w:sz w:val="21"/>
        </w:rPr>
        <w:t>-50</w:t>
      </w:r>
      <w:r>
        <w:rPr>
          <w:rFonts w:ascii="Arial" w:hAnsi="Arial"/>
          <w:color w:val="000000"/>
          <w:sz w:val="12"/>
        </w:rPr>
        <w:t>th</w:t>
      </w:r>
      <w:r>
        <w:rPr>
          <w:rFonts w:ascii="Arial" w:hAnsi="Arial"/>
          <w:color w:val="000000"/>
          <w:sz w:val="21"/>
        </w:rPr>
        <w:t xml:space="preserve"> percentile in the Peer Group based on market capitalization, revenues for the last four completed quarters, and the then-available reported number of employees, based on the data provided to the Committee, as shown in the table below.</w:t>
      </w:r>
    </w:p>
    <w:tbl>
      <w:tblPr>
        <w:tblW w:w="9610" w:type="dxa"/>
        <w:jc w:val="left"/>
        <w:tblInd w:w="0" w:type="dxa"/>
        <w:tblCellMar>
          <w:top w:w="0" w:type="dxa"/>
          <w:left w:w="0" w:type="dxa"/>
          <w:bottom w:w="75" w:type="dxa"/>
          <w:right w:w="0" w:type="dxa"/>
        </w:tblCellMar>
      </w:tblPr>
      <w:tblGrid>
        <w:gridCol w:w="3245"/>
        <w:gridCol w:w="1430"/>
        <w:gridCol w:w="1430"/>
        <w:gridCol w:w="1700"/>
        <w:gridCol w:w="1805"/>
      </w:tblGrid>
      <w:tr>
        <w:trPr/>
        <w:tc>
          <w:tcPr>
            <w:tcW w:w="3245" w:type="dxa"/>
            <w:vMerge w:val="restart"/>
            <w:tcBorders>
              <w:bottom w:val="single" w:sz="12" w:space="0" w:color="245BA7"/>
            </w:tcBorders>
            <w:shd w:fill="auto" w:val="clear"/>
            <w:vAlign w:val="center"/>
          </w:tcPr>
          <w:p>
            <w:pPr>
              <w:pStyle w:val="TableContents"/>
              <w:pBdr/>
              <w:spacing w:before="15" w:after="0"/>
              <w:rPr>
                <w:rFonts w:ascii="Arial" w:hAnsi="Arial"/>
                <w:b/>
                <w:i w:val="false"/>
                <w:caps w:val="false"/>
                <w:smallCaps w:val="false"/>
                <w:color w:val="245BA7"/>
                <w:sz w:val="18"/>
              </w:rPr>
            </w:pPr>
            <w:r>
              <w:rPr>
                <w:rFonts w:ascii="Arial" w:hAnsi="Arial"/>
                <w:b/>
                <w:i w:val="false"/>
                <w:caps w:val="false"/>
                <w:smallCaps w:val="false"/>
                <w:color w:val="245BA7"/>
                <w:sz w:val="18"/>
              </w:rPr>
              <w:t>Company</w:t>
            </w:r>
          </w:p>
        </w:tc>
        <w:tc>
          <w:tcPr>
            <w:tcW w:w="2860" w:type="dxa"/>
            <w:gridSpan w:val="2"/>
            <w:tcBorders>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Market Capitalization ($ Millions)</w:t>
            </w:r>
          </w:p>
        </w:tc>
        <w:tc>
          <w:tcPr>
            <w:tcW w:w="1700" w:type="dxa"/>
            <w:vMerge w:val="restart"/>
            <w:tcBorders>
              <w:bottom w:val="single" w:sz="12" w:space="0" w:color="245BA7"/>
            </w:tcBorders>
            <w:shd w:fill="auto" w:val="clear"/>
            <w:vAlign w:val="center"/>
          </w:tcPr>
          <w:p>
            <w:pPr>
              <w:pStyle w:val="TableContents"/>
              <w:pBdr/>
              <w:spacing w:before="15" w:after="0"/>
              <w:ind w:left="15" w:right="15" w:hanging="0"/>
              <w:jc w:val="right"/>
              <w:rPr>
                <w:rFonts w:ascii="Arial" w:hAnsi="Arial"/>
                <w:b/>
                <w:color w:val="245BA7"/>
                <w:sz w:val="18"/>
              </w:rPr>
            </w:pPr>
            <w:r>
              <w:rPr>
                <w:rFonts w:ascii="Arial" w:hAnsi="Arial"/>
                <w:b/>
                <w:color w:val="245BA7"/>
                <w:sz w:val="18"/>
              </w:rPr>
              <w:t>Revenues</w:t>
            </w:r>
          </w:p>
          <w:p>
            <w:pPr>
              <w:pStyle w:val="TableContents"/>
              <w:pBdr/>
              <w:spacing w:before="0" w:after="15"/>
              <w:ind w:left="15" w:right="15" w:hanging="0"/>
              <w:jc w:val="right"/>
              <w:rPr>
                <w:rFonts w:ascii="Arial" w:hAnsi="Arial"/>
                <w:b/>
                <w:color w:val="245BA7"/>
                <w:sz w:val="18"/>
              </w:rPr>
            </w:pPr>
            <w:r>
              <w:rPr>
                <w:rFonts w:ascii="Arial" w:hAnsi="Arial"/>
                <w:b/>
                <w:color w:val="245BA7"/>
                <w:sz w:val="18"/>
              </w:rPr>
              <w:t xml:space="preserve">Last Four Quarters </w:t>
            </w:r>
          </w:p>
          <w:p>
            <w:pPr>
              <w:pStyle w:val="TableContents"/>
              <w:pBdr/>
              <w:spacing w:before="0" w:after="0"/>
              <w:ind w:left="15" w:right="15" w:hanging="0"/>
              <w:jc w:val="right"/>
              <w:rPr>
                <w:rFonts w:ascii="Arial" w:hAnsi="Arial"/>
                <w:b/>
                <w:color w:val="245BA7"/>
                <w:sz w:val="18"/>
              </w:rPr>
            </w:pPr>
            <w:r>
              <w:rPr>
                <w:rFonts w:ascii="Arial" w:hAnsi="Arial"/>
                <w:b/>
                <w:color w:val="245BA7"/>
                <w:sz w:val="18"/>
              </w:rPr>
              <w:t>($ Millions)</w:t>
            </w:r>
          </w:p>
        </w:tc>
        <w:tc>
          <w:tcPr>
            <w:tcW w:w="1805" w:type="dxa"/>
            <w:vMerge w:val="restart"/>
            <w:tcBorders>
              <w:bottom w:val="single" w:sz="12" w:space="0" w:color="245BA7"/>
            </w:tcBorders>
            <w:shd w:fill="auto" w:val="clear"/>
            <w:vAlign w:val="center"/>
          </w:tcPr>
          <w:p>
            <w:pPr>
              <w:pStyle w:val="TableContents"/>
              <w:pBdr/>
              <w:spacing w:before="15" w:after="0"/>
              <w:jc w:val="right"/>
              <w:rPr>
                <w:rFonts w:ascii="Arial" w:hAnsi="Arial"/>
                <w:b/>
                <w:i w:val="false"/>
                <w:caps w:val="false"/>
                <w:smallCaps w:val="false"/>
                <w:color w:val="245BA7"/>
                <w:sz w:val="18"/>
              </w:rPr>
            </w:pPr>
            <w:r>
              <w:rPr>
                <w:rFonts w:ascii="Arial" w:hAnsi="Arial"/>
                <w:b/>
                <w:i w:val="false"/>
                <w:caps w:val="false"/>
                <w:smallCaps w:val="false"/>
                <w:color w:val="245BA7"/>
                <w:sz w:val="18"/>
              </w:rPr>
              <w:t>Employees</w:t>
            </w:r>
          </w:p>
          <w:p>
            <w:pPr>
              <w:pStyle w:val="TableContents"/>
              <w:pBdr/>
              <w:spacing w:before="0" w:after="0"/>
              <w:jc w:val="right"/>
              <w:rPr>
                <w:rFonts w:ascii="Arial" w:hAnsi="Arial"/>
                <w:b/>
                <w:i w:val="false"/>
                <w:caps w:val="false"/>
                <w:smallCaps w:val="false"/>
                <w:color w:val="245BA7"/>
                <w:sz w:val="18"/>
              </w:rPr>
            </w:pPr>
            <w:r>
              <w:rPr>
                <w:rFonts w:ascii="Arial" w:hAnsi="Arial"/>
                <w:b/>
                <w:i w:val="false"/>
                <w:caps w:val="false"/>
                <w:smallCaps w:val="false"/>
                <w:color w:val="245BA7"/>
                <w:sz w:val="18"/>
              </w:rPr>
              <w:t>(as of last SEC filing)</w:t>
            </w:r>
          </w:p>
        </w:tc>
      </w:tr>
      <w:tr>
        <w:trPr/>
        <w:tc>
          <w:tcPr>
            <w:tcW w:w="3245" w:type="dxa"/>
            <w:vMerge w:val="continue"/>
            <w:tcBorders>
              <w:bottom w:val="single" w:sz="12" w:space="0" w:color="245BA7"/>
            </w:tcBorders>
            <w:shd w:fill="auto" w:val="clear"/>
            <w:vAlign w:val="center"/>
          </w:tcPr>
          <w:p>
            <w:pPr>
              <w:pStyle w:val="Normal"/>
              <w:rPr/>
            </w:pPr>
            <w:r>
              <w:rPr/>
            </w:r>
          </w:p>
        </w:tc>
        <w:tc>
          <w:tcPr>
            <w:tcW w:w="1430" w:type="dxa"/>
            <w:tcBorders>
              <w:bottom w:val="single" w:sz="12" w:space="0" w:color="245BA7"/>
            </w:tcBorders>
            <w:shd w:fill="auto" w:val="clear"/>
            <w:vAlign w:val="center"/>
          </w:tcPr>
          <w:p>
            <w:pPr>
              <w:pStyle w:val="TableContents"/>
              <w:pBdr/>
              <w:spacing w:before="15" w:after="0"/>
              <w:ind w:left="15" w:right="15" w:hanging="0"/>
              <w:jc w:val="right"/>
              <w:rPr>
                <w:rFonts w:ascii="Arial" w:hAnsi="Arial"/>
                <w:b/>
                <w:color w:val="245BA7"/>
                <w:sz w:val="18"/>
              </w:rPr>
            </w:pPr>
            <w:r>
              <w:rPr>
                <w:rFonts w:ascii="Arial" w:hAnsi="Arial"/>
                <w:b/>
                <w:color w:val="245BA7"/>
                <w:sz w:val="18"/>
              </w:rPr>
              <w:t>90-Day Average</w:t>
            </w:r>
          </w:p>
          <w:p>
            <w:pPr>
              <w:pStyle w:val="TableContents"/>
              <w:pBdr/>
              <w:spacing w:before="0" w:after="0"/>
              <w:ind w:left="15" w:right="15" w:hanging="0"/>
              <w:jc w:val="right"/>
              <w:rPr>
                <w:rFonts w:ascii="Arial" w:hAnsi="Arial"/>
                <w:b/>
                <w:color w:val="245BA7"/>
                <w:sz w:val="18"/>
              </w:rPr>
            </w:pPr>
            <w:r>
              <w:rPr>
                <w:rFonts w:ascii="Arial" w:hAnsi="Arial"/>
                <w:b/>
                <w:color w:val="245BA7"/>
                <w:sz w:val="18"/>
              </w:rPr>
              <w:t>(as of 5/15/22)</w:t>
            </w:r>
          </w:p>
        </w:tc>
        <w:tc>
          <w:tcPr>
            <w:tcW w:w="1430" w:type="dxa"/>
            <w:tcBorders>
              <w:bottom w:val="single" w:sz="12" w:space="0" w:color="245BA7"/>
            </w:tcBorders>
            <w:shd w:fill="auto" w:val="clear"/>
            <w:vAlign w:val="center"/>
          </w:tcPr>
          <w:p>
            <w:pPr>
              <w:pStyle w:val="TableContents"/>
              <w:pBdr/>
              <w:spacing w:before="15" w:after="0"/>
              <w:ind w:left="15" w:right="15" w:hanging="0"/>
              <w:jc w:val="right"/>
              <w:rPr>
                <w:rFonts w:ascii="Arial" w:hAnsi="Arial"/>
                <w:b/>
                <w:color w:val="245BA7"/>
                <w:sz w:val="18"/>
              </w:rPr>
            </w:pPr>
            <w:r>
              <w:rPr>
                <w:rFonts w:ascii="Arial" w:hAnsi="Arial"/>
                <w:b/>
                <w:color w:val="245BA7"/>
                <w:sz w:val="18"/>
              </w:rPr>
              <w:t>30-Day Average</w:t>
            </w:r>
          </w:p>
          <w:p>
            <w:pPr>
              <w:pStyle w:val="TableContents"/>
              <w:pBdr/>
              <w:spacing w:before="0" w:after="0"/>
              <w:ind w:left="15" w:right="15" w:hanging="0"/>
              <w:jc w:val="right"/>
              <w:rPr>
                <w:rFonts w:ascii="Arial" w:hAnsi="Arial"/>
                <w:b/>
                <w:color w:val="245BA7"/>
                <w:sz w:val="18"/>
              </w:rPr>
            </w:pPr>
            <w:r>
              <w:rPr>
                <w:rFonts w:ascii="Arial" w:hAnsi="Arial"/>
                <w:b/>
                <w:color w:val="245BA7"/>
                <w:sz w:val="18"/>
              </w:rPr>
              <w:t>(as of 5/15/22)</w:t>
            </w:r>
          </w:p>
        </w:tc>
        <w:tc>
          <w:tcPr>
            <w:tcW w:w="1700" w:type="dxa"/>
            <w:vMerge w:val="continue"/>
            <w:tcBorders>
              <w:bottom w:val="single" w:sz="12" w:space="0" w:color="245BA7"/>
            </w:tcBorders>
            <w:shd w:fill="auto" w:val="clear"/>
            <w:vAlign w:val="center"/>
          </w:tcPr>
          <w:p>
            <w:pPr>
              <w:pStyle w:val="Normal"/>
              <w:rPr/>
            </w:pPr>
            <w:r>
              <w:rPr/>
            </w:r>
          </w:p>
        </w:tc>
        <w:tc>
          <w:tcPr>
            <w:tcW w:w="1805" w:type="dxa"/>
            <w:vMerge w:val="continue"/>
            <w:tcBorders>
              <w:bottom w:val="single" w:sz="12" w:space="0" w:color="245BA7"/>
            </w:tcBorders>
            <w:shd w:fill="auto" w:val="clear"/>
            <w:vAlign w:val="center"/>
          </w:tcPr>
          <w:p>
            <w:pPr>
              <w:pStyle w:val="Normal"/>
              <w:rPr/>
            </w:pPr>
            <w:r>
              <w:rPr/>
            </w:r>
          </w:p>
        </w:tc>
      </w:tr>
      <w:tr>
        <w:trPr/>
        <w:tc>
          <w:tcPr>
            <w:tcW w:w="3245" w:type="dxa"/>
            <w:tcBorders>
              <w:bottom w:val="single" w:sz="2" w:space="0" w:color="575756"/>
            </w:tcBorders>
            <w:shd w:fill="auto" w:val="clear"/>
            <w:tcMar>
              <w:bottom w:w="30" w:type="dxa"/>
            </w:tcMar>
            <w:vAlign w:val="center"/>
          </w:tcPr>
          <w:p>
            <w:pPr>
              <w:pStyle w:val="TableContents"/>
              <w:pBdr/>
              <w:spacing w:before="0" w:after="45"/>
              <w:rPr>
                <w:rFonts w:ascii="Arial" w:hAnsi="Arial"/>
                <w:b/>
                <w:i w:val="false"/>
                <w:caps w:val="false"/>
                <w:smallCaps w:val="false"/>
                <w:color w:val="000000"/>
                <w:sz w:val="18"/>
              </w:rPr>
            </w:pPr>
            <w:r>
              <w:rPr>
                <w:rFonts w:ascii="Arial" w:hAnsi="Arial"/>
                <w:b/>
                <w:i w:val="false"/>
                <w:caps w:val="false"/>
                <w:smallCaps w:val="false"/>
                <w:color w:val="000000"/>
                <w:sz w:val="18"/>
              </w:rPr>
              <w:t>AbbVie Inc.</w:t>
            </w:r>
          </w:p>
        </w:tc>
        <w:tc>
          <w:tcPr>
            <w:tcW w:w="143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$265,498</w:t>
            </w:r>
          </w:p>
        </w:tc>
        <w:tc>
          <w:tcPr>
            <w:tcW w:w="143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$278,791</w:t>
            </w:r>
          </w:p>
        </w:tc>
        <w:tc>
          <w:tcPr>
            <w:tcW w:w="170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$56,725</w:t>
            </w:r>
          </w:p>
        </w:tc>
        <w:tc>
          <w:tcPr>
            <w:tcW w:w="1805" w:type="dxa"/>
            <w:tcBorders>
              <w:bottom w:val="single" w:sz="2" w:space="0" w:color="575756"/>
            </w:tcBorders>
            <w:shd w:fill="auto" w:val="clear"/>
            <w:tcMar>
              <w:bottom w:w="45"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50,000</w:t>
            </w:r>
          </w:p>
        </w:tc>
      </w:tr>
      <w:tr>
        <w:trPr/>
        <w:tc>
          <w:tcPr>
            <w:tcW w:w="3245" w:type="dxa"/>
            <w:tcBorders>
              <w:top w:val="single" w:sz="2" w:space="0" w:color="F2F2F2"/>
              <w:left w:val="single" w:sz="2" w:space="0" w:color="F2F2F2"/>
              <w:bottom w:val="single" w:sz="6" w:space="0" w:color="F2F2F2"/>
              <w:right w:val="single" w:sz="2" w:space="0" w:color="F2F2F2"/>
            </w:tcBorders>
            <w:shd w:fill="F2F2F2" w:val="clear"/>
            <w:tcMar>
              <w:top w:w="45" w:type="dxa"/>
              <w:left w:w="60" w:type="dxa"/>
              <w:bottom w:w="30" w:type="dxa"/>
              <w:right w:w="28" w:type="dxa"/>
            </w:tcMar>
            <w:vAlign w:val="center"/>
          </w:tcPr>
          <w:p>
            <w:pPr>
              <w:pStyle w:val="TableContents"/>
              <w:pBdr/>
              <w:spacing w:before="0" w:after="45"/>
              <w:rPr>
                <w:rFonts w:ascii="Arial" w:hAnsi="Arial"/>
                <w:b/>
                <w:i w:val="false"/>
                <w:caps w:val="false"/>
                <w:smallCaps w:val="false"/>
                <w:color w:val="000000"/>
                <w:sz w:val="18"/>
              </w:rPr>
            </w:pPr>
            <w:r>
              <w:rPr>
                <w:rFonts w:ascii="Arial" w:hAnsi="Arial"/>
                <w:b/>
                <w:i w:val="false"/>
                <w:caps w:val="false"/>
                <w:smallCaps w:val="false"/>
                <w:color w:val="000000"/>
                <w:sz w:val="18"/>
              </w:rPr>
              <w:t>Eli Lilly and Company</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$243,568</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$265,419</w:t>
            </w:r>
          </w:p>
        </w:tc>
        <w:tc>
          <w:tcPr>
            <w:tcW w:w="170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$29,323</w:t>
            </w:r>
          </w:p>
        </w:tc>
        <w:tc>
          <w:tcPr>
            <w:tcW w:w="1805" w:type="dxa"/>
            <w:tcBorders>
              <w:top w:val="single" w:sz="2" w:space="0" w:color="F2F2F2"/>
              <w:left w:val="single" w:sz="2" w:space="0" w:color="F2F2F2"/>
              <w:bottom w:val="single" w:sz="6" w:space="0" w:color="F2F2F2"/>
              <w:right w:val="single" w:sz="2" w:space="0" w:color="F2F2F2"/>
            </w:tcBorders>
            <w:shd w:fill="F2F2F2" w:val="clear"/>
            <w:tcMar>
              <w:top w:w="90" w:type="dxa"/>
              <w:left w:w="28" w:type="dxa"/>
              <w:bottom w:w="45" w:type="dxa"/>
              <w:right w:w="60"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35,000</w:t>
            </w:r>
          </w:p>
        </w:tc>
      </w:tr>
      <w:tr>
        <w:trPr/>
        <w:tc>
          <w:tcPr>
            <w:tcW w:w="3245" w:type="dxa"/>
            <w:tcBorders>
              <w:bottom w:val="single" w:sz="2" w:space="0" w:color="575756"/>
            </w:tcBorders>
            <w:shd w:fill="auto" w:val="clear"/>
            <w:tcMar>
              <w:bottom w:w="30" w:type="dxa"/>
            </w:tcMar>
            <w:vAlign w:val="center"/>
          </w:tcPr>
          <w:p>
            <w:pPr>
              <w:pStyle w:val="TableContents"/>
              <w:pBdr/>
              <w:spacing w:before="0" w:after="45"/>
              <w:rPr>
                <w:rFonts w:ascii="Arial" w:hAnsi="Arial"/>
                <w:b/>
                <w:i w:val="false"/>
                <w:caps w:val="false"/>
                <w:smallCaps w:val="false"/>
                <w:color w:val="000000"/>
                <w:sz w:val="18"/>
              </w:rPr>
            </w:pPr>
            <w:r>
              <w:rPr>
                <w:rFonts w:ascii="Arial" w:hAnsi="Arial"/>
                <w:b/>
                <w:i w:val="false"/>
                <w:caps w:val="false"/>
                <w:smallCaps w:val="false"/>
                <w:color w:val="000000"/>
                <w:sz w:val="18"/>
              </w:rPr>
              <w:t>Merck &amp; Co., Inc.</w:t>
            </w:r>
          </w:p>
        </w:tc>
        <w:tc>
          <w:tcPr>
            <w:tcW w:w="143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$206,200</w:t>
            </w:r>
          </w:p>
        </w:tc>
        <w:tc>
          <w:tcPr>
            <w:tcW w:w="143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$219,562</w:t>
            </w:r>
          </w:p>
        </w:tc>
        <w:tc>
          <w:tcPr>
            <w:tcW w:w="170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$53,978</w:t>
            </w:r>
          </w:p>
        </w:tc>
        <w:tc>
          <w:tcPr>
            <w:tcW w:w="1805" w:type="dxa"/>
            <w:tcBorders>
              <w:bottom w:val="single" w:sz="2" w:space="0" w:color="575756"/>
            </w:tcBorders>
            <w:shd w:fill="auto" w:val="clear"/>
            <w:tcMar>
              <w:bottom w:w="45"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67,500</w:t>
            </w:r>
          </w:p>
        </w:tc>
      </w:tr>
      <w:tr>
        <w:trPr/>
        <w:tc>
          <w:tcPr>
            <w:tcW w:w="3245" w:type="dxa"/>
            <w:tcBorders>
              <w:top w:val="single" w:sz="2" w:space="0" w:color="F2F2F2"/>
              <w:left w:val="single" w:sz="2" w:space="0" w:color="F2F2F2"/>
              <w:bottom w:val="single" w:sz="6" w:space="0" w:color="F2F2F2"/>
              <w:right w:val="single" w:sz="2" w:space="0" w:color="F2F2F2"/>
            </w:tcBorders>
            <w:shd w:fill="F2F2F2" w:val="clear"/>
            <w:tcMar>
              <w:top w:w="45" w:type="dxa"/>
              <w:left w:w="60" w:type="dxa"/>
              <w:bottom w:w="30" w:type="dxa"/>
              <w:right w:w="28" w:type="dxa"/>
            </w:tcMar>
            <w:vAlign w:val="center"/>
          </w:tcPr>
          <w:p>
            <w:pPr>
              <w:pStyle w:val="TableContents"/>
              <w:pBdr/>
              <w:spacing w:before="0" w:after="45"/>
              <w:rPr>
                <w:rFonts w:ascii="Arial" w:hAnsi="Arial"/>
                <w:b/>
                <w:i w:val="false"/>
                <w:caps w:val="false"/>
                <w:smallCaps w:val="false"/>
                <w:color w:val="000000"/>
                <w:sz w:val="18"/>
              </w:rPr>
            </w:pPr>
            <w:r>
              <w:rPr>
                <w:rFonts w:ascii="Arial" w:hAnsi="Arial"/>
                <w:b/>
                <w:i w:val="false"/>
                <w:caps w:val="false"/>
                <w:smallCaps w:val="false"/>
                <w:color w:val="000000"/>
                <w:sz w:val="18"/>
              </w:rPr>
              <w:t>Bristol-Myers Squibb Company</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$152,689</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$162,055</w:t>
            </w:r>
          </w:p>
        </w:tc>
        <w:tc>
          <w:tcPr>
            <w:tcW w:w="170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$46,960</w:t>
            </w:r>
          </w:p>
        </w:tc>
        <w:tc>
          <w:tcPr>
            <w:tcW w:w="1805" w:type="dxa"/>
            <w:tcBorders>
              <w:top w:val="single" w:sz="2" w:space="0" w:color="F2F2F2"/>
              <w:left w:val="single" w:sz="2" w:space="0" w:color="F2F2F2"/>
              <w:bottom w:val="single" w:sz="6" w:space="0" w:color="F2F2F2"/>
              <w:right w:val="single" w:sz="2" w:space="0" w:color="F2F2F2"/>
            </w:tcBorders>
            <w:shd w:fill="F2F2F2" w:val="clear"/>
            <w:tcMar>
              <w:top w:w="90" w:type="dxa"/>
              <w:left w:w="28" w:type="dxa"/>
              <w:bottom w:w="45" w:type="dxa"/>
              <w:right w:w="60"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32,200</w:t>
            </w:r>
          </w:p>
        </w:tc>
      </w:tr>
      <w:tr>
        <w:trPr/>
        <w:tc>
          <w:tcPr>
            <w:tcW w:w="3245" w:type="dxa"/>
            <w:tcBorders>
              <w:bottom w:val="single" w:sz="2" w:space="0" w:color="575756"/>
            </w:tcBorders>
            <w:shd w:fill="auto" w:val="clear"/>
            <w:tcMar>
              <w:bottom w:w="30" w:type="dxa"/>
            </w:tcMar>
            <w:vAlign w:val="center"/>
          </w:tcPr>
          <w:p>
            <w:pPr>
              <w:pStyle w:val="TableContents"/>
              <w:pBdr/>
              <w:spacing w:before="0" w:after="45"/>
              <w:rPr>
                <w:rFonts w:ascii="Arial" w:hAnsi="Arial"/>
                <w:b/>
                <w:i w:val="false"/>
                <w:caps w:val="false"/>
                <w:smallCaps w:val="false"/>
                <w:color w:val="000000"/>
                <w:sz w:val="18"/>
              </w:rPr>
            </w:pPr>
            <w:r>
              <w:rPr>
                <w:rFonts w:ascii="Arial" w:hAnsi="Arial"/>
                <w:b/>
                <w:i w:val="false"/>
                <w:caps w:val="false"/>
                <w:smallCaps w:val="false"/>
                <w:color w:val="000000"/>
                <w:sz w:val="18"/>
              </w:rPr>
              <w:t>Amgen Inc.</w:t>
            </w:r>
          </w:p>
        </w:tc>
        <w:tc>
          <w:tcPr>
            <w:tcW w:w="143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$129,600</w:t>
            </w:r>
          </w:p>
        </w:tc>
        <w:tc>
          <w:tcPr>
            <w:tcW w:w="143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$131,270</w:t>
            </w:r>
          </w:p>
        </w:tc>
        <w:tc>
          <w:tcPr>
            <w:tcW w:w="170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$26,316</w:t>
            </w:r>
          </w:p>
        </w:tc>
        <w:tc>
          <w:tcPr>
            <w:tcW w:w="1805" w:type="dxa"/>
            <w:tcBorders>
              <w:bottom w:val="single" w:sz="2" w:space="0" w:color="575756"/>
            </w:tcBorders>
            <w:shd w:fill="auto" w:val="clear"/>
            <w:tcMar>
              <w:bottom w:w="45"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24,200</w:t>
            </w:r>
          </w:p>
        </w:tc>
      </w:tr>
      <w:tr>
        <w:trPr/>
        <w:tc>
          <w:tcPr>
            <w:tcW w:w="3245" w:type="dxa"/>
            <w:tcBorders>
              <w:top w:val="single" w:sz="2" w:space="0" w:color="F2F2F2"/>
              <w:left w:val="single" w:sz="2" w:space="0" w:color="F2F2F2"/>
              <w:bottom w:val="single" w:sz="6" w:space="0" w:color="F2F2F2"/>
              <w:right w:val="single" w:sz="2" w:space="0" w:color="F2F2F2"/>
            </w:tcBorders>
            <w:shd w:fill="F2F2F2" w:val="clear"/>
            <w:tcMar>
              <w:top w:w="45" w:type="dxa"/>
              <w:left w:w="60" w:type="dxa"/>
              <w:bottom w:w="30" w:type="dxa"/>
              <w:right w:w="28" w:type="dxa"/>
            </w:tcMar>
            <w:vAlign w:val="center"/>
          </w:tcPr>
          <w:p>
            <w:pPr>
              <w:pStyle w:val="TableContents"/>
              <w:pBdr/>
              <w:spacing w:before="0" w:after="45"/>
              <w:rPr>
                <w:rFonts w:ascii="Arial" w:hAnsi="Arial"/>
                <w:b/>
                <w:i w:val="false"/>
                <w:caps w:val="false"/>
                <w:smallCaps w:val="false"/>
                <w:color w:val="000000"/>
                <w:sz w:val="18"/>
              </w:rPr>
            </w:pPr>
            <w:r>
              <w:rPr>
                <w:rFonts w:ascii="Arial" w:hAnsi="Arial"/>
                <w:b/>
                <w:i w:val="false"/>
                <w:caps w:val="false"/>
                <w:smallCaps w:val="false"/>
                <w:color w:val="000000"/>
                <w:sz w:val="18"/>
              </w:rPr>
              <w:t>Gilead Sciences, Inc.</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$78,599</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$77,354</w:t>
            </w:r>
          </w:p>
        </w:tc>
        <w:tc>
          <w:tcPr>
            <w:tcW w:w="170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$27,472</w:t>
            </w:r>
          </w:p>
        </w:tc>
        <w:tc>
          <w:tcPr>
            <w:tcW w:w="1805" w:type="dxa"/>
            <w:tcBorders>
              <w:top w:val="single" w:sz="2" w:space="0" w:color="F2F2F2"/>
              <w:left w:val="single" w:sz="2" w:space="0" w:color="F2F2F2"/>
              <w:bottom w:val="single" w:sz="6" w:space="0" w:color="F2F2F2"/>
              <w:right w:val="single" w:sz="2" w:space="0" w:color="F2F2F2"/>
            </w:tcBorders>
            <w:shd w:fill="F2F2F2" w:val="clear"/>
            <w:tcMar>
              <w:top w:w="90" w:type="dxa"/>
              <w:left w:w="28" w:type="dxa"/>
              <w:bottom w:w="45" w:type="dxa"/>
              <w:right w:w="60"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14,400</w:t>
            </w:r>
          </w:p>
        </w:tc>
      </w:tr>
      <w:tr>
        <w:trPr/>
        <w:tc>
          <w:tcPr>
            <w:tcW w:w="3245" w:type="dxa"/>
            <w:tcBorders>
              <w:bottom w:val="single" w:sz="2" w:space="0" w:color="575756"/>
            </w:tcBorders>
            <w:shd w:fill="auto" w:val="clear"/>
            <w:tcMar>
              <w:bottom w:w="30" w:type="dxa"/>
            </w:tcMar>
            <w:vAlign w:val="center"/>
          </w:tcPr>
          <w:p>
            <w:pPr>
              <w:pStyle w:val="TableContents"/>
              <w:pBdr/>
              <w:spacing w:before="0" w:after="45"/>
              <w:rPr>
                <w:rFonts w:ascii="Arial" w:hAnsi="Arial"/>
                <w:b/>
                <w:i w:val="false"/>
                <w:caps w:val="false"/>
                <w:smallCaps w:val="false"/>
                <w:color w:val="000000"/>
                <w:sz w:val="18"/>
              </w:rPr>
            </w:pPr>
            <w:r>
              <w:rPr>
                <w:rFonts w:ascii="Arial" w:hAnsi="Arial"/>
                <w:b/>
                <w:i w:val="false"/>
                <w:caps w:val="false"/>
                <w:smallCaps w:val="false"/>
                <w:color w:val="000000"/>
                <w:sz w:val="18"/>
              </w:rPr>
              <w:t>Vertex Pharmaceuticals Incorporated</w:t>
            </w:r>
          </w:p>
        </w:tc>
        <w:tc>
          <w:tcPr>
            <w:tcW w:w="143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$63,373</w:t>
            </w:r>
          </w:p>
        </w:tc>
        <w:tc>
          <w:tcPr>
            <w:tcW w:w="143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$68,387</w:t>
            </w:r>
          </w:p>
        </w:tc>
        <w:tc>
          <w:tcPr>
            <w:tcW w:w="170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$7,948</w:t>
            </w:r>
          </w:p>
        </w:tc>
        <w:tc>
          <w:tcPr>
            <w:tcW w:w="1805" w:type="dxa"/>
            <w:tcBorders>
              <w:bottom w:val="single" w:sz="2" w:space="0" w:color="575756"/>
            </w:tcBorders>
            <w:shd w:fill="auto" w:val="clear"/>
            <w:tcMar>
              <w:bottom w:w="45"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3,900</w:t>
            </w:r>
          </w:p>
        </w:tc>
      </w:tr>
      <w:tr>
        <w:trPr/>
        <w:tc>
          <w:tcPr>
            <w:tcW w:w="3245" w:type="dxa"/>
            <w:tcBorders>
              <w:top w:val="single" w:sz="2" w:space="0" w:color="F2F2F2"/>
              <w:left w:val="single" w:sz="2" w:space="0" w:color="F2F2F2"/>
              <w:bottom w:val="single" w:sz="6" w:space="0" w:color="F2F2F2"/>
              <w:right w:val="single" w:sz="2" w:space="0" w:color="F2F2F2"/>
            </w:tcBorders>
            <w:shd w:fill="F2F2F2" w:val="clear"/>
            <w:tcMar>
              <w:top w:w="45" w:type="dxa"/>
              <w:left w:w="60" w:type="dxa"/>
              <w:bottom w:w="30" w:type="dxa"/>
              <w:right w:w="28" w:type="dxa"/>
            </w:tcMar>
            <w:vAlign w:val="center"/>
          </w:tcPr>
          <w:p>
            <w:pPr>
              <w:pStyle w:val="TableContents"/>
              <w:pBdr/>
              <w:spacing w:before="0" w:after="45"/>
              <w:rPr>
                <w:rFonts w:ascii="Arial" w:hAnsi="Arial"/>
                <w:b/>
                <w:i w:val="false"/>
                <w:caps w:val="false"/>
                <w:smallCaps w:val="false"/>
                <w:color w:val="000000"/>
                <w:sz w:val="18"/>
              </w:rPr>
            </w:pPr>
            <w:r>
              <w:rPr>
                <w:rFonts w:ascii="Arial" w:hAnsi="Arial"/>
                <w:b/>
                <w:i w:val="false"/>
                <w:caps w:val="false"/>
                <w:smallCaps w:val="false"/>
                <w:color w:val="000000"/>
                <w:sz w:val="18"/>
              </w:rPr>
              <w:t>Biogen Inc.</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$31,262</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$30,460</w:t>
            </w:r>
          </w:p>
        </w:tc>
        <w:tc>
          <w:tcPr>
            <w:tcW w:w="170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$10,820</w:t>
            </w:r>
          </w:p>
        </w:tc>
        <w:tc>
          <w:tcPr>
            <w:tcW w:w="1805" w:type="dxa"/>
            <w:tcBorders>
              <w:top w:val="single" w:sz="2" w:space="0" w:color="F2F2F2"/>
              <w:left w:val="single" w:sz="2" w:space="0" w:color="F2F2F2"/>
              <w:bottom w:val="single" w:sz="6" w:space="0" w:color="F2F2F2"/>
              <w:right w:val="single" w:sz="2" w:space="0" w:color="F2F2F2"/>
            </w:tcBorders>
            <w:shd w:fill="F2F2F2" w:val="clear"/>
            <w:tcMar>
              <w:top w:w="90" w:type="dxa"/>
              <w:left w:w="28" w:type="dxa"/>
              <w:bottom w:w="45" w:type="dxa"/>
              <w:right w:w="60"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9,610</w:t>
            </w:r>
          </w:p>
        </w:tc>
      </w:tr>
      <w:tr>
        <w:trPr/>
        <w:tc>
          <w:tcPr>
            <w:tcW w:w="3245" w:type="dxa"/>
            <w:tcBorders>
              <w:bottom w:val="single" w:sz="2" w:space="0" w:color="575756"/>
            </w:tcBorders>
            <w:shd w:fill="auto" w:val="clear"/>
            <w:tcMar>
              <w:bottom w:w="30" w:type="dxa"/>
            </w:tcMar>
            <w:vAlign w:val="center"/>
          </w:tcPr>
          <w:p>
            <w:pPr>
              <w:pStyle w:val="TableContents"/>
              <w:pBdr/>
              <w:spacing w:before="0" w:after="45"/>
              <w:rPr>
                <w:rFonts w:ascii="Arial" w:hAnsi="Arial"/>
                <w:b/>
                <w:i w:val="false"/>
                <w:caps w:val="false"/>
                <w:smallCaps w:val="false"/>
                <w:color w:val="000000"/>
                <w:sz w:val="18"/>
              </w:rPr>
            </w:pPr>
            <w:r>
              <w:rPr>
                <w:rFonts w:ascii="Arial" w:hAnsi="Arial"/>
                <w:b/>
                <w:i w:val="false"/>
                <w:caps w:val="false"/>
                <w:smallCaps w:val="false"/>
                <w:color w:val="000000"/>
                <w:sz w:val="18"/>
              </w:rPr>
              <w:t>Seagen Inc.</w:t>
            </w:r>
          </w:p>
        </w:tc>
        <w:tc>
          <w:tcPr>
            <w:tcW w:w="143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$24,829</w:t>
            </w:r>
          </w:p>
        </w:tc>
        <w:tc>
          <w:tcPr>
            <w:tcW w:w="143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$25,217</w:t>
            </w:r>
          </w:p>
        </w:tc>
        <w:tc>
          <w:tcPr>
            <w:tcW w:w="170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$1,669</w:t>
            </w:r>
          </w:p>
        </w:tc>
        <w:tc>
          <w:tcPr>
            <w:tcW w:w="1805" w:type="dxa"/>
            <w:tcBorders>
              <w:bottom w:val="single" w:sz="2" w:space="0" w:color="575756"/>
            </w:tcBorders>
            <w:shd w:fill="auto" w:val="clear"/>
            <w:tcMar>
              <w:bottom w:w="45"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2,675</w:t>
            </w:r>
          </w:p>
        </w:tc>
      </w:tr>
      <w:tr>
        <w:trPr/>
        <w:tc>
          <w:tcPr>
            <w:tcW w:w="3245" w:type="dxa"/>
            <w:tcBorders>
              <w:top w:val="single" w:sz="2" w:space="0" w:color="F2F2F2"/>
              <w:left w:val="single" w:sz="2" w:space="0" w:color="F2F2F2"/>
              <w:bottom w:val="single" w:sz="6" w:space="0" w:color="F2F2F2"/>
              <w:right w:val="single" w:sz="2" w:space="0" w:color="F2F2F2"/>
            </w:tcBorders>
            <w:shd w:fill="F2F2F2" w:val="clear"/>
            <w:tcMar>
              <w:top w:w="45" w:type="dxa"/>
              <w:left w:w="60" w:type="dxa"/>
              <w:bottom w:w="30" w:type="dxa"/>
              <w:right w:w="28" w:type="dxa"/>
            </w:tcMar>
            <w:vAlign w:val="center"/>
          </w:tcPr>
          <w:p>
            <w:pPr>
              <w:pStyle w:val="TableContents"/>
              <w:pBdr/>
              <w:spacing w:before="0" w:after="45"/>
              <w:rPr>
                <w:rFonts w:ascii="Arial" w:hAnsi="Arial"/>
                <w:b/>
                <w:i w:val="false"/>
                <w:caps w:val="false"/>
                <w:smallCaps w:val="false"/>
                <w:color w:val="000000"/>
                <w:sz w:val="18"/>
              </w:rPr>
            </w:pPr>
            <w:r>
              <w:rPr>
                <w:rFonts w:ascii="Arial" w:hAnsi="Arial"/>
                <w:b/>
                <w:i w:val="false"/>
                <w:caps w:val="false"/>
                <w:smallCaps w:val="false"/>
                <w:color w:val="000000"/>
                <w:sz w:val="18"/>
              </w:rPr>
              <w:t>Alnylam Pharmaceuticals, Inc.</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$18,197</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$18,088</w:t>
            </w:r>
          </w:p>
        </w:tc>
        <w:tc>
          <w:tcPr>
            <w:tcW w:w="170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$880</w:t>
            </w:r>
          </w:p>
        </w:tc>
        <w:tc>
          <w:tcPr>
            <w:tcW w:w="1805" w:type="dxa"/>
            <w:tcBorders>
              <w:top w:val="single" w:sz="2" w:space="0" w:color="F2F2F2"/>
              <w:left w:val="single" w:sz="2" w:space="0" w:color="F2F2F2"/>
              <w:bottom w:val="single" w:sz="6" w:space="0" w:color="F2F2F2"/>
              <w:right w:val="single" w:sz="2" w:space="0" w:color="F2F2F2"/>
            </w:tcBorders>
            <w:shd w:fill="F2F2F2" w:val="clear"/>
            <w:tcMar>
              <w:top w:w="90" w:type="dxa"/>
              <w:left w:w="28" w:type="dxa"/>
              <w:bottom w:w="45" w:type="dxa"/>
              <w:right w:w="60"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1,665</w:t>
            </w:r>
          </w:p>
        </w:tc>
      </w:tr>
      <w:tr>
        <w:trPr/>
        <w:tc>
          <w:tcPr>
            <w:tcW w:w="3245" w:type="dxa"/>
            <w:tcBorders>
              <w:bottom w:val="single" w:sz="2" w:space="0" w:color="575756"/>
            </w:tcBorders>
            <w:shd w:fill="auto" w:val="clear"/>
            <w:tcMar>
              <w:bottom w:w="30" w:type="dxa"/>
            </w:tcMar>
            <w:vAlign w:val="center"/>
          </w:tcPr>
          <w:p>
            <w:pPr>
              <w:pStyle w:val="TableContents"/>
              <w:pBdr/>
              <w:spacing w:before="0" w:after="45"/>
              <w:rPr>
                <w:rFonts w:ascii="Arial" w:hAnsi="Arial"/>
                <w:b/>
                <w:i w:val="false"/>
                <w:caps w:val="false"/>
                <w:smallCaps w:val="false"/>
                <w:color w:val="000000"/>
                <w:sz w:val="18"/>
              </w:rPr>
            </w:pPr>
            <w:r>
              <w:rPr>
                <w:rFonts w:ascii="Arial" w:hAnsi="Arial"/>
                <w:b/>
                <w:i w:val="false"/>
                <w:caps w:val="false"/>
                <w:smallCaps w:val="false"/>
                <w:color w:val="000000"/>
                <w:sz w:val="18"/>
              </w:rPr>
              <w:t>Incyte Corporation</w:t>
            </w:r>
          </w:p>
        </w:tc>
        <w:tc>
          <w:tcPr>
            <w:tcW w:w="143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$16,498</w:t>
            </w:r>
          </w:p>
        </w:tc>
        <w:tc>
          <w:tcPr>
            <w:tcW w:w="143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$17,254</w:t>
            </w:r>
          </w:p>
        </w:tc>
        <w:tc>
          <w:tcPr>
            <w:tcW w:w="170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$3,115</w:t>
            </w:r>
          </w:p>
        </w:tc>
        <w:tc>
          <w:tcPr>
            <w:tcW w:w="1805" w:type="dxa"/>
            <w:tcBorders>
              <w:bottom w:val="single" w:sz="2" w:space="0" w:color="575756"/>
            </w:tcBorders>
            <w:shd w:fill="auto" w:val="clear"/>
            <w:tcMar>
              <w:bottom w:w="45"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2,094</w:t>
            </w:r>
          </w:p>
        </w:tc>
      </w:tr>
      <w:tr>
        <w:trPr/>
        <w:tc>
          <w:tcPr>
            <w:tcW w:w="3245" w:type="dxa"/>
            <w:tcBorders>
              <w:top w:val="single" w:sz="2" w:space="0" w:color="F2F2F2"/>
              <w:left w:val="single" w:sz="2" w:space="0" w:color="F2F2F2"/>
              <w:bottom w:val="single" w:sz="6" w:space="0" w:color="F2F2F2"/>
              <w:right w:val="single" w:sz="2" w:space="0" w:color="F2F2F2"/>
            </w:tcBorders>
            <w:shd w:fill="F2F2F2" w:val="clear"/>
            <w:tcMar>
              <w:top w:w="45" w:type="dxa"/>
              <w:left w:w="60" w:type="dxa"/>
              <w:bottom w:w="30" w:type="dxa"/>
              <w:right w:w="28" w:type="dxa"/>
            </w:tcMar>
            <w:vAlign w:val="center"/>
          </w:tcPr>
          <w:p>
            <w:pPr>
              <w:pStyle w:val="TableContents"/>
              <w:pBdr/>
              <w:spacing w:before="0" w:after="45"/>
              <w:rPr>
                <w:rFonts w:ascii="Arial" w:hAnsi="Arial"/>
                <w:b/>
                <w:i w:val="false"/>
                <w:caps w:val="false"/>
                <w:smallCaps w:val="false"/>
                <w:color w:val="000000"/>
                <w:sz w:val="18"/>
              </w:rPr>
            </w:pPr>
            <w:r>
              <w:rPr>
                <w:rFonts w:ascii="Arial" w:hAnsi="Arial"/>
                <w:b/>
                <w:i w:val="false"/>
                <w:caps w:val="false"/>
                <w:smallCaps w:val="false"/>
                <w:color w:val="000000"/>
                <w:sz w:val="18"/>
              </w:rPr>
              <w:t>BioMarin Pharmaceutical Inc.</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$15,198</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$14,946</w:t>
            </w:r>
          </w:p>
        </w:tc>
        <w:tc>
          <w:tcPr>
            <w:tcW w:w="170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$1,880</w:t>
            </w:r>
          </w:p>
        </w:tc>
        <w:tc>
          <w:tcPr>
            <w:tcW w:w="1805" w:type="dxa"/>
            <w:tcBorders>
              <w:top w:val="single" w:sz="2" w:space="0" w:color="F2F2F2"/>
              <w:left w:val="single" w:sz="2" w:space="0" w:color="F2F2F2"/>
              <w:bottom w:val="single" w:sz="6" w:space="0" w:color="F2F2F2"/>
              <w:right w:val="single" w:sz="2" w:space="0" w:color="F2F2F2"/>
            </w:tcBorders>
            <w:shd w:fill="F2F2F2" w:val="clear"/>
            <w:tcMar>
              <w:top w:w="90" w:type="dxa"/>
              <w:left w:w="28" w:type="dxa"/>
              <w:bottom w:w="45" w:type="dxa"/>
              <w:right w:w="60"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3,045</w:t>
            </w:r>
          </w:p>
        </w:tc>
      </w:tr>
      <w:tr>
        <w:trPr/>
        <w:tc>
          <w:tcPr>
            <w:tcW w:w="3245" w:type="dxa"/>
            <w:tcBorders>
              <w:top w:val="single" w:sz="2" w:space="0" w:color="E5EBF4"/>
              <w:left w:val="single" w:sz="2" w:space="0" w:color="E5EBF4"/>
              <w:bottom w:val="single" w:sz="6" w:space="0" w:color="E5EBF4"/>
              <w:right w:val="single" w:sz="2" w:space="0" w:color="E5EBF4"/>
            </w:tcBorders>
            <w:shd w:fill="E5EBF4" w:val="clear"/>
            <w:tcMar>
              <w:top w:w="90" w:type="dxa"/>
              <w:left w:w="60" w:type="dxa"/>
              <w:bottom w:w="45" w:type="dxa"/>
              <w:right w:w="28" w:type="dxa"/>
            </w:tcMar>
            <w:vAlign w:val="center"/>
          </w:tcPr>
          <w:p>
            <w:pPr>
              <w:pStyle w:val="TableContents"/>
              <w:pBdr/>
              <w:spacing w:before="0" w:after="45"/>
              <w:jc w:val="left"/>
              <w:rPr>
                <w:rFonts w:ascii="Arial" w:hAnsi="Arial"/>
                <w:b/>
                <w:i w:val="false"/>
                <w:caps w:val="false"/>
                <w:smallCaps w:val="false"/>
                <w:color w:val="245BA7"/>
                <w:sz w:val="18"/>
              </w:rPr>
            </w:pPr>
            <w:r>
              <w:rPr>
                <w:rFonts w:ascii="Arial" w:hAnsi="Arial"/>
                <w:b/>
                <w:i w:val="false"/>
                <w:caps w:val="false"/>
                <w:smallCaps w:val="false"/>
                <w:color w:val="245BA7"/>
                <w:sz w:val="18"/>
              </w:rPr>
              <w:t>Summary Statistics:</w:t>
            </w:r>
          </w:p>
        </w:tc>
        <w:tc>
          <w:tcPr>
            <w:tcW w:w="1430" w:type="dxa"/>
            <w:tcBorders>
              <w:top w:val="single" w:sz="2" w:space="0" w:color="E5EBF4"/>
              <w:left w:val="single" w:sz="2" w:space="0" w:color="E5EBF4"/>
              <w:bottom w:val="single" w:sz="2" w:space="0" w:color="575756"/>
              <w:right w:val="single" w:sz="2" w:space="0" w:color="E5EBF4"/>
            </w:tcBorders>
            <w:shd w:fill="E5EBF4" w:val="clear"/>
            <w:tcMar>
              <w:top w:w="90" w:type="dxa"/>
              <w:left w:w="28" w:type="dxa"/>
              <w:bottom w:w="45" w:type="dxa"/>
              <w:right w:w="28" w:type="dxa"/>
            </w:tcMar>
            <w:vAlign w:val="center"/>
          </w:tcPr>
          <w:p>
            <w:pPr>
              <w:pStyle w:val="TableContents"/>
              <w:pBdr/>
              <w:spacing w:before="0" w:after="45"/>
              <w:ind w:left="15" w:right="15" w:hanging="0"/>
              <w:jc w:val="center"/>
              <w:rPr>
                <w:color w:val="000000"/>
              </w:rPr>
            </w:pPr>
            <w:r>
              <w:rPr>
                <w:color w:val="000000"/>
              </w:rPr>
              <w:t> </w:t>
            </w:r>
          </w:p>
        </w:tc>
        <w:tc>
          <w:tcPr>
            <w:tcW w:w="1430" w:type="dxa"/>
            <w:tcBorders>
              <w:top w:val="single" w:sz="2" w:space="0" w:color="E5EBF4"/>
              <w:left w:val="single" w:sz="2" w:space="0" w:color="E5EBF4"/>
              <w:bottom w:val="single" w:sz="2" w:space="0" w:color="575756"/>
              <w:right w:val="single" w:sz="2" w:space="0" w:color="E5EBF4"/>
            </w:tcBorders>
            <w:shd w:fill="E5EBF4" w:val="clear"/>
            <w:tcMar>
              <w:top w:w="90" w:type="dxa"/>
              <w:left w:w="28" w:type="dxa"/>
              <w:bottom w:w="45" w:type="dxa"/>
              <w:right w:w="28" w:type="dxa"/>
            </w:tcMar>
            <w:vAlign w:val="center"/>
          </w:tcPr>
          <w:p>
            <w:pPr>
              <w:pStyle w:val="TableContents"/>
              <w:pBdr/>
              <w:spacing w:before="0" w:after="45"/>
              <w:ind w:left="15" w:right="15" w:hanging="0"/>
              <w:jc w:val="center"/>
              <w:rPr>
                <w:color w:val="000000"/>
              </w:rPr>
            </w:pPr>
            <w:r>
              <w:rPr>
                <w:color w:val="000000"/>
              </w:rPr>
              <w:t> </w:t>
            </w:r>
          </w:p>
        </w:tc>
        <w:tc>
          <w:tcPr>
            <w:tcW w:w="1700" w:type="dxa"/>
            <w:tcBorders>
              <w:top w:val="single" w:sz="2" w:space="0" w:color="E5EBF4"/>
              <w:left w:val="single" w:sz="2" w:space="0" w:color="E5EBF4"/>
              <w:bottom w:val="single" w:sz="2" w:space="0" w:color="575756"/>
              <w:right w:val="single" w:sz="2" w:space="0" w:color="E5EBF4"/>
            </w:tcBorders>
            <w:shd w:fill="E5EBF4" w:val="clear"/>
            <w:tcMar>
              <w:top w:w="90" w:type="dxa"/>
              <w:left w:w="28" w:type="dxa"/>
              <w:bottom w:w="45" w:type="dxa"/>
              <w:right w:w="28" w:type="dxa"/>
            </w:tcMar>
            <w:vAlign w:val="center"/>
          </w:tcPr>
          <w:p>
            <w:pPr>
              <w:pStyle w:val="TableContents"/>
              <w:pBdr/>
              <w:spacing w:before="0" w:after="45"/>
              <w:ind w:left="15" w:right="15" w:hanging="0"/>
              <w:jc w:val="center"/>
              <w:rPr>
                <w:color w:val="000000"/>
              </w:rPr>
            </w:pPr>
            <w:r>
              <w:rPr>
                <w:color w:val="000000"/>
              </w:rPr>
              <w:t> </w:t>
            </w:r>
          </w:p>
        </w:tc>
        <w:tc>
          <w:tcPr>
            <w:tcW w:w="1805" w:type="dxa"/>
            <w:tcBorders>
              <w:top w:val="single" w:sz="2" w:space="0" w:color="E5EBF4"/>
              <w:left w:val="single" w:sz="2" w:space="0" w:color="E5EBF4"/>
              <w:bottom w:val="single" w:sz="6" w:space="0" w:color="E5EBF4"/>
              <w:right w:val="single" w:sz="2" w:space="0" w:color="E5EBF4"/>
            </w:tcBorders>
            <w:shd w:fill="E5EBF4" w:val="clear"/>
            <w:tcMar>
              <w:top w:w="90" w:type="dxa"/>
              <w:left w:w="28" w:type="dxa"/>
              <w:bottom w:w="45" w:type="dxa"/>
              <w:right w:w="60"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r>
      <w:tr>
        <w:trPr/>
        <w:tc>
          <w:tcPr>
            <w:tcW w:w="3245" w:type="dxa"/>
            <w:tcBorders>
              <w:top w:val="single" w:sz="2" w:space="0" w:color="F2F2F2"/>
              <w:left w:val="single" w:sz="2" w:space="0" w:color="F2F2F2"/>
              <w:bottom w:val="single" w:sz="6" w:space="0" w:color="F2F2F2"/>
              <w:right w:val="single" w:sz="2" w:space="0" w:color="F2F2F2"/>
            </w:tcBorders>
            <w:shd w:fill="F2F2F2" w:val="clear"/>
            <w:tcMar>
              <w:top w:w="45" w:type="dxa"/>
              <w:left w:w="60" w:type="dxa"/>
              <w:bottom w:w="30" w:type="dxa"/>
              <w:right w:w="28" w:type="dxa"/>
            </w:tcMar>
            <w:vAlign w:val="center"/>
          </w:tcPr>
          <w:p>
            <w:pPr>
              <w:pStyle w:val="TableContents"/>
              <w:pBdr/>
              <w:spacing w:before="0" w:after="45"/>
              <w:rPr>
                <w:rFonts w:ascii="Arial" w:hAnsi="Arial"/>
                <w:b w:val="false"/>
                <w:i w:val="false"/>
                <w:caps w:val="false"/>
                <w:smallCaps w:val="false"/>
                <w:color w:val="000000"/>
                <w:sz w:val="18"/>
              </w:rPr>
            </w:pPr>
            <w:r>
              <w:rPr>
                <w:rFonts w:ascii="Arial" w:hAnsi="Arial"/>
                <w:b w:val="false"/>
                <w:i w:val="false"/>
                <w:caps w:val="false"/>
                <w:smallCaps w:val="false"/>
                <w:color w:val="000000"/>
                <w:sz w:val="18"/>
              </w:rPr>
              <w:t>75th Percentile</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$166,067</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$176,432</w:t>
            </w:r>
          </w:p>
        </w:tc>
        <w:tc>
          <w:tcPr>
            <w:tcW w:w="170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$33,732</w:t>
            </w:r>
          </w:p>
        </w:tc>
        <w:tc>
          <w:tcPr>
            <w:tcW w:w="1805" w:type="dxa"/>
            <w:tcBorders>
              <w:top w:val="single" w:sz="2" w:space="0" w:color="F2F2F2"/>
              <w:left w:val="single" w:sz="2" w:space="0" w:color="F2F2F2"/>
              <w:bottom w:val="single" w:sz="6" w:space="0" w:color="F2F2F2"/>
              <w:right w:val="single" w:sz="2" w:space="0" w:color="F2F2F2"/>
            </w:tcBorders>
            <w:shd w:fill="F2F2F2" w:val="clear"/>
            <w:tcMar>
              <w:top w:w="90" w:type="dxa"/>
              <w:left w:w="28" w:type="dxa"/>
              <w:bottom w:w="45" w:type="dxa"/>
              <w:right w:w="60"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32,900</w:t>
            </w:r>
          </w:p>
        </w:tc>
      </w:tr>
      <w:tr>
        <w:trPr/>
        <w:tc>
          <w:tcPr>
            <w:tcW w:w="3245" w:type="dxa"/>
            <w:tcBorders>
              <w:bottom w:val="single" w:sz="2" w:space="0" w:color="575756"/>
            </w:tcBorders>
            <w:shd w:fill="auto" w:val="clear"/>
            <w:tcMar>
              <w:bottom w:w="30" w:type="dxa"/>
            </w:tcMar>
            <w:vAlign w:val="center"/>
          </w:tcPr>
          <w:p>
            <w:pPr>
              <w:pStyle w:val="TableContents"/>
              <w:pBdr/>
              <w:spacing w:before="0" w:after="45"/>
              <w:rPr>
                <w:rFonts w:ascii="Arial" w:hAnsi="Arial"/>
                <w:b/>
                <w:i w:val="false"/>
                <w:caps w:val="false"/>
                <w:smallCaps w:val="false"/>
                <w:color w:val="000000"/>
                <w:sz w:val="18"/>
              </w:rPr>
            </w:pPr>
            <w:r>
              <w:rPr>
                <w:rFonts w:ascii="Arial" w:hAnsi="Arial"/>
                <w:b/>
                <w:i w:val="false"/>
                <w:caps w:val="false"/>
                <w:smallCaps w:val="false"/>
                <w:color w:val="000000"/>
                <w:sz w:val="18"/>
              </w:rPr>
              <w:t>Median</w:t>
            </w:r>
          </w:p>
        </w:tc>
        <w:tc>
          <w:tcPr>
            <w:tcW w:w="143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b/>
                <w:color w:val="000000"/>
                <w:sz w:val="18"/>
              </w:rPr>
            </w:pPr>
            <w:r>
              <w:rPr>
                <w:rFonts w:ascii="Arial" w:hAnsi="Arial"/>
                <w:b/>
                <w:color w:val="000000"/>
                <w:sz w:val="18"/>
              </w:rPr>
              <w:t>$70,986</w:t>
            </w:r>
          </w:p>
        </w:tc>
        <w:tc>
          <w:tcPr>
            <w:tcW w:w="143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b/>
                <w:color w:val="000000"/>
                <w:sz w:val="18"/>
              </w:rPr>
            </w:pPr>
            <w:r>
              <w:rPr>
                <w:rFonts w:ascii="Arial" w:hAnsi="Arial"/>
                <w:b/>
                <w:color w:val="000000"/>
                <w:sz w:val="18"/>
              </w:rPr>
              <w:t>$72,870</w:t>
            </w:r>
          </w:p>
        </w:tc>
        <w:tc>
          <w:tcPr>
            <w:tcW w:w="170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b/>
                <w:color w:val="000000"/>
                <w:sz w:val="18"/>
              </w:rPr>
            </w:pPr>
            <w:r>
              <w:rPr>
                <w:rFonts w:ascii="Arial" w:hAnsi="Arial"/>
                <w:b/>
                <w:color w:val="000000"/>
                <w:sz w:val="18"/>
              </w:rPr>
              <w:t>$18,568</w:t>
            </w:r>
          </w:p>
        </w:tc>
        <w:tc>
          <w:tcPr>
            <w:tcW w:w="1805" w:type="dxa"/>
            <w:tcBorders>
              <w:bottom w:val="single" w:sz="2" w:space="0" w:color="575756"/>
            </w:tcBorders>
            <w:shd w:fill="auto" w:val="clear"/>
            <w:tcMar>
              <w:bottom w:w="45" w:type="dxa"/>
            </w:tcMar>
            <w:vAlign w:val="center"/>
          </w:tcPr>
          <w:p>
            <w:pPr>
              <w:pStyle w:val="TableContents"/>
              <w:pBdr/>
              <w:spacing w:before="0" w:after="45"/>
              <w:jc w:val="right"/>
              <w:rPr>
                <w:rFonts w:ascii="Arial" w:hAnsi="Arial"/>
                <w:b/>
                <w:i w:val="false"/>
                <w:caps w:val="false"/>
                <w:smallCaps w:val="false"/>
                <w:color w:val="000000"/>
                <w:sz w:val="18"/>
              </w:rPr>
            </w:pPr>
            <w:r>
              <w:rPr>
                <w:rFonts w:ascii="Arial" w:hAnsi="Arial"/>
                <w:b/>
                <w:i w:val="false"/>
                <w:caps w:val="false"/>
                <w:smallCaps w:val="false"/>
                <w:color w:val="000000"/>
                <w:sz w:val="18"/>
              </w:rPr>
              <w:t>12,005</w:t>
            </w:r>
          </w:p>
        </w:tc>
      </w:tr>
      <w:tr>
        <w:trPr/>
        <w:tc>
          <w:tcPr>
            <w:tcW w:w="3245" w:type="dxa"/>
            <w:tcBorders>
              <w:top w:val="single" w:sz="2" w:space="0" w:color="F2F2F2"/>
              <w:left w:val="single" w:sz="2" w:space="0" w:color="F2F2F2"/>
              <w:bottom w:val="single" w:sz="6" w:space="0" w:color="F2F2F2"/>
              <w:right w:val="single" w:sz="2" w:space="0" w:color="F2F2F2"/>
            </w:tcBorders>
            <w:shd w:fill="F2F2F2" w:val="clear"/>
            <w:tcMar>
              <w:top w:w="45" w:type="dxa"/>
              <w:left w:w="60" w:type="dxa"/>
              <w:bottom w:w="30" w:type="dxa"/>
              <w:right w:w="28" w:type="dxa"/>
            </w:tcMar>
            <w:vAlign w:val="center"/>
          </w:tcPr>
          <w:p>
            <w:pPr>
              <w:pStyle w:val="TableContents"/>
              <w:pBdr/>
              <w:spacing w:before="0" w:after="45"/>
              <w:rPr>
                <w:rFonts w:ascii="Arial" w:hAnsi="Arial"/>
                <w:b w:val="false"/>
                <w:i w:val="false"/>
                <w:caps w:val="false"/>
                <w:smallCaps w:val="false"/>
                <w:color w:val="000000"/>
                <w:sz w:val="18"/>
              </w:rPr>
            </w:pPr>
            <w:r>
              <w:rPr>
                <w:rFonts w:ascii="Arial" w:hAnsi="Arial"/>
                <w:b w:val="false"/>
                <w:i w:val="false"/>
                <w:caps w:val="false"/>
                <w:smallCaps w:val="false"/>
                <w:color w:val="000000"/>
                <w:sz w:val="18"/>
              </w:rPr>
              <w:t>25th Percentile</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$23,171</w:t>
            </w:r>
          </w:p>
        </w:tc>
        <w:tc>
          <w:tcPr>
            <w:tcW w:w="143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$23,435</w:t>
            </w:r>
          </w:p>
        </w:tc>
        <w:tc>
          <w:tcPr>
            <w:tcW w:w="170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$2,806</w:t>
            </w:r>
          </w:p>
        </w:tc>
        <w:tc>
          <w:tcPr>
            <w:tcW w:w="1805" w:type="dxa"/>
            <w:tcBorders>
              <w:top w:val="single" w:sz="2" w:space="0" w:color="F2F2F2"/>
              <w:left w:val="single" w:sz="2" w:space="0" w:color="F2F2F2"/>
              <w:bottom w:val="single" w:sz="6" w:space="0" w:color="F2F2F2"/>
              <w:right w:val="single" w:sz="2" w:space="0" w:color="F2F2F2"/>
            </w:tcBorders>
            <w:shd w:fill="F2F2F2" w:val="clear"/>
            <w:tcMar>
              <w:top w:w="90" w:type="dxa"/>
              <w:left w:w="28" w:type="dxa"/>
              <w:bottom w:w="45" w:type="dxa"/>
              <w:right w:w="60"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2,953</w:t>
            </w:r>
          </w:p>
        </w:tc>
      </w:tr>
      <w:tr>
        <w:trPr/>
        <w:tc>
          <w:tcPr>
            <w:tcW w:w="3245" w:type="dxa"/>
            <w:tcBorders>
              <w:top w:val="single" w:sz="2" w:space="0" w:color="245BA7"/>
              <w:left w:val="single" w:sz="2" w:space="0" w:color="245BA7"/>
              <w:bottom w:val="single" w:sz="6" w:space="0" w:color="245BA7"/>
              <w:right w:val="single" w:sz="2" w:space="0" w:color="245BA7"/>
            </w:tcBorders>
            <w:shd w:fill="245BA7" w:val="clear"/>
            <w:tcMar>
              <w:top w:w="90" w:type="dxa"/>
              <w:left w:w="60" w:type="dxa"/>
              <w:bottom w:w="45" w:type="dxa"/>
              <w:right w:w="28" w:type="dxa"/>
            </w:tcMar>
            <w:vAlign w:val="center"/>
          </w:tcPr>
          <w:p>
            <w:pPr>
              <w:pStyle w:val="TableContents"/>
              <w:pBdr/>
              <w:spacing w:before="0" w:after="45"/>
              <w:jc w:val="left"/>
              <w:rPr>
                <w:rFonts w:ascii="Arial" w:hAnsi="Arial"/>
                <w:b/>
                <w:i w:val="false"/>
                <w:caps w:val="false"/>
                <w:smallCaps w:val="false"/>
                <w:color w:val="FFFFFF"/>
                <w:sz w:val="18"/>
              </w:rPr>
            </w:pPr>
            <w:r>
              <w:rPr>
                <w:rFonts w:ascii="Arial" w:hAnsi="Arial"/>
                <w:b/>
                <w:i w:val="false"/>
                <w:caps w:val="false"/>
                <w:smallCaps w:val="false"/>
                <w:color w:val="FFFFFF"/>
                <w:sz w:val="18"/>
              </w:rPr>
              <w:t>Regeneron Pharmaceuticals, Inc.</w:t>
            </w:r>
          </w:p>
        </w:tc>
        <w:tc>
          <w:tcPr>
            <w:tcW w:w="1430" w:type="dxa"/>
            <w:tcBorders>
              <w:top w:val="single" w:sz="2" w:space="0" w:color="245BA7"/>
              <w:left w:val="single" w:sz="2" w:space="0" w:color="245BA7"/>
              <w:bottom w:val="single" w:sz="2" w:space="0" w:color="FFFFFF"/>
              <w:right w:val="single" w:sz="2" w:space="0" w:color="245BA7"/>
            </w:tcBorders>
            <w:shd w:fill="245BA7"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b/>
                <w:color w:val="FFFFFF"/>
                <w:sz w:val="18"/>
              </w:rPr>
            </w:pPr>
            <w:r>
              <w:rPr>
                <w:rFonts w:ascii="Arial" w:hAnsi="Arial"/>
                <w:b/>
                <w:color w:val="FFFFFF"/>
                <w:sz w:val="18"/>
              </w:rPr>
              <w:t>$69,172</w:t>
            </w:r>
          </w:p>
        </w:tc>
        <w:tc>
          <w:tcPr>
            <w:tcW w:w="1430" w:type="dxa"/>
            <w:tcBorders>
              <w:top w:val="single" w:sz="2" w:space="0" w:color="245BA7"/>
              <w:left w:val="single" w:sz="2" w:space="0" w:color="245BA7"/>
              <w:bottom w:val="single" w:sz="2" w:space="0" w:color="FFFFFF"/>
              <w:right w:val="single" w:sz="2" w:space="0" w:color="245BA7"/>
            </w:tcBorders>
            <w:shd w:fill="245BA7"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b/>
                <w:color w:val="FFFFFF"/>
                <w:sz w:val="18"/>
              </w:rPr>
            </w:pPr>
            <w:r>
              <w:rPr>
                <w:rFonts w:ascii="Arial" w:hAnsi="Arial"/>
                <w:b/>
                <w:color w:val="FFFFFF"/>
                <w:sz w:val="18"/>
              </w:rPr>
              <w:t>$72,922</w:t>
            </w:r>
          </w:p>
        </w:tc>
        <w:tc>
          <w:tcPr>
            <w:tcW w:w="1700" w:type="dxa"/>
            <w:tcBorders>
              <w:top w:val="single" w:sz="2" w:space="0" w:color="245BA7"/>
              <w:left w:val="single" w:sz="2" w:space="0" w:color="245BA7"/>
              <w:bottom w:val="single" w:sz="2" w:space="0" w:color="FFFFFF"/>
              <w:right w:val="single" w:sz="2" w:space="0" w:color="245BA7"/>
            </w:tcBorders>
            <w:shd w:fill="245BA7"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b/>
                <w:color w:val="FFFFFF"/>
                <w:sz w:val="18"/>
              </w:rPr>
            </w:pPr>
            <w:r>
              <w:rPr>
                <w:rFonts w:ascii="Arial" w:hAnsi="Arial"/>
                <w:b/>
                <w:color w:val="FFFFFF"/>
                <w:sz w:val="18"/>
              </w:rPr>
              <w:t>$16,508</w:t>
            </w:r>
          </w:p>
        </w:tc>
        <w:tc>
          <w:tcPr>
            <w:tcW w:w="1805" w:type="dxa"/>
            <w:tcBorders>
              <w:top w:val="single" w:sz="2" w:space="0" w:color="245BA7"/>
              <w:left w:val="single" w:sz="2" w:space="0" w:color="245BA7"/>
              <w:bottom w:val="single" w:sz="6" w:space="0" w:color="245BA7"/>
              <w:right w:val="single" w:sz="2" w:space="0" w:color="245BA7"/>
            </w:tcBorders>
            <w:shd w:fill="245BA7" w:val="clear"/>
            <w:tcMar>
              <w:top w:w="90" w:type="dxa"/>
              <w:left w:w="28" w:type="dxa"/>
              <w:bottom w:w="45" w:type="dxa"/>
              <w:right w:w="60" w:type="dxa"/>
            </w:tcMar>
            <w:vAlign w:val="center"/>
          </w:tcPr>
          <w:p>
            <w:pPr>
              <w:pStyle w:val="TableContents"/>
              <w:pBdr/>
              <w:spacing w:before="0" w:after="45"/>
              <w:jc w:val="right"/>
              <w:rPr>
                <w:rFonts w:ascii="Arial" w:hAnsi="Arial"/>
                <w:b/>
                <w:i w:val="false"/>
                <w:caps w:val="false"/>
                <w:smallCaps w:val="false"/>
                <w:color w:val="FFFFFF"/>
                <w:sz w:val="18"/>
              </w:rPr>
            </w:pPr>
            <w:r>
              <w:rPr>
                <w:rFonts w:ascii="Arial" w:hAnsi="Arial"/>
                <w:b/>
                <w:i w:val="false"/>
                <w:caps w:val="false"/>
                <w:smallCaps w:val="false"/>
                <w:color w:val="FFFFFF"/>
                <w:sz w:val="18"/>
              </w:rPr>
              <w:t>10,492</w:t>
            </w:r>
          </w:p>
        </w:tc>
      </w:tr>
      <w:tr>
        <w:trPr/>
        <w:tc>
          <w:tcPr>
            <w:tcW w:w="3245" w:type="dxa"/>
            <w:tcBorders>
              <w:top w:val="single" w:sz="2" w:space="0" w:color="245BA7"/>
              <w:left w:val="single" w:sz="2" w:space="0" w:color="245BA7"/>
              <w:bottom w:val="single" w:sz="6" w:space="0" w:color="245BA7"/>
              <w:right w:val="single" w:sz="2" w:space="0" w:color="245BA7"/>
            </w:tcBorders>
            <w:shd w:fill="245BA7" w:val="clear"/>
            <w:tcMar>
              <w:top w:w="90" w:type="dxa"/>
              <w:left w:w="60" w:type="dxa"/>
              <w:bottom w:w="45" w:type="dxa"/>
              <w:right w:w="28" w:type="dxa"/>
            </w:tcMar>
            <w:vAlign w:val="center"/>
          </w:tcPr>
          <w:p>
            <w:pPr>
              <w:pStyle w:val="TableContents"/>
              <w:pBdr/>
              <w:spacing w:before="0" w:after="45"/>
              <w:jc w:val="left"/>
              <w:rPr>
                <w:rFonts w:ascii="Arial" w:hAnsi="Arial"/>
                <w:b/>
                <w:i/>
                <w:caps w:val="false"/>
                <w:smallCaps w:val="false"/>
                <w:color w:val="FFFFFF"/>
                <w:sz w:val="18"/>
              </w:rPr>
            </w:pPr>
            <w:r>
              <w:rPr>
                <w:rFonts w:ascii="Arial" w:hAnsi="Arial"/>
                <w:b/>
                <w:i/>
                <w:caps w:val="false"/>
                <w:smallCaps w:val="false"/>
                <w:color w:val="FFFFFF"/>
                <w:sz w:val="18"/>
              </w:rPr>
              <w:t>Percentile Rank</w:t>
            </w:r>
          </w:p>
        </w:tc>
        <w:tc>
          <w:tcPr>
            <w:tcW w:w="1430" w:type="dxa"/>
            <w:tcBorders>
              <w:top w:val="single" w:sz="2" w:space="0" w:color="245BA7"/>
              <w:left w:val="single" w:sz="2" w:space="0" w:color="245BA7"/>
              <w:bottom w:val="single" w:sz="2" w:space="0" w:color="FFFFFF"/>
              <w:right w:val="single" w:sz="2" w:space="0" w:color="245BA7"/>
            </w:tcBorders>
            <w:shd w:fill="245BA7"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b/>
                <w:i/>
                <w:color w:val="FFFFFF"/>
                <w:sz w:val="18"/>
              </w:rPr>
            </w:pPr>
            <w:r>
              <w:rPr>
                <w:rFonts w:ascii="Arial" w:hAnsi="Arial"/>
                <w:b/>
                <w:i/>
                <w:color w:val="FFFFFF"/>
                <w:sz w:val="18"/>
              </w:rPr>
              <w:t>P49</w:t>
            </w:r>
          </w:p>
        </w:tc>
        <w:tc>
          <w:tcPr>
            <w:tcW w:w="1430" w:type="dxa"/>
            <w:tcBorders>
              <w:top w:val="single" w:sz="2" w:space="0" w:color="245BA7"/>
              <w:left w:val="single" w:sz="2" w:space="0" w:color="245BA7"/>
              <w:bottom w:val="single" w:sz="2" w:space="0" w:color="FFFFFF"/>
              <w:right w:val="single" w:sz="2" w:space="0" w:color="245BA7"/>
            </w:tcBorders>
            <w:shd w:fill="245BA7"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b/>
                <w:i/>
                <w:color w:val="FFFFFF"/>
                <w:sz w:val="18"/>
              </w:rPr>
            </w:pPr>
            <w:r>
              <w:rPr>
                <w:rFonts w:ascii="Arial" w:hAnsi="Arial"/>
                <w:b/>
                <w:i/>
                <w:color w:val="FFFFFF"/>
                <w:sz w:val="18"/>
              </w:rPr>
              <w:t>P50</w:t>
            </w:r>
          </w:p>
        </w:tc>
        <w:tc>
          <w:tcPr>
            <w:tcW w:w="1700" w:type="dxa"/>
            <w:tcBorders>
              <w:top w:val="single" w:sz="2" w:space="0" w:color="245BA7"/>
              <w:left w:val="single" w:sz="2" w:space="0" w:color="245BA7"/>
              <w:bottom w:val="single" w:sz="2" w:space="0" w:color="FFFFFF"/>
              <w:right w:val="single" w:sz="2" w:space="0" w:color="245BA7"/>
            </w:tcBorders>
            <w:shd w:fill="245BA7"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b/>
                <w:i/>
                <w:color w:val="FFFFFF"/>
                <w:sz w:val="18"/>
              </w:rPr>
            </w:pPr>
            <w:r>
              <w:rPr>
                <w:rFonts w:ascii="Arial" w:hAnsi="Arial"/>
                <w:b/>
                <w:i/>
                <w:color w:val="FFFFFF"/>
                <w:sz w:val="18"/>
              </w:rPr>
              <w:t>P49</w:t>
            </w:r>
          </w:p>
        </w:tc>
        <w:tc>
          <w:tcPr>
            <w:tcW w:w="1805" w:type="dxa"/>
            <w:tcBorders>
              <w:top w:val="single" w:sz="2" w:space="0" w:color="245BA7"/>
              <w:left w:val="single" w:sz="2" w:space="0" w:color="245BA7"/>
              <w:bottom w:val="single" w:sz="6" w:space="0" w:color="245BA7"/>
              <w:right w:val="single" w:sz="2" w:space="0" w:color="245BA7"/>
            </w:tcBorders>
            <w:shd w:fill="245BA7" w:val="clear"/>
            <w:tcMar>
              <w:top w:w="90" w:type="dxa"/>
              <w:left w:w="28" w:type="dxa"/>
              <w:bottom w:w="45" w:type="dxa"/>
              <w:right w:w="60" w:type="dxa"/>
            </w:tcMar>
            <w:vAlign w:val="center"/>
          </w:tcPr>
          <w:p>
            <w:pPr>
              <w:pStyle w:val="TableContents"/>
              <w:pBdr/>
              <w:spacing w:before="0" w:after="45"/>
              <w:jc w:val="right"/>
              <w:rPr>
                <w:rFonts w:ascii="Arial" w:hAnsi="Arial"/>
                <w:b/>
                <w:i/>
                <w:caps w:val="false"/>
                <w:smallCaps w:val="false"/>
                <w:color w:val="FFFFFF"/>
                <w:sz w:val="18"/>
              </w:rPr>
            </w:pPr>
            <w:r>
              <w:rPr>
                <w:rFonts w:ascii="Arial" w:hAnsi="Arial"/>
                <w:b/>
                <w:i/>
                <w:caps w:val="false"/>
                <w:smallCaps w:val="false"/>
                <w:color w:val="FFFFFF"/>
                <w:sz w:val="18"/>
              </w:rPr>
              <w:t>P47</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77"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09" descr=""/>
                          <pic:cNvPicPr>
                            <a:picLocks noChangeAspect="1" noChangeArrowheads="1"/>
                          </pic:cNvPicPr>
                        </pic:nvPicPr>
                        <pic:blipFill>
                          <a:blip r:embed="rId210"/>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75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In making the compensation decisions in December 2022, we used data from publicly filed proxy statements of the companies in the Peer Group (as compiled by the Compensation Committee’s compensation consultant) to review each component of compensation of our NEOs against their peers in the Peer Group as well as their total annual compensation in relation to the Peer Group, while taking into account various factors such as the executives’ respective performance, past compensation history, experience, and role in the Company’s success. We use Peer Group data as a point of reference for measurement, but Peer Group data do not represent the only factor considered and there is no targeted pay level percentile. The Compensation Committee retains discretion in determining the nature and extent of the use of Peer Group data.</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42" w:name="new_id-133"/>
      <w:bookmarkEnd w:id="142"/>
      <w:r>
        <w:rPr>
          <w:rFonts w:ascii="Arial" w:hAnsi="Arial"/>
          <w:b/>
          <w:i w:val="false"/>
          <w:caps w:val="false"/>
          <w:smallCaps w:val="false"/>
          <w:color w:val="D31B5D"/>
          <w:sz w:val="30"/>
          <w:bdr w:val="single" w:sz="12" w:space="2" w:color="245BA7"/>
        </w:rPr>
        <w:t xml:space="preserve">RISK ASSESSMENT </w:t>
      </w:r>
    </w:p>
    <w:p>
      <w:pPr>
        <w:pStyle w:val="TextBody"/>
        <w:pBdr/>
        <w:spacing w:before="0" w:after="210"/>
        <w:ind w:left="0" w:right="0" w:hanging="0"/>
        <w:rPr>
          <w:rFonts w:ascii="Arial" w:hAnsi="Arial"/>
          <w:color w:val="000000"/>
          <w:sz w:val="21"/>
        </w:rPr>
      </w:pPr>
      <w:r>
        <w:rPr>
          <w:rFonts w:ascii="Arial" w:hAnsi="Arial"/>
          <w:color w:val="000000"/>
          <w:sz w:val="21"/>
        </w:rPr>
        <w:t>We believe that the Company’s programs balance risk and potential reward in a manner that is appropriate to the Company’s circumstances and in the best interests of the Company’s shareholders over the long term. We also believe that the Company’s compensation and benefits programs do not create risks that are reasonably likely to have a material adverse effect on the Company. We regularly review the Company’s compensation and benefits programs, including its executive compensation program and its incentive-based compensation programs (such as sales incentive plans). At least annually, the Compensation Committee reviews and considers a compensation program risk assessment performed by its independent compensation consultant.</w:t>
      </w:r>
    </w:p>
    <w:p>
      <w:pPr>
        <w:pStyle w:val="TextBody"/>
        <w:pBdr/>
        <w:spacing w:before="0" w:after="210"/>
        <w:ind w:left="0" w:right="0" w:hanging="0"/>
        <w:rPr>
          <w:rFonts w:ascii="Arial" w:hAnsi="Arial"/>
          <w:color w:val="000000"/>
          <w:sz w:val="21"/>
        </w:rPr>
      </w:pPr>
      <w:r>
        <w:rPr>
          <w:rFonts w:ascii="Arial" w:hAnsi="Arial"/>
          <w:color w:val="000000"/>
          <w:sz w:val="21"/>
        </w:rPr>
        <w:t>The Company’s compensation and governance-related policies are further enhanced by our stock ownership guidelines applicable to our senior officers and our policy regarding recoupment or reduction (clawback) of incentive compensation of our officers and other specified employees for compliance violations. Our policy regarding recoupment or reduction (clawback) of incentive compensation for compliance violations applies to bonus and other incentive compensation, regardless of whether paid or payable in cash, equity, or otherwise and regardless of whether such compensation has been earned or vested. In addition, the policy covers both financial and non-financial violations resulting in a significant harm to the Company’s business, prospects, results of operations, or financial condition. Under the policy, the board and any designated committee of the board have full discretion to make recoupment and reduction decisions as they may deem appropriate subject to applicable law, the Company’s compensation plans in effect from time to time, and all relevant contractual obligations.</w:t>
      </w:r>
    </w:p>
    <w:p>
      <w:pPr>
        <w:pStyle w:val="TextBody"/>
        <w:pBdr/>
        <w:spacing w:before="0" w:after="210"/>
        <w:ind w:left="0" w:right="0" w:hanging="0"/>
        <w:rPr>
          <w:rFonts w:ascii="Arial" w:hAnsi="Arial"/>
          <w:color w:val="000000"/>
          <w:sz w:val="21"/>
        </w:rPr>
      </w:pPr>
      <w:r>
        <w:rPr>
          <w:rFonts w:ascii="Arial" w:hAnsi="Arial"/>
          <w:color w:val="000000"/>
          <w:sz w:val="21"/>
        </w:rPr>
        <w:t>We also have adopted policies against hedging and pledging of our securities by our directors and employees, including the NEOs; and against including excise tax gross-up provisions with respect to payments contingent upon a change in control of Regeneron in contracts, compensatory plans, or other arrangements with the Company’s executive officers, including the NEOs (other than the existing employment agreement with our CEO or any amendments thereto, which we expressly exempted).</w:t>
      </w:r>
    </w:p>
    <w:p>
      <w:pPr>
        <w:pStyle w:val="TextBody"/>
        <w:pBdr/>
        <w:spacing w:before="0" w:after="210"/>
        <w:ind w:left="0" w:right="0" w:hanging="0"/>
        <w:rPr>
          <w:rFonts w:ascii="Arial" w:hAnsi="Arial"/>
          <w:color w:val="000000"/>
          <w:sz w:val="21"/>
        </w:rPr>
      </w:pPr>
      <w:r>
        <w:rPr>
          <w:rFonts w:ascii="Arial" w:hAnsi="Arial"/>
          <w:color w:val="000000"/>
          <w:sz w:val="21"/>
        </w:rPr>
        <w:t>These policies demonstrate Regeneron’s continued commitment to robust corporate governance and are meant to reduce compensation-related risks and ensure greater alignment of the interests of our employees, including the NEOs, and those of the Company and our shareholders.</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43" w:name="new_id-134"/>
      <w:bookmarkEnd w:id="143"/>
      <w:r>
        <w:rPr>
          <w:rFonts w:ascii="Arial" w:hAnsi="Arial"/>
          <w:b/>
          <w:i w:val="false"/>
          <w:caps w:val="false"/>
          <w:smallCaps w:val="false"/>
          <w:color w:val="D31B5D"/>
          <w:sz w:val="30"/>
          <w:bdr w:val="single" w:sz="12" w:space="2" w:color="245BA7"/>
        </w:rPr>
        <w:t xml:space="preserve">TAX IMPLICATIONS </w:t>
      </w:r>
    </w:p>
    <w:p>
      <w:pPr>
        <w:pStyle w:val="TextBody"/>
        <w:pBdr/>
        <w:spacing w:before="0" w:after="210"/>
        <w:ind w:left="0" w:right="0" w:hanging="0"/>
        <w:rPr>
          <w:rFonts w:ascii="Arial" w:hAnsi="Arial"/>
          <w:color w:val="000000"/>
          <w:sz w:val="21"/>
        </w:rPr>
      </w:pPr>
      <w:r>
        <w:rPr>
          <w:rFonts w:ascii="Arial" w:hAnsi="Arial"/>
          <w:color w:val="000000"/>
          <w:sz w:val="21"/>
        </w:rPr>
        <w:t>We take tax considerations into account in making our compensation-related assessments and decisions.</w:t>
      </w:r>
    </w:p>
    <w:p>
      <w:pPr>
        <w:pStyle w:val="TextBody"/>
        <w:pBdr/>
        <w:spacing w:before="0" w:after="210"/>
        <w:ind w:left="0" w:right="0" w:hanging="0"/>
        <w:rPr>
          <w:rFonts w:ascii="Arial" w:hAnsi="Arial"/>
          <w:color w:val="000000"/>
          <w:sz w:val="21"/>
        </w:rPr>
      </w:pPr>
      <w:r>
        <w:rPr>
          <w:rFonts w:ascii="Arial" w:hAnsi="Arial"/>
          <w:color w:val="000000"/>
          <w:sz w:val="21"/>
        </w:rPr>
        <w:t>Prior to the enactment of the Tax Cuts and Jobs Act in December 2017, Section 162(m) of the Internal Revenue Code generally limited the deductibility for federal income tax purposes of compensation in any year paid to the CEO and the other NEOs (other than the Chief Financial Officer) (the “covered employees”) to the extent such compensation exceeded $1 million, subject to certain exceptions. “Performance-based” compensation, as defined under Section 162(m) of the Internal Revenue Code, was exempt from such deduction limitation if specified requirements set forth in the Internal Revenue Code and applicable Treasury regulations were met. The Regeneron Pharmaceuticals, Inc. Cash Incentive Bonus Plan, adopted prior to the enactment of the Tax Cuts and Jobs Act, allows (but does not require) awards thereunder to be subject to the attainment of performance goals in order to qualify for this performance-based compensation exception.</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78"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10" descr=""/>
                          <pic:cNvPicPr>
                            <a:picLocks noChangeAspect="1" noChangeArrowheads="1"/>
                          </pic:cNvPicPr>
                        </pic:nvPicPr>
                        <pic:blipFill>
                          <a:blip r:embed="rId211"/>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76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Under the Tax Cuts and Jobs Act, which generally became effective for us commencing with our 2018 fiscal year, the exception under Section 162(m) for performance‐based compensation is no longer generally available, subject to transition relief for certain grandfathered arrangements in effect as of November 2, 2017. Further, the definition of covered employees has been expanded to include our CFO. In addition, once one of our NEOs is considered a covered employee subject to the deduction limitation of Section 162(m), the NEO will remain a covered employee so long as he or she receives compensation from us. Despite the elimination of the performance-based compensation exception, we have continued to use the Cash Incentive Bonus Plan for annual cash incentives of the NEOs because we believe it furthers our compensation philosophy and objectives regardless of tax treatment. The Compensation Committee will continue to review the full impact of Section 162(m) (as revised by the Tax Cuts and Jobs Act) on the Company, our compensation programs, and executive compensation trends generally as it makes compensation-related assessments and decisions in the future.</w:t>
      </w:r>
    </w:p>
    <w:p>
      <w:pPr>
        <w:pStyle w:val="TextBody"/>
        <w:pBdr/>
        <w:spacing w:before="0" w:after="210"/>
        <w:ind w:left="0" w:right="0" w:hanging="0"/>
        <w:rPr>
          <w:rFonts w:ascii="Arial" w:hAnsi="Arial"/>
          <w:color w:val="000000"/>
          <w:sz w:val="21"/>
        </w:rPr>
      </w:pPr>
      <w:r>
        <w:rPr>
          <w:rFonts w:ascii="Arial" w:hAnsi="Arial"/>
          <w:color w:val="000000"/>
          <w:sz w:val="21"/>
        </w:rPr>
        <w:t>Due to the requirements set forth in Section 274(e)(2) of the Internal Revenue Code, Company-provided personal and guest air travel (which is provided by the Company only to the extent permitted under board-approved guidelines and a security policy adopted by the board based on an independent, third-party security study) results in a partial disallowance of the related corporate tax deductions. In 2022, this disallowance amounted to approximately $3.2 million.</w:t>
      </w:r>
    </w:p>
    <w:p>
      <w:pPr>
        <w:pStyle w:val="TextBody"/>
        <w:pBdr/>
        <w:spacing w:before="0" w:after="210"/>
        <w:ind w:left="0" w:right="0" w:hanging="0"/>
        <w:rPr>
          <w:rFonts w:ascii="Arial" w:hAnsi="Arial"/>
          <w:color w:val="000000"/>
          <w:sz w:val="21"/>
        </w:rPr>
      </w:pPr>
      <w:r>
        <w:rPr>
          <w:rFonts w:ascii="Arial" w:hAnsi="Arial"/>
          <w:color w:val="000000"/>
          <w:sz w:val="21"/>
        </w:rPr>
        <w:t>We take into account the deductibility of compensation in determining NEOs’ compensation. However, we reserve the right to use our judgment to authorize compensation payments that are not deductible, such as when we believe that such payments are necessary to maintain the flexibility needed to attract talent, promote executive retention, reward performance, or attain other Company objectives, or as required to comply with the Company’s contractual commitments.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79"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11" descr=""/>
                          <pic:cNvPicPr>
                            <a:picLocks noChangeAspect="1" noChangeArrowheads="1"/>
                          </pic:cNvPicPr>
                        </pic:nvPicPr>
                        <pic:blipFill>
                          <a:blip r:embed="rId212"/>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77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FFF"/>
            <w:sz w:val="16"/>
          </w:rPr>
          <w:t>Back to Contents</w:t>
        </w:r>
      </w:hyperlink>
      <w:hyperlink w:anchor="_TOC">
        <w:r>
          <w:rPr>
            <w:rStyle w:val="InternetLink"/>
            <w:rFonts w:ascii="Arial" w:hAnsi="Arial"/>
            <w:sz w:val="16"/>
          </w:rPr>
          <w:t xml:space="preserve"> </w:t>
        </w:r>
      </w:hyperlink>
    </w:p>
    <w:p>
      <w:pPr>
        <w:pStyle w:val="Heading1"/>
        <w:pBdr/>
        <w:spacing w:before="0" w:after="330"/>
        <w:ind w:left="0" w:right="0" w:hanging="0"/>
        <w:rPr>
          <w:rFonts w:ascii="Arial" w:hAnsi="Arial"/>
          <w:b/>
          <w:i w:val="false"/>
          <w:caps w:val="false"/>
          <w:smallCaps w:val="false"/>
          <w:color w:val="245BA7"/>
          <w:sz w:val="54"/>
        </w:rPr>
      </w:pPr>
      <w:bookmarkStart w:id="144" w:name="new_id-135"/>
      <w:bookmarkEnd w:id="144"/>
      <w:r>
        <w:rPr>
          <w:rFonts w:ascii="Arial" w:hAnsi="Arial"/>
          <w:b/>
          <w:i w:val="false"/>
          <w:caps w:val="false"/>
          <w:smallCaps w:val="false"/>
          <w:color w:val="245BA7"/>
          <w:sz w:val="54"/>
        </w:rPr>
        <w:t xml:space="preserve">COMPENSATION COMMITTEE REPORT </w:t>
      </w:r>
    </w:p>
    <w:p>
      <w:pPr>
        <w:pStyle w:val="TextBody"/>
        <w:pBdr/>
        <w:spacing w:before="0" w:after="210"/>
        <w:ind w:left="0" w:right="0" w:hanging="0"/>
        <w:rPr>
          <w:rFonts w:ascii="Arial" w:hAnsi="Arial"/>
          <w:color w:val="000000"/>
          <w:sz w:val="21"/>
        </w:rPr>
      </w:pPr>
      <w:r>
        <w:rPr>
          <w:rFonts w:ascii="Arial" w:hAnsi="Arial"/>
          <w:color w:val="000000"/>
          <w:sz w:val="21"/>
        </w:rPr>
        <w:t>We, the members of the Compensation Committee, have reviewed and discussed with management the Compensation Discussion and Analysis set forth above. Based on that review and discussion, we have recommended to the board of directors that the Compensation Discussion and Analysis be included in this proxy statement.</w:t>
      </w:r>
    </w:p>
    <w:p>
      <w:pPr>
        <w:pStyle w:val="TextBody"/>
        <w:pBdr/>
        <w:spacing w:before="0" w:after="210"/>
        <w:ind w:left="0" w:right="0" w:hanging="0"/>
        <w:rPr>
          <w:color w:val="000000"/>
        </w:rPr>
      </w:pPr>
      <w:r>
        <w:rPr>
          <w:color w:val="000000"/>
        </w:rPr>
        <w:t> </w:t>
      </w:r>
    </w:p>
    <w:p>
      <w:pPr>
        <w:pStyle w:val="TextBody"/>
        <w:pBdr/>
        <w:spacing w:before="0" w:after="150"/>
        <w:ind w:left="0" w:right="0" w:hanging="0"/>
        <w:rPr>
          <w:rFonts w:ascii="Arial" w:hAnsi="Arial"/>
          <w:b/>
          <w:color w:val="245BA7"/>
          <w:sz w:val="24"/>
        </w:rPr>
      </w:pPr>
      <w:bookmarkStart w:id="145" w:name="new_id-136"/>
      <w:bookmarkEnd w:id="145"/>
      <w:r>
        <w:rPr>
          <w:rFonts w:ascii="Arial" w:hAnsi="Arial"/>
          <w:b/>
          <w:i/>
          <w:color w:val="245BA7"/>
          <w:sz w:val="24"/>
        </w:rPr>
        <w:t>The Compensation Committee</w:t>
      </w:r>
      <w:r>
        <w:rPr>
          <w:rFonts w:ascii="Arial" w:hAnsi="Arial"/>
          <w:b/>
          <w:color w:val="245BA7"/>
          <w:sz w:val="24"/>
        </w:rPr>
        <w:t xml:space="preserve"> </w:t>
      </w:r>
    </w:p>
    <w:p>
      <w:pPr>
        <w:pStyle w:val="TextBody"/>
        <w:pBdr/>
        <w:spacing w:before="0" w:after="210"/>
        <w:ind w:left="0" w:right="0" w:hanging="0"/>
        <w:rPr>
          <w:rFonts w:ascii="Arial" w:hAnsi="Arial"/>
          <w:color w:val="000000"/>
          <w:sz w:val="21"/>
        </w:rPr>
      </w:pPr>
      <w:r>
        <w:rPr>
          <w:rFonts w:ascii="Arial" w:hAnsi="Arial"/>
          <w:color w:val="000000"/>
          <w:sz w:val="21"/>
        </w:rPr>
        <w:t xml:space="preserve">Christine A. Poon, Chair </w:t>
        <w:br/>
        <w:t xml:space="preserve">George L. Sing </w:t>
        <w:br/>
        <w:t>Huda Y. Zoghbi, M.D.</w:t>
      </w:r>
    </w:p>
    <w:p>
      <w:pPr>
        <w:pStyle w:val="TextBody"/>
        <w:pBdr/>
        <w:spacing w:before="0" w:after="210"/>
        <w:ind w:left="0" w:right="0" w:hanging="0"/>
        <w:rPr>
          <w:color w:val="000000"/>
        </w:rPr>
      </w:pPr>
      <w:r>
        <w:rPr>
          <w:color w:val="000000"/>
        </w:rPr>
        <w:t> </w:t>
      </w:r>
    </w:p>
    <w:p>
      <w:pPr>
        <w:pStyle w:val="TextBody"/>
        <w:pBdr/>
        <w:spacing w:before="0" w:after="210"/>
        <w:ind w:left="0" w:right="0" w:hanging="0"/>
        <w:rPr>
          <w:color w:val="000000"/>
        </w:rPr>
      </w:pPr>
      <w:r>
        <w:rPr>
          <w:color w:val="000000"/>
        </w:rPr>
        <w:t> </w:t>
      </w:r>
    </w:p>
    <w:p>
      <w:pPr>
        <w:pStyle w:val="TextBody"/>
        <w:pBdr/>
        <w:spacing w:before="0" w:after="210"/>
        <w:ind w:left="0" w:right="0" w:hanging="0"/>
        <w:rPr>
          <w:color w:val="000000"/>
        </w:rPr>
      </w:pPr>
      <w:r>
        <w:rPr>
          <w:color w:val="000000"/>
        </w:rPr>
        <w:t> </w:t>
      </w:r>
    </w:p>
    <w:p>
      <w:pPr>
        <w:pStyle w:val="TextBody"/>
        <w:pBdr/>
        <w:spacing w:before="0" w:after="210"/>
        <w:ind w:left="0" w:right="0" w:hanging="0"/>
        <w:rPr>
          <w:color w:val="000000"/>
        </w:rPr>
      </w:pPr>
      <w:r>
        <w:rPr>
          <w:color w:val="000000"/>
        </w:rPr>
        <w:t> </w:t>
      </w:r>
    </w:p>
    <w:p>
      <w:pPr>
        <w:pStyle w:val="TextBody"/>
        <w:pBdr/>
        <w:spacing w:before="0" w:after="210"/>
        <w:ind w:left="0" w:right="0" w:hanging="0"/>
        <w:rPr>
          <w:color w:val="000000"/>
        </w:rPr>
      </w:pPr>
      <w:r>
        <w:rPr>
          <w:color w:val="000000"/>
        </w:rPr>
        <w:t> </w:t>
      </w:r>
    </w:p>
    <w:p>
      <w:pPr>
        <w:pStyle w:val="TextBody"/>
        <w:pBdr/>
        <w:spacing w:before="0" w:after="210"/>
        <w:ind w:left="0" w:right="0" w:hanging="0"/>
        <w:rPr>
          <w:color w:val="000000"/>
        </w:rPr>
      </w:pPr>
      <w:r>
        <w:rPr>
          <w:color w:val="000000"/>
        </w:rPr>
        <w:t> </w:t>
      </w:r>
    </w:p>
    <w:p>
      <w:pPr>
        <w:pStyle w:val="TextBody"/>
        <w:pBdr/>
        <w:spacing w:before="0" w:after="210"/>
        <w:ind w:left="0" w:right="0" w:hanging="0"/>
        <w:rPr>
          <w:color w:val="000000"/>
        </w:rPr>
      </w:pPr>
      <w:r>
        <w:rPr>
          <w:color w:val="000000"/>
        </w:rPr>
        <w:t> </w:t>
      </w:r>
    </w:p>
    <w:p>
      <w:pPr>
        <w:pStyle w:val="TextBody"/>
        <w:pBdr/>
        <w:spacing w:before="0" w:after="210"/>
        <w:ind w:left="0" w:right="0" w:hanging="0"/>
        <w:rPr>
          <w:color w:val="000000"/>
        </w:rPr>
      </w:pPr>
      <w:r>
        <w:rPr>
          <w:color w:val="000000"/>
        </w:rPr>
        <w:t> </w:t>
      </w:r>
    </w:p>
    <w:p>
      <w:pPr>
        <w:pStyle w:val="Heading1"/>
        <w:pBdr/>
        <w:spacing w:before="0" w:after="330"/>
        <w:ind w:left="0" w:right="0" w:hanging="0"/>
        <w:rPr>
          <w:rFonts w:ascii="Arial" w:hAnsi="Arial"/>
          <w:b/>
          <w:i w:val="false"/>
          <w:caps w:val="false"/>
          <w:smallCaps w:val="false"/>
          <w:color w:val="245BA7"/>
          <w:sz w:val="54"/>
        </w:rPr>
      </w:pPr>
      <w:bookmarkStart w:id="146" w:name="new_id-137"/>
      <w:bookmarkEnd w:id="146"/>
      <w:r>
        <w:rPr>
          <w:rFonts w:ascii="Arial" w:hAnsi="Arial"/>
          <w:b/>
          <w:i w:val="false"/>
          <w:caps w:val="false"/>
          <w:smallCaps w:val="false"/>
          <w:color w:val="245BA7"/>
          <w:sz w:val="54"/>
        </w:rPr>
        <w:t xml:space="preserve">COMPENSATION COMMITTEE INTERLOCKS AND INSIDER PARTICIPATION </w:t>
      </w:r>
    </w:p>
    <w:p>
      <w:pPr>
        <w:pStyle w:val="TextBody"/>
        <w:pBdr/>
        <w:spacing w:before="0" w:after="0"/>
        <w:ind w:left="0" w:right="0" w:hanging="0"/>
        <w:rPr>
          <w:rFonts w:ascii="Arial" w:hAnsi="Arial"/>
          <w:color w:val="000000"/>
          <w:sz w:val="21"/>
        </w:rPr>
      </w:pPr>
      <w:r>
        <w:rPr>
          <w:rFonts w:ascii="Arial" w:hAnsi="Arial"/>
          <w:color w:val="000000"/>
          <w:sz w:val="21"/>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80"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12" descr=""/>
                          <pic:cNvPicPr>
                            <a:picLocks noChangeAspect="1" noChangeArrowheads="1"/>
                          </pic:cNvPicPr>
                        </pic:nvPicPr>
                        <pic:blipFill>
                          <a:blip r:embed="rId213"/>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78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jc w:val="left"/>
        <w:rPr/>
      </w:pPr>
      <w:r>
        <w:rPr/>
        <w:drawing>
          <wp:inline distT="0" distB="0" distL="0" distR="0">
            <wp:extent cx="7620000" cy="1552575"/>
            <wp:effectExtent l="0" t="0" r="0" b="0"/>
            <wp:docPr id="281"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13" descr=""/>
                    <pic:cNvPicPr>
                      <a:picLocks noChangeAspect="1" noChangeArrowheads="1"/>
                    </pic:cNvPicPr>
                  </pic:nvPicPr>
                  <pic:blipFill>
                    <a:blip r:embed="rId214"/>
                    <a:stretch>
                      <a:fillRect/>
                    </a:stretch>
                  </pic:blipFill>
                  <pic:spPr bwMode="auto">
                    <a:xfrm>
                      <a:off x="0" y="0"/>
                      <a:ext cx="7620000" cy="1552575"/>
                    </a:xfrm>
                    <a:prstGeom prst="rect">
                      <a:avLst/>
                    </a:prstGeom>
                  </pic:spPr>
                </pic:pic>
              </a:graphicData>
            </a:graphic>
          </wp:inline>
        </w:drawing>
      </w:r>
    </w:p>
    <w:p>
      <w:pPr>
        <w:pStyle w:val="Heading1"/>
        <w:pBdr/>
        <w:spacing w:before="0" w:after="0"/>
        <w:ind w:left="0" w:right="0" w:hanging="0"/>
        <w:jc w:val="left"/>
        <w:rPr>
          <w:rFonts w:ascii="Arial" w:hAnsi="Arial"/>
          <w:b/>
          <w:i w:val="false"/>
          <w:caps w:val="false"/>
          <w:smallCaps w:val="false"/>
          <w:color w:val="245BA7"/>
          <w:sz w:val="54"/>
        </w:rPr>
      </w:pPr>
      <w:bookmarkStart w:id="147" w:name="new_id-138"/>
      <w:bookmarkEnd w:id="147"/>
      <w:r>
        <w:rPr>
          <w:rFonts w:ascii="Arial" w:hAnsi="Arial"/>
          <w:b/>
          <w:i w:val="false"/>
          <w:caps w:val="false"/>
          <w:smallCaps w:val="false"/>
          <w:color w:val="245BA7"/>
          <w:sz w:val="54"/>
        </w:rPr>
        <w:t>COMPENSATION DASHBOARD</w:t>
      </w:r>
    </w:p>
    <w:p>
      <w:pPr>
        <w:pStyle w:val="TextBody"/>
        <w:pBdr/>
        <w:spacing w:before="0" w:after="0"/>
        <w:ind w:left="0" w:right="0" w:hanging="0"/>
        <w:rPr>
          <w:caps w:val="false"/>
          <w:smallCaps w:val="false"/>
          <w:color w:val="245BA7"/>
        </w:rPr>
      </w:pPr>
      <w:r>
        <w:rPr>
          <w:caps w:val="false"/>
          <w:smallCaps w:val="false"/>
          <w:color w:val="245BA7"/>
        </w:rPr>
        <w:t> </w:t>
      </w:r>
    </w:p>
    <w:p>
      <w:pPr>
        <w:pStyle w:val="Heading2"/>
        <w:pBdr/>
        <w:spacing w:before="0" w:after="195"/>
        <w:ind w:left="0" w:right="0" w:hanging="0"/>
        <w:jc w:val="left"/>
        <w:rPr>
          <w:rFonts w:ascii="Arial" w:hAnsi="Arial"/>
          <w:b/>
          <w:i w:val="false"/>
          <w:caps w:val="false"/>
          <w:smallCaps w:val="false"/>
          <w:color w:val="245BA7"/>
          <w:sz w:val="47"/>
        </w:rPr>
      </w:pPr>
      <w:bookmarkStart w:id="148" w:name="new_id-139"/>
      <w:bookmarkEnd w:id="148"/>
      <w:r>
        <w:rPr>
          <w:rFonts w:ascii="Arial" w:hAnsi="Arial"/>
          <w:b/>
          <w:i w:val="false"/>
          <w:caps w:val="false"/>
          <w:smallCaps w:val="false"/>
          <w:color w:val="245BA7"/>
          <w:sz w:val="47"/>
        </w:rPr>
        <w:t xml:space="preserve">2022 EXECUTIVE COMPENSATION TABLES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following table and accompanying footnotes provide information regarding compensation earned by, or paid to, our NEOs during the last three fiscal years (other than with respect to Ms. McCourt, who qualified as an NEO for 2022 but not for 2021 or 2020).</w:t>
      </w:r>
    </w:p>
    <w:p>
      <w:pPr>
        <w:pStyle w:val="Heading3"/>
        <w:pBdr/>
        <w:spacing w:before="0" w:after="150"/>
        <w:ind w:left="0" w:right="0" w:hanging="0"/>
        <w:jc w:val="left"/>
        <w:rPr>
          <w:rFonts w:ascii="Arial" w:hAnsi="Arial"/>
          <w:b/>
          <w:i w:val="false"/>
          <w:caps w:val="false"/>
          <w:smallCaps w:val="false"/>
          <w:color w:val="D31B5D"/>
          <w:sz w:val="30"/>
        </w:rPr>
      </w:pPr>
      <w:bookmarkStart w:id="149" w:name="new_id-140"/>
      <w:bookmarkEnd w:id="149"/>
      <w:r>
        <w:rPr>
          <w:rFonts w:ascii="Arial" w:hAnsi="Arial"/>
          <w:b/>
          <w:i w:val="false"/>
          <w:caps w:val="false"/>
          <w:smallCaps w:val="false"/>
          <w:color w:val="D31B5D"/>
          <w:sz w:val="30"/>
        </w:rPr>
        <w:t xml:space="preserve">2022 SUMMARY COMPENSATION TABLE </w:t>
      </w:r>
    </w:p>
    <w:tbl>
      <w:tblPr>
        <w:tblW w:w="10205" w:type="dxa"/>
        <w:jc w:val="left"/>
        <w:tblInd w:w="0" w:type="dxa"/>
        <w:tblCellMar>
          <w:top w:w="45" w:type="dxa"/>
          <w:left w:w="0" w:type="dxa"/>
          <w:bottom w:w="75" w:type="dxa"/>
          <w:right w:w="0" w:type="dxa"/>
        </w:tblCellMar>
      </w:tblPr>
      <w:tblGrid>
        <w:gridCol w:w="2957"/>
        <w:gridCol w:w="455"/>
        <w:gridCol w:w="75"/>
        <w:gridCol w:w="883"/>
        <w:gridCol w:w="75"/>
        <w:gridCol w:w="1070"/>
        <w:gridCol w:w="75"/>
        <w:gridCol w:w="903"/>
        <w:gridCol w:w="83"/>
        <w:gridCol w:w="1190"/>
        <w:gridCol w:w="85"/>
        <w:gridCol w:w="980"/>
        <w:gridCol w:w="285"/>
        <w:gridCol w:w="1089"/>
      </w:tblGrid>
      <w:tr>
        <w:trPr/>
        <w:tc>
          <w:tcPr>
            <w:tcW w:w="2957" w:type="dxa"/>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A</w:t>
            </w:r>
          </w:p>
        </w:tc>
        <w:tc>
          <w:tcPr>
            <w:tcW w:w="455"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B</w:t>
            </w:r>
          </w:p>
        </w:tc>
        <w:tc>
          <w:tcPr>
            <w:tcW w:w="75"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883"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C</w:t>
            </w:r>
          </w:p>
        </w:tc>
        <w:tc>
          <w:tcPr>
            <w:tcW w:w="75"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070"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E</w:t>
            </w:r>
          </w:p>
        </w:tc>
        <w:tc>
          <w:tcPr>
            <w:tcW w:w="75"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903"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F</w:t>
            </w:r>
          </w:p>
        </w:tc>
        <w:tc>
          <w:tcPr>
            <w:tcW w:w="83" w:type="dxa"/>
            <w:tcBorders>
              <w:top w:val="single" w:sz="2" w:space="0" w:color="245BA7"/>
              <w:bottom w:val="single" w:sz="2" w:space="0" w:color="245BA7"/>
            </w:tcBorders>
            <w:shd w:fill="auto" w:val="clear"/>
            <w:vAlign w:val="center"/>
          </w:tcPr>
          <w:p>
            <w:pPr>
              <w:pStyle w:val="TableContents"/>
              <w:pBdr/>
              <w:spacing w:before="15" w:after="0"/>
              <w:ind w:left="0" w:right="0" w:hanging="0"/>
              <w:jc w:val="center"/>
              <w:rPr>
                <w:color w:val="245BA7"/>
              </w:rPr>
            </w:pPr>
            <w:r>
              <w:rPr>
                <w:color w:val="245BA7"/>
              </w:rPr>
              <w:t> </w:t>
            </w:r>
          </w:p>
        </w:tc>
        <w:tc>
          <w:tcPr>
            <w:tcW w:w="1190" w:type="dxa"/>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G</w:t>
            </w:r>
          </w:p>
        </w:tc>
        <w:tc>
          <w:tcPr>
            <w:tcW w:w="85" w:type="dxa"/>
            <w:tcBorders>
              <w:top w:val="single" w:sz="2" w:space="0" w:color="245BA7"/>
              <w:bottom w:val="single" w:sz="2" w:space="0" w:color="245BA7"/>
            </w:tcBorders>
            <w:shd w:fill="auto" w:val="clear"/>
            <w:vAlign w:val="center"/>
          </w:tcPr>
          <w:p>
            <w:pPr>
              <w:pStyle w:val="TableContents"/>
              <w:pBdr/>
              <w:spacing w:before="15" w:after="0"/>
              <w:ind w:left="0" w:right="0" w:hanging="0"/>
              <w:jc w:val="center"/>
              <w:rPr>
                <w:color w:val="245BA7"/>
              </w:rPr>
            </w:pPr>
            <w:r>
              <w:rPr>
                <w:color w:val="245BA7"/>
              </w:rPr>
              <w:t> </w:t>
            </w:r>
          </w:p>
        </w:tc>
        <w:tc>
          <w:tcPr>
            <w:tcW w:w="980" w:type="dxa"/>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I</w:t>
            </w:r>
          </w:p>
        </w:tc>
        <w:tc>
          <w:tcPr>
            <w:tcW w:w="285" w:type="dxa"/>
            <w:tcBorders>
              <w:top w:val="single" w:sz="2" w:space="0" w:color="245BA7"/>
              <w:bottom w:val="single" w:sz="2" w:space="0" w:color="245BA7"/>
            </w:tcBorders>
            <w:shd w:fill="auto" w:val="clear"/>
            <w:tcMar>
              <w:top w:w="28" w:type="dxa"/>
            </w:tcMar>
            <w:vAlign w:val="center"/>
          </w:tcPr>
          <w:p>
            <w:pPr>
              <w:pStyle w:val="TableContents"/>
              <w:pBdr/>
              <w:spacing w:before="15" w:after="0"/>
              <w:ind w:left="0" w:right="0" w:hanging="0"/>
              <w:jc w:val="center"/>
              <w:rPr>
                <w:color w:val="245BA7"/>
              </w:rPr>
            </w:pPr>
            <w:r>
              <w:rPr>
                <w:color w:val="245BA7"/>
              </w:rPr>
              <w:t> </w:t>
            </w:r>
          </w:p>
        </w:tc>
        <w:tc>
          <w:tcPr>
            <w:tcW w:w="1089"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J</w:t>
            </w:r>
          </w:p>
        </w:tc>
      </w:tr>
      <w:tr>
        <w:trPr/>
        <w:tc>
          <w:tcPr>
            <w:tcW w:w="2957" w:type="dxa"/>
            <w:tcBorders>
              <w:bottom w:val="single" w:sz="12" w:space="0" w:color="245AA7"/>
            </w:tcBorders>
            <w:shd w:fill="auto" w:val="clear"/>
            <w:tcMar>
              <w:top w:w="0" w:type="dxa"/>
            </w:tcMar>
            <w:vAlign w:val="center"/>
          </w:tcPr>
          <w:p>
            <w:pPr>
              <w:pStyle w:val="TableContents"/>
              <w:pBdr/>
              <w:spacing w:before="15" w:after="0"/>
              <w:ind w:left="15" w:right="15" w:hanging="0"/>
              <w:rPr>
                <w:rFonts w:ascii="Arial" w:hAnsi="Arial"/>
                <w:b/>
                <w:color w:val="245BA7"/>
                <w:sz w:val="18"/>
              </w:rPr>
            </w:pPr>
            <w:r>
              <w:rPr>
                <w:rFonts w:ascii="Arial" w:hAnsi="Arial"/>
                <w:b/>
                <w:color w:val="245BA7"/>
                <w:sz w:val="18"/>
              </w:rPr>
              <w:t>Name and principal position</w:t>
            </w:r>
          </w:p>
        </w:tc>
        <w:tc>
          <w:tcPr>
            <w:tcW w:w="455"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Year</w:t>
            </w:r>
          </w:p>
        </w:tc>
        <w:tc>
          <w:tcPr>
            <w:tcW w:w="75"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color w:val="245BA7"/>
              </w:rPr>
            </w:pPr>
            <w:r>
              <w:rPr>
                <w:color w:val="245BA7"/>
              </w:rPr>
              <w:t> </w:t>
            </w:r>
          </w:p>
        </w:tc>
        <w:tc>
          <w:tcPr>
            <w:tcW w:w="883"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i w:val="false"/>
                <w:caps w:val="false"/>
                <w:smallCaps w:val="false"/>
                <w:color w:val="245BA7"/>
                <w:sz w:val="18"/>
              </w:rPr>
            </w:pPr>
            <w:r>
              <w:rPr>
                <w:rFonts w:ascii="Arial" w:hAnsi="Arial"/>
                <w:b/>
                <w:i w:val="false"/>
                <w:caps w:val="false"/>
                <w:smallCaps w:val="false"/>
                <w:color w:val="245BA7"/>
                <w:sz w:val="18"/>
              </w:rPr>
              <w:t>Salary ($)</w:t>
            </w:r>
            <w:r>
              <w:rPr>
                <w:rFonts w:ascii="Arial" w:hAnsi="Arial"/>
                <w:b/>
                <w:i w:val="false"/>
                <w:caps w:val="false"/>
                <w:smallCaps w:val="false"/>
                <w:color w:val="245BA7"/>
                <w:position w:val="6"/>
                <w:sz w:val="14"/>
                <w:sz w:val="18"/>
              </w:rPr>
              <w:t>1</w:t>
            </w:r>
          </w:p>
        </w:tc>
        <w:tc>
          <w:tcPr>
            <w:tcW w:w="75"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color w:val="245BA7"/>
              </w:rPr>
            </w:pPr>
            <w:r>
              <w:rPr>
                <w:color w:val="245BA7"/>
              </w:rPr>
              <w:t> </w:t>
            </w:r>
          </w:p>
        </w:tc>
        <w:tc>
          <w:tcPr>
            <w:tcW w:w="1070"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Stock </w:t>
            </w:r>
          </w:p>
          <w:p>
            <w:pPr>
              <w:pStyle w:val="TableContents"/>
              <w:pBdr/>
              <w:spacing w:before="15" w:after="0"/>
              <w:ind w:left="15" w:right="15" w:hanging="0"/>
              <w:jc w:val="center"/>
              <w:rPr>
                <w:rFonts w:ascii="Arial" w:hAnsi="Arial"/>
                <w:b/>
                <w:color w:val="245BA7"/>
                <w:sz w:val="18"/>
              </w:rPr>
            </w:pPr>
            <w:r>
              <w:rPr>
                <w:rFonts w:ascii="Arial" w:hAnsi="Arial"/>
                <w:b/>
                <w:color w:val="245BA7"/>
                <w:sz w:val="18"/>
              </w:rPr>
              <w:t>awards ($)</w:t>
            </w:r>
            <w:r>
              <w:rPr>
                <w:rFonts w:ascii="Arial" w:hAnsi="Arial"/>
                <w:b/>
                <w:color w:val="245BA7"/>
                <w:position w:val="6"/>
                <w:sz w:val="14"/>
                <w:sz w:val="18"/>
              </w:rPr>
              <w:t>2</w:t>
            </w:r>
          </w:p>
        </w:tc>
        <w:tc>
          <w:tcPr>
            <w:tcW w:w="75"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color w:val="245BA7"/>
              </w:rPr>
            </w:pPr>
            <w:r>
              <w:rPr>
                <w:color w:val="245BA7"/>
              </w:rPr>
              <w:t> </w:t>
            </w:r>
          </w:p>
        </w:tc>
        <w:tc>
          <w:tcPr>
            <w:tcW w:w="903"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Option </w:t>
            </w:r>
          </w:p>
          <w:p>
            <w:pPr>
              <w:pStyle w:val="TableContents"/>
              <w:pBdr/>
              <w:spacing w:before="15" w:after="0"/>
              <w:ind w:left="15" w:right="15" w:hanging="0"/>
              <w:jc w:val="center"/>
              <w:rPr>
                <w:rFonts w:ascii="Arial" w:hAnsi="Arial"/>
                <w:b/>
                <w:color w:val="245BA7"/>
                <w:sz w:val="18"/>
              </w:rPr>
            </w:pPr>
            <w:r>
              <w:rPr>
                <w:rFonts w:ascii="Arial" w:hAnsi="Arial"/>
                <w:b/>
                <w:color w:val="245BA7"/>
                <w:sz w:val="18"/>
              </w:rPr>
              <w:t>awards ($)</w:t>
            </w:r>
            <w:r>
              <w:rPr>
                <w:rFonts w:ascii="Arial" w:hAnsi="Arial"/>
                <w:b/>
                <w:color w:val="245BA7"/>
                <w:position w:val="6"/>
                <w:sz w:val="14"/>
                <w:sz w:val="18"/>
              </w:rPr>
              <w:t>2</w:t>
            </w:r>
          </w:p>
        </w:tc>
        <w:tc>
          <w:tcPr>
            <w:tcW w:w="1358" w:type="dxa"/>
            <w:gridSpan w:val="3"/>
            <w:tcBorders>
              <w:bottom w:val="single" w:sz="12" w:space="0" w:color="245AA7"/>
            </w:tcBorders>
            <w:shd w:fill="auto" w:val="clear"/>
            <w:tcMar>
              <w:top w:w="0" w:type="dxa"/>
            </w:tcM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 xml:space="preserve">Non-Equity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Incentive Plan </w:t>
            </w:r>
          </w:p>
          <w:p>
            <w:pPr>
              <w:pStyle w:val="TableContents"/>
              <w:pBdr/>
              <w:spacing w:before="0" w:after="0"/>
              <w:ind w:left="0" w:right="0" w:hanging="0"/>
              <w:jc w:val="center"/>
              <w:rPr>
                <w:rFonts w:ascii="Arial" w:hAnsi="Arial"/>
                <w:b/>
                <w:color w:val="245BA7"/>
                <w:sz w:val="18"/>
              </w:rPr>
            </w:pPr>
            <w:r>
              <w:rPr>
                <w:rFonts w:ascii="Arial" w:hAnsi="Arial"/>
                <w:b/>
                <w:color w:val="245BA7"/>
                <w:sz w:val="18"/>
              </w:rPr>
              <w:t>Compensation ($)</w:t>
            </w:r>
            <w:r>
              <w:rPr>
                <w:rFonts w:ascii="Arial" w:hAnsi="Arial"/>
                <w:b/>
                <w:color w:val="245BA7"/>
                <w:position w:val="6"/>
                <w:sz w:val="14"/>
                <w:sz w:val="18"/>
              </w:rPr>
              <w:t>3</w:t>
            </w:r>
          </w:p>
        </w:tc>
        <w:tc>
          <w:tcPr>
            <w:tcW w:w="1265" w:type="dxa"/>
            <w:gridSpan w:val="2"/>
            <w:tcBorders>
              <w:bottom w:val="single" w:sz="12" w:space="0" w:color="245AA7"/>
            </w:tcBorders>
            <w:shd w:fill="auto" w:val="clear"/>
            <w:tcMar>
              <w:top w:w="0" w:type="dxa"/>
            </w:tcM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 xml:space="preserve">All Other </w:t>
            </w:r>
          </w:p>
          <w:p>
            <w:pPr>
              <w:pStyle w:val="TableContents"/>
              <w:pBdr/>
              <w:spacing w:before="0" w:after="0"/>
              <w:ind w:left="0" w:right="0" w:hanging="0"/>
              <w:jc w:val="center"/>
              <w:rPr>
                <w:rFonts w:ascii="Arial" w:hAnsi="Arial"/>
                <w:b/>
                <w:color w:val="245BA7"/>
                <w:sz w:val="18"/>
              </w:rPr>
            </w:pPr>
            <w:r>
              <w:rPr>
                <w:rFonts w:ascii="Arial" w:hAnsi="Arial"/>
                <w:b/>
                <w:color w:val="245BA7"/>
                <w:sz w:val="18"/>
              </w:rPr>
              <w:t>Compensation</w:t>
            </w:r>
          </w:p>
          <w:p>
            <w:pPr>
              <w:pStyle w:val="TableContents"/>
              <w:pBdr/>
              <w:spacing w:before="15" w:after="0"/>
              <w:ind w:left="0" w:right="0" w:hanging="0"/>
              <w:jc w:val="center"/>
              <w:rPr>
                <w:rFonts w:ascii="Arial" w:hAnsi="Arial"/>
                <w:b/>
                <w:color w:val="245BA7"/>
                <w:sz w:val="18"/>
              </w:rPr>
            </w:pPr>
            <w:r>
              <w:rPr>
                <w:rFonts w:ascii="Arial" w:hAnsi="Arial"/>
                <w:b/>
                <w:color w:val="245BA7"/>
                <w:sz w:val="18"/>
              </w:rPr>
              <w:t>($)</w:t>
            </w:r>
            <w:r>
              <w:rPr>
                <w:rFonts w:ascii="Arial" w:hAnsi="Arial"/>
                <w:b/>
                <w:color w:val="245BA7"/>
                <w:position w:val="6"/>
                <w:sz w:val="14"/>
                <w:sz w:val="18"/>
              </w:rPr>
              <w:t>4</w:t>
            </w:r>
          </w:p>
        </w:tc>
        <w:tc>
          <w:tcPr>
            <w:tcW w:w="1089"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Total ($)</w:t>
            </w:r>
          </w:p>
        </w:tc>
      </w:tr>
      <w:tr>
        <w:trPr/>
        <w:tc>
          <w:tcPr>
            <w:tcW w:w="2957" w:type="dxa"/>
            <w:vMerge w:val="restart"/>
            <w:tcBorders>
              <w:bottom w:val="single" w:sz="2" w:space="0" w:color="000000"/>
            </w:tcBorders>
            <w:shd w:fill="auto" w:val="clear"/>
            <w:tcMar>
              <w:top w:w="0" w:type="dxa"/>
              <w:bottom w:w="28" w:type="dxa"/>
            </w:tcMar>
            <w:vAlign w:val="center"/>
          </w:tcPr>
          <w:p>
            <w:pPr>
              <w:pStyle w:val="TableContents"/>
              <w:pBdr/>
              <w:spacing w:before="0" w:after="15"/>
              <w:ind w:left="15" w:right="0" w:hanging="0"/>
              <w:rPr>
                <w:rFonts w:ascii="Arial" w:hAnsi="Arial"/>
                <w:b/>
                <w:color w:val="D31B5D"/>
                <w:sz w:val="18"/>
              </w:rPr>
            </w:pPr>
            <w:r>
              <w:rPr>
                <w:rFonts w:ascii="Arial" w:hAnsi="Arial"/>
                <w:b/>
                <w:color w:val="D31B5D"/>
                <w:sz w:val="18"/>
              </w:rPr>
              <w:t>Leonard S. Schleifer, M.D., Ph.D.</w:t>
            </w:r>
          </w:p>
          <w:p>
            <w:pPr>
              <w:pStyle w:val="TableContents"/>
              <w:pBdr/>
              <w:spacing w:before="0" w:after="15"/>
              <w:ind w:left="15" w:right="0" w:hanging="0"/>
              <w:rPr>
                <w:rFonts w:ascii="Arial" w:hAnsi="Arial"/>
                <w:b w:val="false"/>
                <w:color w:val="000000"/>
                <w:sz w:val="20"/>
              </w:rPr>
            </w:pPr>
            <w:r>
              <w:rPr>
                <w:rFonts w:ascii="Arial" w:hAnsi="Arial"/>
                <w:b w:val="false"/>
                <w:color w:val="000000"/>
                <w:sz w:val="20"/>
              </w:rPr>
              <w:t>President and Chief Executive Officer</w:t>
            </w:r>
          </w:p>
        </w:tc>
        <w:tc>
          <w:tcPr>
            <w:tcW w:w="45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2022</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1,811,995</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w:t>
            </w:r>
          </w:p>
        </w:tc>
        <w:tc>
          <w:tcPr>
            <w:tcW w:w="83"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4,131,349</w:t>
            </w:r>
          </w:p>
        </w:tc>
        <w:tc>
          <w:tcPr>
            <w:tcW w:w="8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1,060,725</w:t>
            </w:r>
          </w:p>
        </w:tc>
        <w:tc>
          <w:tcPr>
            <w:tcW w:w="28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8"/>
              </w:rPr>
            </w:pPr>
            <w:r>
              <w:rPr>
                <w:rFonts w:ascii="Arial" w:hAnsi="Arial"/>
                <w:color w:val="000000"/>
                <w:position w:val="6"/>
                <w:sz w:val="14"/>
                <w:sz w:val="18"/>
              </w:rPr>
              <w:t>5</w:t>
            </w:r>
            <w:r>
              <w:rPr>
                <w:rFonts w:ascii="Arial" w:hAnsi="Arial"/>
                <w:color w:val="000000"/>
                <w:sz w:val="18"/>
              </w:rPr>
              <w:t> </w:t>
            </w:r>
          </w:p>
        </w:tc>
        <w:tc>
          <w:tcPr>
            <w:tcW w:w="1089"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7,004,069</w:t>
            </w:r>
          </w:p>
        </w:tc>
      </w:tr>
      <w:tr>
        <w:trPr/>
        <w:tc>
          <w:tcPr>
            <w:tcW w:w="2957" w:type="dxa"/>
            <w:vMerge w:val="continue"/>
            <w:tcBorders>
              <w:bottom w:val="single" w:sz="2" w:space="0" w:color="000000"/>
            </w:tcBorders>
            <w:shd w:fill="auto" w:val="clear"/>
            <w:tcMar>
              <w:top w:w="0" w:type="dxa"/>
              <w:bottom w:w="28" w:type="dxa"/>
            </w:tcMar>
            <w:vAlign w:val="center"/>
          </w:tcPr>
          <w:p>
            <w:pPr>
              <w:pStyle w:val="Normal"/>
              <w:rPr/>
            </w:pPr>
            <w:r>
              <w:rPr/>
            </w:r>
          </w:p>
        </w:tc>
        <w:tc>
          <w:tcPr>
            <w:tcW w:w="45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2021</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1,767,800</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w:t>
            </w:r>
          </w:p>
        </w:tc>
        <w:tc>
          <w:tcPr>
            <w:tcW w:w="83"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4,030,584</w:t>
            </w:r>
          </w:p>
        </w:tc>
        <w:tc>
          <w:tcPr>
            <w:tcW w:w="8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672,130</w:t>
            </w:r>
          </w:p>
        </w:tc>
        <w:tc>
          <w:tcPr>
            <w:tcW w:w="28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89"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6,470,514</w:t>
            </w:r>
          </w:p>
        </w:tc>
      </w:tr>
      <w:tr>
        <w:trPr/>
        <w:tc>
          <w:tcPr>
            <w:tcW w:w="2957" w:type="dxa"/>
            <w:vMerge w:val="continue"/>
            <w:tcBorders>
              <w:bottom w:val="single" w:sz="2" w:space="0" w:color="000000"/>
            </w:tcBorders>
            <w:shd w:fill="auto" w:val="clear"/>
            <w:tcMar>
              <w:top w:w="0" w:type="dxa"/>
              <w:bottom w:w="28" w:type="dxa"/>
            </w:tcMar>
            <w:vAlign w:val="center"/>
          </w:tcPr>
          <w:p>
            <w:pPr>
              <w:pStyle w:val="Normal"/>
              <w:rPr/>
            </w:pPr>
            <w:r>
              <w:rPr/>
            </w:r>
          </w:p>
        </w:tc>
        <w:tc>
          <w:tcPr>
            <w:tcW w:w="455"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2020</w:t>
            </w:r>
          </w:p>
        </w:tc>
        <w:tc>
          <w:tcPr>
            <w:tcW w:w="75"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1,480,119</w:t>
            </w:r>
          </w:p>
        </w:tc>
        <w:tc>
          <w:tcPr>
            <w:tcW w:w="75"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130,000,032</w:t>
            </w:r>
          </w:p>
        </w:tc>
        <w:tc>
          <w:tcPr>
            <w:tcW w:w="75"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w:t>
            </w:r>
          </w:p>
        </w:tc>
        <w:tc>
          <w:tcPr>
            <w:tcW w:w="83" w:type="dxa"/>
            <w:tcBorders>
              <w:bottom w:val="single" w:sz="2" w:space="0" w:color="000000"/>
            </w:tcBorders>
            <w:shd w:fill="auto" w:val="clear"/>
            <w:tcMar>
              <w:top w:w="0"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bottom w:val="single" w:sz="2" w:space="0" w:color="000000"/>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3,567,714</w:t>
            </w:r>
          </w:p>
        </w:tc>
        <w:tc>
          <w:tcPr>
            <w:tcW w:w="85"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bottom w:val="single" w:sz="2" w:space="0" w:color="000000"/>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302,256</w:t>
            </w:r>
          </w:p>
        </w:tc>
        <w:tc>
          <w:tcPr>
            <w:tcW w:w="285"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89"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135,350,121</w:t>
            </w:r>
          </w:p>
        </w:tc>
      </w:tr>
      <w:tr>
        <w:trPr/>
        <w:tc>
          <w:tcPr>
            <w:tcW w:w="2957" w:type="dxa"/>
            <w:vMerge w:val="restart"/>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0" w:hanging="0"/>
              <w:rPr>
                <w:rFonts w:ascii="Arial" w:hAnsi="Arial"/>
                <w:b/>
                <w:color w:val="D31B5D"/>
                <w:sz w:val="18"/>
              </w:rPr>
            </w:pPr>
            <w:r>
              <w:rPr>
                <w:rFonts w:ascii="Arial" w:hAnsi="Arial"/>
                <w:b/>
                <w:color w:val="D31B5D"/>
                <w:sz w:val="18"/>
              </w:rPr>
              <w:t xml:space="preserve">George D. Yancopoulos, M.D., Ph.D. </w:t>
              <w:br/>
            </w:r>
            <w:r>
              <w:rPr>
                <w:rFonts w:ascii="Arial" w:hAnsi="Arial"/>
                <w:b w:val="false"/>
                <w:color w:val="000000"/>
                <w:sz w:val="20"/>
              </w:rPr>
              <w:t>President and Chief Scientific Officer</w:t>
            </w:r>
          </w:p>
        </w:tc>
        <w:tc>
          <w:tcPr>
            <w:tcW w:w="45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2022</w:t>
            </w:r>
          </w:p>
        </w:tc>
        <w:tc>
          <w:tcPr>
            <w:tcW w:w="7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1,811,995</w:t>
            </w:r>
          </w:p>
        </w:tc>
        <w:tc>
          <w:tcPr>
            <w:tcW w:w="7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w:t>
            </w:r>
          </w:p>
        </w:tc>
        <w:tc>
          <w:tcPr>
            <w:tcW w:w="7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w:t>
            </w:r>
          </w:p>
        </w:tc>
        <w:tc>
          <w:tcPr>
            <w:tcW w:w="83"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4,131,349</w:t>
            </w:r>
          </w:p>
        </w:tc>
        <w:tc>
          <w:tcPr>
            <w:tcW w:w="8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650,352</w:t>
            </w:r>
          </w:p>
        </w:tc>
        <w:tc>
          <w:tcPr>
            <w:tcW w:w="28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sz w:val="18"/>
              </w:rPr>
            </w:pPr>
            <w:r>
              <w:rPr>
                <w:rFonts w:ascii="Arial" w:hAnsi="Arial"/>
                <w:color w:val="000000"/>
                <w:position w:val="6"/>
                <w:sz w:val="14"/>
                <w:sz w:val="18"/>
              </w:rPr>
              <w:t>6</w:t>
            </w:r>
            <w:r>
              <w:rPr>
                <w:rFonts w:ascii="Arial" w:hAnsi="Arial"/>
                <w:color w:val="000000"/>
                <w:sz w:val="18"/>
              </w:rPr>
              <w:t> </w:t>
            </w:r>
          </w:p>
        </w:tc>
        <w:tc>
          <w:tcPr>
            <w:tcW w:w="108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6,593,696</w:t>
            </w:r>
          </w:p>
        </w:tc>
      </w:tr>
      <w:tr>
        <w:trPr/>
        <w:tc>
          <w:tcPr>
            <w:tcW w:w="2957" w:type="dxa"/>
            <w:vMerge w:val="continue"/>
            <w:tcBorders>
              <w:top w:val="single" w:sz="2" w:space="0" w:color="F2F2F2"/>
              <w:bottom w:val="single" w:sz="2" w:space="0" w:color="000000"/>
            </w:tcBorders>
            <w:shd w:fill="F2F2F2" w:val="clear"/>
            <w:tcMar>
              <w:top w:w="28" w:type="dxa"/>
              <w:bottom w:w="28" w:type="dxa"/>
            </w:tcMar>
            <w:vAlign w:val="center"/>
          </w:tcPr>
          <w:p>
            <w:pPr>
              <w:pStyle w:val="Normal"/>
              <w:rPr/>
            </w:pPr>
            <w:r>
              <w:rPr/>
            </w:r>
          </w:p>
        </w:tc>
        <w:tc>
          <w:tcPr>
            <w:tcW w:w="45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2021</w:t>
            </w:r>
          </w:p>
        </w:tc>
        <w:tc>
          <w:tcPr>
            <w:tcW w:w="7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1,767,800</w:t>
            </w:r>
          </w:p>
        </w:tc>
        <w:tc>
          <w:tcPr>
            <w:tcW w:w="7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w:t>
            </w:r>
          </w:p>
        </w:tc>
        <w:tc>
          <w:tcPr>
            <w:tcW w:w="7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w:t>
            </w:r>
          </w:p>
        </w:tc>
        <w:tc>
          <w:tcPr>
            <w:tcW w:w="83"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4,030,584</w:t>
            </w:r>
          </w:p>
        </w:tc>
        <w:tc>
          <w:tcPr>
            <w:tcW w:w="8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599,980</w:t>
            </w:r>
          </w:p>
        </w:tc>
        <w:tc>
          <w:tcPr>
            <w:tcW w:w="28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108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6,398,364</w:t>
            </w:r>
          </w:p>
        </w:tc>
      </w:tr>
      <w:tr>
        <w:trPr/>
        <w:tc>
          <w:tcPr>
            <w:tcW w:w="2957" w:type="dxa"/>
            <w:vMerge w:val="continue"/>
            <w:tcBorders>
              <w:top w:val="single" w:sz="2" w:space="0" w:color="F2F2F2"/>
              <w:bottom w:val="single" w:sz="2" w:space="0" w:color="000000"/>
            </w:tcBorders>
            <w:shd w:fill="F2F2F2" w:val="clear"/>
            <w:tcMar>
              <w:top w:w="28" w:type="dxa"/>
              <w:bottom w:w="28" w:type="dxa"/>
            </w:tcMar>
            <w:vAlign w:val="center"/>
          </w:tcPr>
          <w:p>
            <w:pPr>
              <w:pStyle w:val="Normal"/>
              <w:rPr/>
            </w:pPr>
            <w:r>
              <w:rPr/>
            </w:r>
          </w:p>
        </w:tc>
        <w:tc>
          <w:tcPr>
            <w:tcW w:w="455"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2020</w:t>
            </w:r>
          </w:p>
        </w:tc>
        <w:tc>
          <w:tcPr>
            <w:tcW w:w="75"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1,258,096</w:t>
            </w:r>
          </w:p>
        </w:tc>
        <w:tc>
          <w:tcPr>
            <w:tcW w:w="75"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130,000,032</w:t>
            </w:r>
          </w:p>
        </w:tc>
        <w:tc>
          <w:tcPr>
            <w:tcW w:w="75"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w:t>
            </w:r>
          </w:p>
        </w:tc>
        <w:tc>
          <w:tcPr>
            <w:tcW w:w="83"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3,004,391</w:t>
            </w:r>
          </w:p>
        </w:tc>
        <w:tc>
          <w:tcPr>
            <w:tcW w:w="85"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120,800</w:t>
            </w:r>
          </w:p>
        </w:tc>
        <w:tc>
          <w:tcPr>
            <w:tcW w:w="285"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1089"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134,383,319</w:t>
            </w:r>
          </w:p>
        </w:tc>
      </w:tr>
      <w:tr>
        <w:trPr/>
        <w:tc>
          <w:tcPr>
            <w:tcW w:w="2957" w:type="dxa"/>
            <w:vMerge w:val="restart"/>
            <w:tcBorders>
              <w:bottom w:val="single" w:sz="2" w:space="0" w:color="000000"/>
            </w:tcBorders>
            <w:shd w:fill="auto" w:val="clear"/>
            <w:tcMar>
              <w:top w:w="0" w:type="dxa"/>
              <w:bottom w:w="28" w:type="dxa"/>
            </w:tcMar>
            <w:vAlign w:val="center"/>
          </w:tcPr>
          <w:p>
            <w:pPr>
              <w:pStyle w:val="TableContents"/>
              <w:pBdr/>
              <w:spacing w:before="0" w:after="15"/>
              <w:ind w:left="15" w:right="0" w:hanging="0"/>
              <w:rPr>
                <w:rFonts w:ascii="Arial" w:hAnsi="Arial"/>
                <w:b/>
                <w:color w:val="D31B5D"/>
                <w:sz w:val="18"/>
              </w:rPr>
            </w:pPr>
            <w:r>
              <w:rPr>
                <w:rFonts w:ascii="Arial" w:hAnsi="Arial"/>
                <w:b/>
                <w:color w:val="D31B5D"/>
                <w:sz w:val="18"/>
              </w:rPr>
              <w:t>Robert E. Landry</w:t>
            </w:r>
          </w:p>
          <w:p>
            <w:pPr>
              <w:pStyle w:val="TableContents"/>
              <w:pBdr/>
              <w:spacing w:before="0" w:after="15"/>
              <w:ind w:left="15" w:right="0" w:hanging="0"/>
              <w:rPr>
                <w:rFonts w:ascii="Arial" w:hAnsi="Arial"/>
                <w:b w:val="false"/>
                <w:color w:val="000000"/>
                <w:sz w:val="20"/>
              </w:rPr>
            </w:pPr>
            <w:r>
              <w:rPr>
                <w:rFonts w:ascii="Arial" w:hAnsi="Arial"/>
                <w:b w:val="false"/>
                <w:color w:val="000000"/>
                <w:sz w:val="20"/>
              </w:rPr>
              <w:t>Executive Vice President, Finance and Chief Financial Officer</w:t>
            </w:r>
          </w:p>
        </w:tc>
        <w:tc>
          <w:tcPr>
            <w:tcW w:w="45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2022</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851,600</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2,799,320</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4,199,713</w:t>
            </w:r>
          </w:p>
        </w:tc>
        <w:tc>
          <w:tcPr>
            <w:tcW w:w="83"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963,160</w:t>
            </w:r>
          </w:p>
        </w:tc>
        <w:tc>
          <w:tcPr>
            <w:tcW w:w="8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24,700</w:t>
            </w:r>
          </w:p>
        </w:tc>
        <w:tc>
          <w:tcPr>
            <w:tcW w:w="28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8"/>
              </w:rPr>
            </w:pPr>
            <w:r>
              <w:rPr>
                <w:rFonts w:ascii="Arial" w:hAnsi="Arial"/>
                <w:color w:val="000000"/>
                <w:position w:val="6"/>
                <w:sz w:val="14"/>
                <w:sz w:val="18"/>
              </w:rPr>
              <w:t>7</w:t>
            </w:r>
            <w:r>
              <w:rPr>
                <w:rFonts w:ascii="Arial" w:hAnsi="Arial"/>
                <w:color w:val="000000"/>
                <w:sz w:val="18"/>
              </w:rPr>
              <w:t> </w:t>
            </w:r>
          </w:p>
        </w:tc>
        <w:tc>
          <w:tcPr>
            <w:tcW w:w="1089"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8,838,493</w:t>
            </w:r>
          </w:p>
        </w:tc>
      </w:tr>
      <w:tr>
        <w:trPr/>
        <w:tc>
          <w:tcPr>
            <w:tcW w:w="2957" w:type="dxa"/>
            <w:vMerge w:val="continue"/>
            <w:tcBorders>
              <w:bottom w:val="single" w:sz="2" w:space="0" w:color="000000"/>
            </w:tcBorders>
            <w:shd w:fill="auto" w:val="clear"/>
            <w:tcMar>
              <w:top w:w="0" w:type="dxa"/>
              <w:bottom w:w="28" w:type="dxa"/>
            </w:tcMar>
            <w:vAlign w:val="center"/>
          </w:tcPr>
          <w:p>
            <w:pPr>
              <w:pStyle w:val="Normal"/>
              <w:rPr/>
            </w:pPr>
            <w:r>
              <w:rPr/>
            </w:r>
          </w:p>
        </w:tc>
        <w:tc>
          <w:tcPr>
            <w:tcW w:w="45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2021</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822,800</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2,559,468</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3,839,805</w:t>
            </w:r>
          </w:p>
        </w:tc>
        <w:tc>
          <w:tcPr>
            <w:tcW w:w="83"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1,052,182</w:t>
            </w:r>
          </w:p>
        </w:tc>
        <w:tc>
          <w:tcPr>
            <w:tcW w:w="8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24,200</w:t>
            </w:r>
          </w:p>
        </w:tc>
        <w:tc>
          <w:tcPr>
            <w:tcW w:w="28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89"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8,298,455</w:t>
            </w:r>
          </w:p>
        </w:tc>
      </w:tr>
      <w:tr>
        <w:trPr/>
        <w:tc>
          <w:tcPr>
            <w:tcW w:w="2957" w:type="dxa"/>
            <w:vMerge w:val="continue"/>
            <w:tcBorders>
              <w:bottom w:val="single" w:sz="2" w:space="0" w:color="000000"/>
            </w:tcBorders>
            <w:shd w:fill="auto" w:val="clear"/>
            <w:tcMar>
              <w:top w:w="0" w:type="dxa"/>
              <w:bottom w:w="28" w:type="dxa"/>
            </w:tcMar>
            <w:vAlign w:val="center"/>
          </w:tcPr>
          <w:p>
            <w:pPr>
              <w:pStyle w:val="Normal"/>
              <w:rPr/>
            </w:pPr>
            <w:r>
              <w:rPr/>
            </w:r>
          </w:p>
        </w:tc>
        <w:tc>
          <w:tcPr>
            <w:tcW w:w="455"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2020</w:t>
            </w:r>
          </w:p>
        </w:tc>
        <w:tc>
          <w:tcPr>
            <w:tcW w:w="75"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825,577</w:t>
            </w:r>
          </w:p>
        </w:tc>
        <w:tc>
          <w:tcPr>
            <w:tcW w:w="75"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949,560</w:t>
            </w:r>
          </w:p>
        </w:tc>
        <w:tc>
          <w:tcPr>
            <w:tcW w:w="75"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3,459,499</w:t>
            </w:r>
          </w:p>
        </w:tc>
        <w:tc>
          <w:tcPr>
            <w:tcW w:w="83" w:type="dxa"/>
            <w:tcBorders>
              <w:bottom w:val="single" w:sz="2" w:space="0" w:color="000000"/>
            </w:tcBorders>
            <w:shd w:fill="auto" w:val="clear"/>
            <w:tcMar>
              <w:top w:w="0"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bottom w:val="single" w:sz="2" w:space="0" w:color="000000"/>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938,872</w:t>
            </w:r>
          </w:p>
        </w:tc>
        <w:tc>
          <w:tcPr>
            <w:tcW w:w="85"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bottom w:val="single" w:sz="2" w:space="0" w:color="000000"/>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24,195</w:t>
            </w:r>
          </w:p>
        </w:tc>
        <w:tc>
          <w:tcPr>
            <w:tcW w:w="285"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89"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6,197,703</w:t>
            </w:r>
          </w:p>
        </w:tc>
      </w:tr>
      <w:tr>
        <w:trPr/>
        <w:tc>
          <w:tcPr>
            <w:tcW w:w="2957" w:type="dxa"/>
            <w:vMerge w:val="restart"/>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0" w:hanging="0"/>
              <w:rPr>
                <w:rFonts w:ascii="Arial" w:hAnsi="Arial"/>
                <w:b/>
                <w:color w:val="D31B5D"/>
                <w:sz w:val="18"/>
              </w:rPr>
            </w:pPr>
            <w:r>
              <w:rPr>
                <w:rFonts w:ascii="Arial" w:hAnsi="Arial"/>
                <w:b/>
                <w:color w:val="D31B5D"/>
                <w:sz w:val="18"/>
              </w:rPr>
              <w:t>Daniel P. Van Plew</w:t>
            </w:r>
          </w:p>
          <w:p>
            <w:pPr>
              <w:pStyle w:val="TableContents"/>
              <w:pBdr/>
              <w:spacing w:before="0" w:after="15"/>
              <w:ind w:left="15" w:right="0" w:hanging="0"/>
              <w:rPr>
                <w:rFonts w:ascii="Arial" w:hAnsi="Arial"/>
                <w:b w:val="false"/>
                <w:color w:val="000000"/>
                <w:sz w:val="20"/>
              </w:rPr>
            </w:pPr>
            <w:r>
              <w:rPr>
                <w:rFonts w:ascii="Arial" w:hAnsi="Arial"/>
                <w:b w:val="false"/>
                <w:color w:val="000000"/>
                <w:sz w:val="20"/>
              </w:rPr>
              <w:t>Executive Vice President and General Manager, Industrial Operations and Product Supply</w:t>
            </w:r>
          </w:p>
        </w:tc>
        <w:tc>
          <w:tcPr>
            <w:tcW w:w="45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2022</w:t>
            </w:r>
          </w:p>
        </w:tc>
        <w:tc>
          <w:tcPr>
            <w:tcW w:w="7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900,000</w:t>
            </w:r>
          </w:p>
        </w:tc>
        <w:tc>
          <w:tcPr>
            <w:tcW w:w="7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2,759,361</w:t>
            </w:r>
          </w:p>
        </w:tc>
        <w:tc>
          <w:tcPr>
            <w:tcW w:w="7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4,139,777</w:t>
            </w:r>
          </w:p>
        </w:tc>
        <w:tc>
          <w:tcPr>
            <w:tcW w:w="83"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1,017,900</w:t>
            </w:r>
          </w:p>
        </w:tc>
        <w:tc>
          <w:tcPr>
            <w:tcW w:w="8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36,499</w:t>
            </w:r>
          </w:p>
        </w:tc>
        <w:tc>
          <w:tcPr>
            <w:tcW w:w="28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sz w:val="18"/>
              </w:rPr>
            </w:pPr>
            <w:r>
              <w:rPr>
                <w:rFonts w:ascii="Arial" w:hAnsi="Arial"/>
                <w:color w:val="000000"/>
                <w:position w:val="6"/>
                <w:sz w:val="14"/>
                <w:sz w:val="18"/>
              </w:rPr>
              <w:t>8</w:t>
            </w:r>
            <w:r>
              <w:rPr>
                <w:rFonts w:ascii="Arial" w:hAnsi="Arial"/>
                <w:color w:val="000000"/>
                <w:sz w:val="18"/>
              </w:rPr>
              <w:t> </w:t>
            </w:r>
          </w:p>
        </w:tc>
        <w:tc>
          <w:tcPr>
            <w:tcW w:w="108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8,853,537</w:t>
            </w:r>
          </w:p>
        </w:tc>
      </w:tr>
      <w:tr>
        <w:trPr/>
        <w:tc>
          <w:tcPr>
            <w:tcW w:w="2957" w:type="dxa"/>
            <w:vMerge w:val="continue"/>
            <w:tcBorders>
              <w:top w:val="single" w:sz="2" w:space="0" w:color="F2F2F2"/>
              <w:bottom w:val="single" w:sz="2" w:space="0" w:color="000000"/>
            </w:tcBorders>
            <w:shd w:fill="F2F2F2" w:val="clear"/>
            <w:tcMar>
              <w:top w:w="28" w:type="dxa"/>
              <w:bottom w:w="28" w:type="dxa"/>
            </w:tcMar>
            <w:vAlign w:val="center"/>
          </w:tcPr>
          <w:p>
            <w:pPr>
              <w:pStyle w:val="Normal"/>
              <w:rPr/>
            </w:pPr>
            <w:r>
              <w:rPr/>
            </w:r>
          </w:p>
        </w:tc>
        <w:tc>
          <w:tcPr>
            <w:tcW w:w="45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2021</w:t>
            </w:r>
          </w:p>
        </w:tc>
        <w:tc>
          <w:tcPr>
            <w:tcW w:w="7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822,800</w:t>
            </w:r>
          </w:p>
        </w:tc>
        <w:tc>
          <w:tcPr>
            <w:tcW w:w="7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2,799,882</w:t>
            </w:r>
          </w:p>
        </w:tc>
        <w:tc>
          <w:tcPr>
            <w:tcW w:w="7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4,199,871</w:t>
            </w:r>
          </w:p>
        </w:tc>
        <w:tc>
          <w:tcPr>
            <w:tcW w:w="83"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930,587</w:t>
            </w:r>
          </w:p>
        </w:tc>
        <w:tc>
          <w:tcPr>
            <w:tcW w:w="8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20,950</w:t>
            </w:r>
          </w:p>
        </w:tc>
        <w:tc>
          <w:tcPr>
            <w:tcW w:w="28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108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8,774,090</w:t>
            </w:r>
          </w:p>
        </w:tc>
      </w:tr>
      <w:tr>
        <w:trPr/>
        <w:tc>
          <w:tcPr>
            <w:tcW w:w="2957" w:type="dxa"/>
            <w:vMerge w:val="continue"/>
            <w:tcBorders>
              <w:top w:val="single" w:sz="2" w:space="0" w:color="F2F2F2"/>
              <w:bottom w:val="single" w:sz="2" w:space="0" w:color="000000"/>
            </w:tcBorders>
            <w:shd w:fill="F2F2F2" w:val="clear"/>
            <w:tcMar>
              <w:top w:w="28" w:type="dxa"/>
              <w:bottom w:w="28" w:type="dxa"/>
            </w:tcMar>
            <w:vAlign w:val="center"/>
          </w:tcPr>
          <w:p>
            <w:pPr>
              <w:pStyle w:val="Normal"/>
              <w:rPr/>
            </w:pPr>
            <w:r>
              <w:rPr/>
            </w:r>
          </w:p>
        </w:tc>
        <w:tc>
          <w:tcPr>
            <w:tcW w:w="455"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2020</w:t>
            </w:r>
          </w:p>
        </w:tc>
        <w:tc>
          <w:tcPr>
            <w:tcW w:w="75"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825,577</w:t>
            </w:r>
          </w:p>
        </w:tc>
        <w:tc>
          <w:tcPr>
            <w:tcW w:w="75"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3,409,560</w:t>
            </w:r>
          </w:p>
        </w:tc>
        <w:tc>
          <w:tcPr>
            <w:tcW w:w="75"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3,459,499</w:t>
            </w:r>
          </w:p>
        </w:tc>
        <w:tc>
          <w:tcPr>
            <w:tcW w:w="83"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938,872</w:t>
            </w:r>
          </w:p>
        </w:tc>
        <w:tc>
          <w:tcPr>
            <w:tcW w:w="85"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20,945</w:t>
            </w:r>
          </w:p>
        </w:tc>
        <w:tc>
          <w:tcPr>
            <w:tcW w:w="285"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1089"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8,654,453</w:t>
            </w:r>
          </w:p>
        </w:tc>
      </w:tr>
      <w:tr>
        <w:trPr/>
        <w:tc>
          <w:tcPr>
            <w:tcW w:w="2957" w:type="dxa"/>
            <w:vMerge w:val="restart"/>
            <w:tcBorders>
              <w:bottom w:val="single" w:sz="2" w:space="0" w:color="000000"/>
            </w:tcBorders>
            <w:shd w:fill="auto" w:val="clear"/>
            <w:tcMar>
              <w:top w:w="0" w:type="dxa"/>
              <w:bottom w:w="28" w:type="dxa"/>
            </w:tcMar>
            <w:vAlign w:val="center"/>
          </w:tcPr>
          <w:p>
            <w:pPr>
              <w:pStyle w:val="TableContents"/>
              <w:pBdr/>
              <w:spacing w:before="0" w:after="15"/>
              <w:ind w:left="15" w:right="0" w:hanging="0"/>
              <w:rPr>
                <w:rFonts w:ascii="Arial" w:hAnsi="Arial"/>
                <w:b/>
                <w:color w:val="D31B5D"/>
                <w:sz w:val="18"/>
              </w:rPr>
            </w:pPr>
            <w:r>
              <w:rPr>
                <w:rFonts w:ascii="Arial" w:hAnsi="Arial"/>
                <w:b/>
                <w:color w:val="D31B5D"/>
                <w:sz w:val="18"/>
              </w:rPr>
              <w:t>Andrew J. Murphy, Ph.D.</w:t>
            </w:r>
          </w:p>
          <w:p>
            <w:pPr>
              <w:pStyle w:val="TableContents"/>
              <w:pBdr/>
              <w:spacing w:before="0" w:after="15"/>
              <w:ind w:left="15" w:right="0" w:hanging="0"/>
              <w:rPr>
                <w:rFonts w:ascii="Arial" w:hAnsi="Arial"/>
                <w:b w:val="false"/>
                <w:color w:val="000000"/>
                <w:sz w:val="20"/>
              </w:rPr>
            </w:pPr>
            <w:r>
              <w:rPr>
                <w:rFonts w:ascii="Arial" w:hAnsi="Arial"/>
                <w:b w:val="false"/>
                <w:color w:val="000000"/>
                <w:sz w:val="20"/>
              </w:rPr>
              <w:t>Executive Vice President, Research</w:t>
            </w:r>
          </w:p>
        </w:tc>
        <w:tc>
          <w:tcPr>
            <w:tcW w:w="45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2022</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750,000</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2,999,842</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4,499,737</w:t>
            </w:r>
          </w:p>
        </w:tc>
        <w:tc>
          <w:tcPr>
            <w:tcW w:w="83"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848,250</w:t>
            </w:r>
          </w:p>
        </w:tc>
        <w:tc>
          <w:tcPr>
            <w:tcW w:w="8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24,700</w:t>
            </w:r>
          </w:p>
        </w:tc>
        <w:tc>
          <w:tcPr>
            <w:tcW w:w="28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8"/>
              </w:rPr>
            </w:pPr>
            <w:r>
              <w:rPr>
                <w:rFonts w:ascii="Arial" w:hAnsi="Arial"/>
                <w:color w:val="000000"/>
                <w:position w:val="6"/>
                <w:sz w:val="14"/>
                <w:sz w:val="18"/>
              </w:rPr>
              <w:t>9</w:t>
            </w:r>
            <w:r>
              <w:rPr>
                <w:rFonts w:ascii="Arial" w:hAnsi="Arial"/>
                <w:color w:val="000000"/>
                <w:sz w:val="18"/>
              </w:rPr>
              <w:t> </w:t>
            </w:r>
          </w:p>
        </w:tc>
        <w:tc>
          <w:tcPr>
            <w:tcW w:w="1089"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9,122,529</w:t>
            </w:r>
          </w:p>
        </w:tc>
      </w:tr>
      <w:tr>
        <w:trPr/>
        <w:tc>
          <w:tcPr>
            <w:tcW w:w="2957" w:type="dxa"/>
            <w:vMerge w:val="continue"/>
            <w:tcBorders>
              <w:bottom w:val="single" w:sz="2" w:space="0" w:color="000000"/>
            </w:tcBorders>
            <w:shd w:fill="auto" w:val="clear"/>
            <w:tcMar>
              <w:top w:w="0" w:type="dxa"/>
              <w:bottom w:w="28" w:type="dxa"/>
            </w:tcMar>
            <w:vAlign w:val="center"/>
          </w:tcPr>
          <w:p>
            <w:pPr>
              <w:pStyle w:val="Normal"/>
              <w:rPr/>
            </w:pPr>
            <w:r>
              <w:rPr/>
            </w:r>
          </w:p>
        </w:tc>
        <w:tc>
          <w:tcPr>
            <w:tcW w:w="45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2021</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724,500</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2,231,397</w:t>
            </w:r>
          </w:p>
        </w:tc>
        <w:tc>
          <w:tcPr>
            <w:tcW w:w="75"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3,347,323</w:t>
            </w:r>
          </w:p>
        </w:tc>
        <w:tc>
          <w:tcPr>
            <w:tcW w:w="83"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819,410</w:t>
            </w:r>
          </w:p>
        </w:tc>
        <w:tc>
          <w:tcPr>
            <w:tcW w:w="8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bottom w:val="single" w:sz="2" w:space="0" w:color="575756"/>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24,200</w:t>
            </w:r>
          </w:p>
        </w:tc>
        <w:tc>
          <w:tcPr>
            <w:tcW w:w="28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89" w:type="dxa"/>
            <w:tcBorders>
              <w:bottom w:val="single" w:sz="2" w:space="0" w:color="575756"/>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7,146,830</w:t>
            </w:r>
          </w:p>
        </w:tc>
      </w:tr>
      <w:tr>
        <w:trPr/>
        <w:tc>
          <w:tcPr>
            <w:tcW w:w="2957" w:type="dxa"/>
            <w:vMerge w:val="continue"/>
            <w:tcBorders>
              <w:bottom w:val="single" w:sz="2" w:space="0" w:color="000000"/>
            </w:tcBorders>
            <w:shd w:fill="auto" w:val="clear"/>
            <w:tcMar>
              <w:top w:w="0" w:type="dxa"/>
              <w:bottom w:w="28" w:type="dxa"/>
            </w:tcMar>
            <w:vAlign w:val="center"/>
          </w:tcPr>
          <w:p>
            <w:pPr>
              <w:pStyle w:val="Normal"/>
              <w:rPr/>
            </w:pPr>
            <w:r>
              <w:rPr/>
            </w:r>
          </w:p>
        </w:tc>
        <w:tc>
          <w:tcPr>
            <w:tcW w:w="455"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2020</w:t>
            </w:r>
          </w:p>
        </w:tc>
        <w:tc>
          <w:tcPr>
            <w:tcW w:w="75"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726,923</w:t>
            </w:r>
          </w:p>
        </w:tc>
        <w:tc>
          <w:tcPr>
            <w:tcW w:w="75"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5,025,288</w:t>
            </w:r>
          </w:p>
        </w:tc>
        <w:tc>
          <w:tcPr>
            <w:tcW w:w="75"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4,335,258</w:t>
            </w:r>
          </w:p>
        </w:tc>
        <w:tc>
          <w:tcPr>
            <w:tcW w:w="83" w:type="dxa"/>
            <w:tcBorders>
              <w:bottom w:val="single" w:sz="2" w:space="0" w:color="000000"/>
            </w:tcBorders>
            <w:shd w:fill="auto" w:val="clear"/>
            <w:tcMar>
              <w:top w:w="0"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bottom w:val="single" w:sz="2" w:space="0" w:color="000000"/>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887,250</w:t>
            </w:r>
          </w:p>
        </w:tc>
        <w:tc>
          <w:tcPr>
            <w:tcW w:w="85"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bottom w:val="single" w:sz="2" w:space="0" w:color="000000"/>
            </w:tcBorders>
            <w:shd w:fill="auto" w:val="clear"/>
            <w:tcMar>
              <w:top w:w="0"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24,195</w:t>
            </w:r>
          </w:p>
        </w:tc>
        <w:tc>
          <w:tcPr>
            <w:tcW w:w="285"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89" w:type="dxa"/>
            <w:tcBorders>
              <w:bottom w:val="single" w:sz="2" w:space="0" w:color="000000"/>
            </w:tcBorders>
            <w:shd w:fill="auto" w:val="clear"/>
            <w:tcMar>
              <w:top w:w="0"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10,998,914</w:t>
            </w:r>
          </w:p>
        </w:tc>
      </w:tr>
      <w:tr>
        <w:trPr/>
        <w:tc>
          <w:tcPr>
            <w:tcW w:w="2957"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15"/>
              <w:ind w:left="15" w:right="0" w:hanging="0"/>
              <w:rPr>
                <w:rFonts w:ascii="Arial" w:hAnsi="Arial"/>
                <w:b/>
                <w:color w:val="D31B5D"/>
                <w:sz w:val="18"/>
              </w:rPr>
            </w:pPr>
            <w:r>
              <w:rPr>
                <w:rFonts w:ascii="Arial" w:hAnsi="Arial"/>
                <w:b/>
                <w:color w:val="D31B5D"/>
                <w:sz w:val="18"/>
              </w:rPr>
              <w:t>Marion McCourt</w:t>
            </w:r>
          </w:p>
          <w:p>
            <w:pPr>
              <w:pStyle w:val="TableContents"/>
              <w:pBdr/>
              <w:spacing w:before="0" w:after="15"/>
              <w:ind w:left="15" w:right="0" w:hanging="0"/>
              <w:rPr>
                <w:rFonts w:ascii="Arial" w:hAnsi="Arial"/>
                <w:b w:val="false"/>
                <w:color w:val="000000"/>
                <w:sz w:val="20"/>
              </w:rPr>
            </w:pPr>
            <w:r>
              <w:rPr>
                <w:rFonts w:ascii="Arial" w:hAnsi="Arial"/>
                <w:b w:val="false"/>
                <w:color w:val="000000"/>
                <w:sz w:val="20"/>
              </w:rPr>
              <w:t>Executive Vice President, Commercial</w:t>
            </w:r>
            <w:r>
              <w:rPr>
                <w:rFonts w:ascii="Arial" w:hAnsi="Arial"/>
                <w:b w:val="false"/>
                <w:color w:val="000000"/>
                <w:position w:val="6"/>
                <w:sz w:val="16"/>
                <w:sz w:val="20"/>
              </w:rPr>
              <w:t>10</w:t>
            </w:r>
          </w:p>
        </w:tc>
        <w:tc>
          <w:tcPr>
            <w:tcW w:w="455"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2022</w:t>
            </w:r>
          </w:p>
        </w:tc>
        <w:tc>
          <w:tcPr>
            <w:tcW w:w="75"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883"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706,300</w:t>
            </w:r>
          </w:p>
        </w:tc>
        <w:tc>
          <w:tcPr>
            <w:tcW w:w="75"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1070"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2,159,974</w:t>
            </w:r>
          </w:p>
        </w:tc>
        <w:tc>
          <w:tcPr>
            <w:tcW w:w="75"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15"/>
              <w:ind w:left="15" w:right="15" w:hanging="0"/>
              <w:jc w:val="right"/>
              <w:rPr>
                <w:color w:val="000000"/>
              </w:rPr>
            </w:pPr>
            <w:r>
              <w:rPr>
                <w:color w:val="000000"/>
              </w:rPr>
              <w:t> </w:t>
            </w:r>
          </w:p>
        </w:tc>
        <w:tc>
          <w:tcPr>
            <w:tcW w:w="903"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3,239,703</w:t>
            </w:r>
          </w:p>
        </w:tc>
        <w:tc>
          <w:tcPr>
            <w:tcW w:w="83"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15"/>
              <w:ind w:left="15" w:right="0" w:hanging="0"/>
              <w:jc w:val="right"/>
              <w:rPr>
                <w:color w:val="000000"/>
              </w:rPr>
            </w:pPr>
            <w:r>
              <w:rPr>
                <w:color w:val="000000"/>
              </w:rPr>
              <w:t> </w:t>
            </w:r>
          </w:p>
        </w:tc>
        <w:tc>
          <w:tcPr>
            <w:tcW w:w="1190"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780,462</w:t>
            </w:r>
          </w:p>
        </w:tc>
        <w:tc>
          <w:tcPr>
            <w:tcW w:w="85"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80"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15"/>
              <w:ind w:left="15" w:right="0" w:hanging="0"/>
              <w:jc w:val="right"/>
              <w:rPr>
                <w:rFonts w:ascii="Arial" w:hAnsi="Arial"/>
                <w:color w:val="000000"/>
                <w:sz w:val="18"/>
              </w:rPr>
            </w:pPr>
            <w:r>
              <w:rPr>
                <w:rFonts w:ascii="Arial" w:hAnsi="Arial"/>
                <w:color w:val="000000"/>
                <w:sz w:val="18"/>
              </w:rPr>
              <w:t>13,500</w:t>
            </w:r>
          </w:p>
        </w:tc>
        <w:tc>
          <w:tcPr>
            <w:tcW w:w="285"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15"/>
              <w:ind w:left="0" w:right="0" w:hanging="0"/>
              <w:rPr>
                <w:rFonts w:ascii="Arial" w:hAnsi="Arial"/>
                <w:color w:val="000000"/>
                <w:sz w:val="18"/>
              </w:rPr>
            </w:pPr>
            <w:r>
              <w:rPr>
                <w:rFonts w:ascii="Arial" w:hAnsi="Arial"/>
                <w:color w:val="000000"/>
                <w:position w:val="6"/>
                <w:sz w:val="14"/>
                <w:sz w:val="18"/>
              </w:rPr>
              <w:t>11</w:t>
            </w:r>
            <w:r>
              <w:rPr>
                <w:rFonts w:ascii="Arial" w:hAnsi="Arial"/>
                <w:color w:val="000000"/>
                <w:sz w:val="18"/>
              </w:rPr>
              <w:t> </w:t>
            </w:r>
          </w:p>
        </w:tc>
        <w:tc>
          <w:tcPr>
            <w:tcW w:w="1089"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15"/>
              <w:ind w:left="15" w:right="15" w:hanging="0"/>
              <w:jc w:val="right"/>
              <w:rPr>
                <w:rFonts w:ascii="Arial" w:hAnsi="Arial"/>
                <w:color w:val="000000"/>
                <w:sz w:val="18"/>
              </w:rPr>
            </w:pPr>
            <w:r>
              <w:rPr>
                <w:rFonts w:ascii="Arial" w:hAnsi="Arial"/>
                <w:color w:val="000000"/>
                <w:sz w:val="18"/>
              </w:rPr>
              <w:t>6,899,939</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w:t>
            </w:r>
          </w:p>
          <w:p>
            <w:pPr>
              <w:pStyle w:val="TableContents"/>
              <w:pBdr/>
              <w:spacing w:before="0" w:after="0"/>
              <w:ind w:left="0" w:right="30" w:hanging="0"/>
              <w:rPr>
                <w:rFonts w:ascii="Arial" w:hAnsi="Arial"/>
                <w:color w:val="000000"/>
                <w:sz w:val="20"/>
              </w:rPr>
            </w:pPr>
            <w:r>
              <w:rPr>
                <w:rFonts w:ascii="Arial" w:hAnsi="Arial"/>
                <w:color w:val="000000"/>
                <w:sz w:val="20"/>
              </w:rPr>
              <w:t>The reported salary amounts for 2020 give effect to a 27</w:t>
            </w:r>
            <w:r>
              <w:rPr>
                <w:rFonts w:ascii="Arial" w:hAnsi="Arial"/>
                <w:color w:val="000000"/>
                <w:sz w:val="12"/>
              </w:rPr>
              <w:t>th</w:t>
            </w:r>
            <w:r>
              <w:rPr>
                <w:rFonts w:ascii="Arial" w:hAnsi="Arial"/>
                <w:color w:val="000000"/>
                <w:sz w:val="20"/>
              </w:rPr>
              <w:t xml:space="preserve"> pay period in 2020 as a result of the Company’s payroll schedule, which was accelerated to avoid a delayed funds disbursement. This resulted in each NEO receiving one additional paycheck in 2020 based on the base salaries then in effect.</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2</w:t>
            </w:r>
          </w:p>
          <w:p>
            <w:pPr>
              <w:pStyle w:val="TableContents"/>
              <w:pBdr/>
              <w:spacing w:before="0" w:after="0"/>
              <w:ind w:left="0" w:right="30" w:hanging="0"/>
              <w:rPr>
                <w:rFonts w:ascii="Arial" w:hAnsi="Arial"/>
                <w:color w:val="000000"/>
                <w:sz w:val="20"/>
              </w:rPr>
            </w:pPr>
            <w:r>
              <w:rPr>
                <w:rFonts w:ascii="Arial" w:hAnsi="Arial"/>
                <w:color w:val="000000"/>
                <w:sz w:val="20"/>
              </w:rPr>
              <w:t>The amounts in columns E and F reflect the respective aggregate grant date fair values (disregarding estimated forfeitures) of PSUs or RSAs (as applicable) and stock option awards granted in 2022, 2021, and 2020, respectively, pursuant to the Second Amended and Restated Regeneron Pharmaceuticals, Inc. 2014 Long-Term Incentive Plan. Valuation assumptions and methodologies used in the calculation of these amounts for 2022 are included in Note 13 to the Company’s audited financial statements for the fiscal year ended December 31, 2022, included in the 2022 Annual Report.</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3</w:t>
            </w:r>
          </w:p>
          <w:p>
            <w:pPr>
              <w:pStyle w:val="TableContents"/>
              <w:pBdr/>
              <w:spacing w:before="0" w:after="0"/>
              <w:ind w:left="0" w:right="30" w:hanging="0"/>
              <w:rPr>
                <w:rFonts w:ascii="Arial" w:hAnsi="Arial"/>
                <w:color w:val="000000"/>
                <w:sz w:val="20"/>
              </w:rPr>
            </w:pPr>
            <w:r>
              <w:rPr>
                <w:rFonts w:ascii="Arial" w:hAnsi="Arial"/>
                <w:color w:val="000000"/>
                <w:sz w:val="20"/>
              </w:rPr>
              <w:t>Non-equity incentive plan compensation amounts (consisting of cash incentives paid to the NEOs in respect of the relevant year under the Regeneron Pharmaceuticals, Inc. Cash Incentive Bonus Plan) are shown in the year in which they were accrued and earned.</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4</w:t>
            </w:r>
          </w:p>
          <w:p>
            <w:pPr>
              <w:pStyle w:val="TableContents"/>
              <w:pBdr/>
              <w:spacing w:before="0" w:after="0"/>
              <w:ind w:left="0" w:right="30" w:hanging="0"/>
              <w:rPr>
                <w:rFonts w:ascii="Arial" w:hAnsi="Arial"/>
                <w:color w:val="000000"/>
                <w:sz w:val="20"/>
              </w:rPr>
            </w:pPr>
            <w:r>
              <w:rPr>
                <w:rFonts w:ascii="Arial" w:hAnsi="Arial"/>
                <w:color w:val="000000"/>
                <w:sz w:val="20"/>
              </w:rPr>
              <w:t>See the subsection “Additional Compensation Information—Perquisites and Personal Benefits” below for further information. Certain 2022 perquisites and other personal benefits are quantified for each of the NEOs in the footnotes to this table below based on the actual additional cost incurred by us in providing the perquisite or other personal benefit.</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5</w:t>
            </w:r>
          </w:p>
          <w:p>
            <w:pPr>
              <w:pStyle w:val="TableContents"/>
              <w:pBdr/>
              <w:spacing w:before="0" w:after="0"/>
              <w:ind w:left="0" w:right="30" w:hanging="0"/>
              <w:rPr>
                <w:rFonts w:ascii="Arial" w:hAnsi="Arial"/>
                <w:color w:val="000000"/>
                <w:sz w:val="20"/>
              </w:rPr>
            </w:pPr>
            <w:r>
              <w:rPr>
                <w:rFonts w:ascii="Arial" w:hAnsi="Arial"/>
                <w:color w:val="000000"/>
                <w:sz w:val="20"/>
              </w:rPr>
              <w:t>Consists of (i) $20,724 for life insurance premiums, (ii) $7,887 for disability insurance premiums, (iii) $28,158 for medical malpractice insurance premiums, (iv) $13,500 for 401(k) Savings Plan matching contributions in respect of 2022, (v) $11,200 for tax and financial planning advisory services, (vi) $220,551 for personal use of Company-provided aircraft, and (vii) $758,705 for secure car transportation/personal and residential security services (in the case of clauses (vi)-(vii), in accordance with our security policy and calculated as described in the subsection “Additional Compensation Information—Perquisites and Personal Benefits” below).</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6</w:t>
            </w:r>
          </w:p>
          <w:p>
            <w:pPr>
              <w:pStyle w:val="TableContents"/>
              <w:pBdr/>
              <w:spacing w:before="0" w:after="0"/>
              <w:ind w:left="0" w:right="30" w:hanging="0"/>
              <w:rPr>
                <w:rFonts w:ascii="Arial" w:hAnsi="Arial"/>
                <w:color w:val="000000"/>
                <w:sz w:val="20"/>
              </w:rPr>
            </w:pPr>
            <w:r>
              <w:rPr>
                <w:rFonts w:ascii="Arial" w:hAnsi="Arial"/>
                <w:color w:val="000000"/>
                <w:sz w:val="20"/>
              </w:rPr>
              <w:t>Consists of (i) $13,500 for 401(k) Savings Plan matching contributions in respect of 2022, (ii) $2,200 for tax and financial planning advisory services, (iii) $250,000 for personal use of Company-provided aircraft, and (iv) $384,652 for secure car transportation/personal and residential security services (in the case of clauses (iii)-(iv), in accordance with our security policy and calculated as described in the subsection “Additional Compensation Information—Perquisites and Personal Benefits” below).</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7</w:t>
            </w:r>
          </w:p>
          <w:p>
            <w:pPr>
              <w:pStyle w:val="TableContents"/>
              <w:pBdr/>
              <w:spacing w:before="0" w:after="0"/>
              <w:ind w:left="0" w:right="30" w:hanging="0"/>
              <w:rPr>
                <w:rFonts w:ascii="Arial" w:hAnsi="Arial"/>
                <w:color w:val="000000"/>
                <w:sz w:val="20"/>
              </w:rPr>
            </w:pPr>
            <w:r>
              <w:rPr>
                <w:rFonts w:ascii="Arial" w:hAnsi="Arial"/>
                <w:color w:val="000000"/>
                <w:sz w:val="20"/>
              </w:rPr>
              <w:t>Consists of (i) $13,500 for 401(k) Savings Plan matching contributions in respect of 2022 and (ii) $11,200 for tax and financial planning advisory services.</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8</w:t>
            </w:r>
          </w:p>
          <w:p>
            <w:pPr>
              <w:pStyle w:val="TableContents"/>
              <w:pBdr/>
              <w:spacing w:before="0" w:after="0"/>
              <w:ind w:left="0" w:right="30" w:hanging="0"/>
              <w:rPr>
                <w:rFonts w:ascii="Arial" w:hAnsi="Arial"/>
                <w:color w:val="000000"/>
                <w:sz w:val="20"/>
              </w:rPr>
            </w:pPr>
            <w:r>
              <w:rPr>
                <w:rFonts w:ascii="Arial" w:hAnsi="Arial"/>
                <w:color w:val="000000"/>
                <w:sz w:val="20"/>
              </w:rPr>
              <w:t>Consists of (i) $10,250 for 401(k) Savings Plan matching contributions in respect of 2022, (ii) $11,200 for tax and financial planning advisory services, and (iii) $15,049 for temporary home residence security monitoring services (in the case of clause (iii), calculated as described in the subsection “Additional Compensation Information—Perquisites and Personal Benefits” below).</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9</w:t>
            </w:r>
          </w:p>
          <w:p>
            <w:pPr>
              <w:pStyle w:val="TableContents"/>
              <w:pBdr/>
              <w:spacing w:before="0" w:after="0"/>
              <w:ind w:left="0" w:right="30" w:hanging="0"/>
              <w:rPr>
                <w:rFonts w:ascii="Arial" w:hAnsi="Arial"/>
                <w:color w:val="000000"/>
                <w:sz w:val="20"/>
              </w:rPr>
            </w:pPr>
            <w:r>
              <w:rPr>
                <w:rFonts w:ascii="Arial" w:hAnsi="Arial"/>
                <w:color w:val="000000"/>
                <w:sz w:val="20"/>
              </w:rPr>
              <w:t>Consists of $13,500 for 401(k) Savings Plan matching contributions in respect of 2022 and (ii) $11,200 for tax and financial planning advisory services.</w:t>
            </w:r>
          </w:p>
        </w:tc>
      </w:tr>
    </w:tbl>
    <w:tbl>
      <w:tblPr>
        <w:tblW w:w="6076" w:type="dxa"/>
        <w:jc w:val="left"/>
        <w:tblInd w:w="0" w:type="dxa"/>
        <w:tblCellMar>
          <w:top w:w="28" w:type="dxa"/>
          <w:left w:w="28" w:type="dxa"/>
          <w:bottom w:w="28" w:type="dxa"/>
          <w:right w:w="28" w:type="dxa"/>
        </w:tblCellMar>
      </w:tblPr>
      <w:tblGrid>
        <w:gridCol w:w="6076"/>
      </w:tblGrid>
      <w:tr>
        <w:trPr/>
        <w:tc>
          <w:tcPr>
            <w:tcW w:w="6076"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10</w:t>
            </w:r>
          </w:p>
          <w:p>
            <w:pPr>
              <w:pStyle w:val="TableContents"/>
              <w:pBdr/>
              <w:spacing w:before="0" w:after="0"/>
              <w:ind w:left="0" w:right="30" w:hanging="0"/>
              <w:rPr>
                <w:rFonts w:ascii="Arial" w:hAnsi="Arial"/>
                <w:color w:val="000000"/>
                <w:sz w:val="20"/>
              </w:rPr>
            </w:pPr>
            <w:r>
              <w:rPr>
                <w:rFonts w:ascii="Arial" w:hAnsi="Arial"/>
                <w:color w:val="000000"/>
                <w:sz w:val="20"/>
              </w:rPr>
              <w:t>Ms. McCourt qualified as an NEO for 2022 but not for 2021 or 2020.</w:t>
            </w:r>
          </w:p>
        </w:tc>
      </w:tr>
    </w:tbl>
    <w:tbl>
      <w:tblPr>
        <w:tblW w:w="7741" w:type="dxa"/>
        <w:jc w:val="left"/>
        <w:tblInd w:w="0" w:type="dxa"/>
        <w:tblCellMar>
          <w:top w:w="28" w:type="dxa"/>
          <w:left w:w="28" w:type="dxa"/>
          <w:bottom w:w="28" w:type="dxa"/>
          <w:right w:w="28" w:type="dxa"/>
        </w:tblCellMar>
      </w:tblPr>
      <w:tblGrid>
        <w:gridCol w:w="7741"/>
      </w:tblGrid>
      <w:tr>
        <w:trPr/>
        <w:tc>
          <w:tcPr>
            <w:tcW w:w="7741"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11</w:t>
            </w:r>
          </w:p>
          <w:p>
            <w:pPr>
              <w:pStyle w:val="TableContents"/>
              <w:pBdr/>
              <w:spacing w:before="0" w:after="0"/>
              <w:ind w:left="0" w:right="30" w:hanging="0"/>
              <w:rPr>
                <w:rFonts w:ascii="Arial" w:hAnsi="Arial"/>
                <w:color w:val="000000"/>
                <w:sz w:val="20"/>
              </w:rPr>
            </w:pPr>
            <w:r>
              <w:rPr>
                <w:rFonts w:ascii="Arial" w:hAnsi="Arial"/>
                <w:color w:val="000000"/>
                <w:sz w:val="20"/>
              </w:rPr>
              <w:t>Consists of $13,500 for 401(k) Savings Plan matching contributions in respect of 2022.</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82"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14" descr=""/>
                          <pic:cNvPicPr>
                            <a:picLocks noChangeAspect="1" noChangeArrowheads="1"/>
                          </pic:cNvPicPr>
                        </pic:nvPicPr>
                        <pic:blipFill>
                          <a:blip r:embed="rId215"/>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79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3"/>
        <w:pBdr/>
        <w:spacing w:before="0" w:after="150"/>
        <w:ind w:left="0" w:right="0" w:hanging="0"/>
        <w:rPr>
          <w:rFonts w:ascii="Arial" w:hAnsi="Arial"/>
          <w:b/>
          <w:i w:val="false"/>
          <w:caps w:val="false"/>
          <w:smallCaps w:val="false"/>
          <w:color w:val="D31B5D"/>
          <w:sz w:val="30"/>
        </w:rPr>
      </w:pPr>
      <w:bookmarkStart w:id="150" w:name="new_id-141"/>
      <w:bookmarkEnd w:id="150"/>
      <w:r>
        <w:rPr>
          <w:rFonts w:ascii="Arial" w:hAnsi="Arial"/>
          <w:b/>
          <w:i w:val="false"/>
          <w:caps w:val="false"/>
          <w:smallCaps w:val="false"/>
          <w:color w:val="D31B5D"/>
          <w:sz w:val="30"/>
        </w:rPr>
        <w:t xml:space="preserve">2022 GRANTS OF PLAN-BASED AWARDS </w:t>
      </w:r>
    </w:p>
    <w:p>
      <w:pPr>
        <w:pStyle w:val="TextBody"/>
        <w:pBdr/>
        <w:spacing w:before="0" w:after="210"/>
        <w:ind w:left="0" w:right="0" w:hanging="0"/>
        <w:rPr>
          <w:rFonts w:ascii="Arial" w:hAnsi="Arial"/>
          <w:color w:val="000000"/>
          <w:sz w:val="21"/>
        </w:rPr>
      </w:pPr>
      <w:r>
        <w:rPr>
          <w:rFonts w:ascii="Arial" w:hAnsi="Arial"/>
          <w:color w:val="000000"/>
          <w:sz w:val="21"/>
        </w:rPr>
        <w:t xml:space="preserve">The following table and explanatory footnotes provide information regarding the annual cash incentive and equity awards granted to our NEOs during 2022. </w:t>
      </w:r>
    </w:p>
    <w:tbl>
      <w:tblPr>
        <w:tblW w:w="10205" w:type="dxa"/>
        <w:jc w:val="left"/>
        <w:tblInd w:w="0" w:type="dxa"/>
        <w:tblCellMar>
          <w:top w:w="45" w:type="dxa"/>
          <w:left w:w="0" w:type="dxa"/>
          <w:bottom w:w="75" w:type="dxa"/>
          <w:right w:w="0" w:type="dxa"/>
        </w:tblCellMar>
      </w:tblPr>
      <w:tblGrid>
        <w:gridCol w:w="1422"/>
        <w:gridCol w:w="583"/>
        <w:gridCol w:w="180"/>
        <w:gridCol w:w="957"/>
        <w:gridCol w:w="921"/>
        <w:gridCol w:w="941"/>
        <w:gridCol w:w="758"/>
        <w:gridCol w:w="995"/>
        <w:gridCol w:w="881"/>
        <w:gridCol w:w="1233"/>
        <w:gridCol w:w="1334"/>
      </w:tblGrid>
      <w:tr>
        <w:trPr/>
        <w:tc>
          <w:tcPr>
            <w:tcW w:w="1422" w:type="dxa"/>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A</w:t>
            </w:r>
          </w:p>
        </w:tc>
        <w:tc>
          <w:tcPr>
            <w:tcW w:w="583"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i w:val="false"/>
                <w:caps w:val="false"/>
                <w:smallCaps w:val="false"/>
                <w:color w:val="245BA7"/>
                <w:sz w:val="18"/>
              </w:rPr>
            </w:pPr>
            <w:r>
              <w:rPr>
                <w:rFonts w:ascii="Arial" w:hAnsi="Arial"/>
                <w:b/>
                <w:i w:val="false"/>
                <w:caps w:val="false"/>
                <w:smallCaps w:val="false"/>
                <w:color w:val="245BA7"/>
                <w:sz w:val="18"/>
              </w:rPr>
              <w:t>B</w:t>
            </w:r>
          </w:p>
        </w:tc>
        <w:tc>
          <w:tcPr>
            <w:tcW w:w="180" w:type="dxa"/>
            <w:tcBorders>
              <w:top w:val="single" w:sz="2" w:space="0" w:color="245BA7"/>
              <w:bottom w:val="single" w:sz="2" w:space="0" w:color="245BA7"/>
            </w:tcBorders>
            <w:shd w:fill="auto" w:val="clear"/>
            <w:tcMar>
              <w:top w:w="28" w:type="dxa"/>
              <w:bottom w:w="28" w:type="dxa"/>
            </w:tcMar>
            <w:vAlign w:val="center"/>
          </w:tcPr>
          <w:p>
            <w:pPr>
              <w:pStyle w:val="TableContents"/>
              <w:pBdr/>
              <w:spacing w:before="15" w:after="0"/>
              <w:ind w:left="15" w:right="15" w:hanging="0"/>
              <w:jc w:val="left"/>
              <w:rPr>
                <w:caps w:val="false"/>
                <w:smallCaps w:val="false"/>
                <w:color w:val="245BA7"/>
              </w:rPr>
            </w:pPr>
            <w:r>
              <w:rPr>
                <w:caps w:val="false"/>
                <w:smallCaps w:val="false"/>
                <w:color w:val="245BA7"/>
              </w:rPr>
              <w:t> </w:t>
            </w:r>
          </w:p>
        </w:tc>
        <w:tc>
          <w:tcPr>
            <w:tcW w:w="957"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C</w:t>
            </w:r>
          </w:p>
        </w:tc>
        <w:tc>
          <w:tcPr>
            <w:tcW w:w="921"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D</w:t>
            </w:r>
          </w:p>
        </w:tc>
        <w:tc>
          <w:tcPr>
            <w:tcW w:w="941"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E</w:t>
            </w:r>
          </w:p>
        </w:tc>
        <w:tc>
          <w:tcPr>
            <w:tcW w:w="758"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I</w:t>
            </w:r>
          </w:p>
        </w:tc>
        <w:tc>
          <w:tcPr>
            <w:tcW w:w="995"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J</w:t>
            </w:r>
          </w:p>
        </w:tc>
        <w:tc>
          <w:tcPr>
            <w:tcW w:w="881"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K</w:t>
            </w:r>
          </w:p>
        </w:tc>
        <w:tc>
          <w:tcPr>
            <w:tcW w:w="1233"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334"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L</w:t>
            </w:r>
          </w:p>
        </w:tc>
      </w:tr>
      <w:tr>
        <w:trPr/>
        <w:tc>
          <w:tcPr>
            <w:tcW w:w="2185" w:type="dxa"/>
            <w:gridSpan w:val="3"/>
            <w:tcBorders/>
            <w:shd w:fill="auto" w:val="clear"/>
            <w:tcMar>
              <w:top w:w="0" w:type="dxa"/>
              <w:bottom w:w="0" w:type="dxa"/>
            </w:tcMar>
            <w:vAlign w:val="center"/>
          </w:tcPr>
          <w:p>
            <w:pPr>
              <w:pStyle w:val="TableContents"/>
              <w:pBdr/>
              <w:spacing w:before="15" w:after="0"/>
              <w:ind w:left="0" w:right="0" w:hanging="0"/>
              <w:jc w:val="center"/>
              <w:rPr>
                <w:color w:val="000000"/>
              </w:rPr>
            </w:pPr>
            <w:r>
              <w:rPr>
                <w:color w:val="000000"/>
              </w:rPr>
              <w:t> </w:t>
            </w:r>
          </w:p>
        </w:tc>
        <w:tc>
          <w:tcPr>
            <w:tcW w:w="2819" w:type="dxa"/>
            <w:gridSpan w:val="3"/>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Estimated Possible Payouts Under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Non-Equity Incentive Plan Awards</w:t>
            </w:r>
            <w:r>
              <w:rPr>
                <w:rFonts w:ascii="Arial" w:hAnsi="Arial"/>
                <w:b/>
                <w:color w:val="245BA7"/>
                <w:position w:val="6"/>
                <w:sz w:val="14"/>
                <w:sz w:val="18"/>
              </w:rPr>
              <w:t>1</w:t>
            </w:r>
            <w:r>
              <w:rPr>
                <w:rFonts w:ascii="Arial" w:hAnsi="Arial"/>
                <w:b/>
                <w:color w:val="245BA7"/>
                <w:sz w:val="18"/>
              </w:rPr>
              <w:t xml:space="preserve"> </w:t>
            </w:r>
          </w:p>
        </w:tc>
        <w:tc>
          <w:tcPr>
            <w:tcW w:w="758" w:type="dxa"/>
            <w:vMerge w:val="restart"/>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All other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stock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awards: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number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shares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stock or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units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995" w:type="dxa"/>
            <w:vMerge w:val="restart"/>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All other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option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awards: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number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securities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underlying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options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881" w:type="dxa"/>
            <w:vMerge w:val="restart"/>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Exercise or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base price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option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awards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($/Sh)</w:t>
            </w:r>
            <w:r>
              <w:rPr>
                <w:rFonts w:ascii="Arial" w:hAnsi="Arial"/>
                <w:b/>
                <w:color w:val="245BA7"/>
                <w:position w:val="6"/>
                <w:sz w:val="14"/>
                <w:sz w:val="18"/>
              </w:rPr>
              <w:t>2</w:t>
            </w:r>
            <w:r>
              <w:rPr>
                <w:rFonts w:ascii="Arial" w:hAnsi="Arial"/>
                <w:b/>
                <w:color w:val="245BA7"/>
                <w:sz w:val="18"/>
              </w:rPr>
              <w:t xml:space="preserve"> </w:t>
            </w:r>
          </w:p>
        </w:tc>
        <w:tc>
          <w:tcPr>
            <w:tcW w:w="1233" w:type="dxa"/>
            <w:vMerge w:val="restart"/>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Closing price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of Company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common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stock on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grant date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($/Sh)</w:t>
            </w:r>
            <w:r>
              <w:rPr>
                <w:rFonts w:ascii="Arial" w:hAnsi="Arial"/>
                <w:b/>
                <w:color w:val="245BA7"/>
                <w:position w:val="6"/>
                <w:sz w:val="14"/>
                <w:sz w:val="18"/>
              </w:rPr>
              <w:t>2</w:t>
            </w:r>
          </w:p>
        </w:tc>
        <w:tc>
          <w:tcPr>
            <w:tcW w:w="1334" w:type="dxa"/>
            <w:vMerge w:val="restart"/>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Grant date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fair value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stock and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option awards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r>
              <w:rPr>
                <w:rFonts w:ascii="Arial" w:hAnsi="Arial"/>
                <w:b/>
                <w:color w:val="245BA7"/>
                <w:position w:val="6"/>
                <w:sz w:val="14"/>
                <w:sz w:val="18"/>
              </w:rPr>
              <w:t>3</w:t>
            </w:r>
          </w:p>
        </w:tc>
      </w:tr>
      <w:tr>
        <w:trPr/>
        <w:tc>
          <w:tcPr>
            <w:tcW w:w="1422" w:type="dxa"/>
            <w:tcBorders>
              <w:bottom w:val="single" w:sz="12" w:space="0" w:color="245AA7"/>
            </w:tcBorders>
            <w:shd w:fill="auto" w:val="clear"/>
            <w:tcMar>
              <w:top w:w="0" w:type="dxa"/>
            </w:tcMar>
            <w:vAlign w:val="center"/>
          </w:tcPr>
          <w:p>
            <w:pPr>
              <w:pStyle w:val="TableContents"/>
              <w:pBdr/>
              <w:spacing w:before="15" w:after="0"/>
              <w:ind w:left="15" w:right="15" w:hanging="0"/>
              <w:rPr>
                <w:rFonts w:ascii="Arial" w:hAnsi="Arial"/>
                <w:b/>
                <w:color w:val="245BA7"/>
                <w:sz w:val="18"/>
              </w:rPr>
            </w:pPr>
            <w:r>
              <w:rPr>
                <w:rFonts w:ascii="Arial" w:hAnsi="Arial"/>
                <w:b/>
                <w:color w:val="245BA7"/>
                <w:sz w:val="18"/>
              </w:rPr>
              <w:t>Name</w:t>
            </w:r>
          </w:p>
        </w:tc>
        <w:tc>
          <w:tcPr>
            <w:tcW w:w="583"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i w:val="false"/>
                <w:caps w:val="false"/>
                <w:smallCaps w:val="false"/>
                <w:color w:val="245BA7"/>
                <w:sz w:val="18"/>
              </w:rPr>
            </w:pPr>
            <w:r>
              <w:rPr>
                <w:rFonts w:ascii="Arial" w:hAnsi="Arial"/>
                <w:b/>
                <w:i w:val="false"/>
                <w:caps w:val="false"/>
                <w:smallCaps w:val="false"/>
                <w:color w:val="245BA7"/>
                <w:sz w:val="18"/>
              </w:rPr>
              <w:t>Grant date</w:t>
            </w:r>
          </w:p>
        </w:tc>
        <w:tc>
          <w:tcPr>
            <w:tcW w:w="180" w:type="dxa"/>
            <w:tcBorders>
              <w:bottom w:val="single" w:sz="12" w:space="0" w:color="245AA7"/>
            </w:tcBorders>
            <w:shd w:fill="auto" w:val="clear"/>
            <w:tcMar>
              <w:top w:w="0" w:type="dxa"/>
              <w:bottom w:w="28" w:type="dxa"/>
            </w:tcMar>
            <w:vAlign w:val="center"/>
          </w:tcPr>
          <w:p>
            <w:pPr>
              <w:pStyle w:val="TableContents"/>
              <w:pBdr/>
              <w:spacing w:before="15" w:after="0"/>
              <w:ind w:left="15" w:right="15" w:hanging="0"/>
              <w:jc w:val="left"/>
              <w:rPr>
                <w:caps w:val="false"/>
                <w:smallCaps w:val="false"/>
                <w:color w:val="245BA7"/>
              </w:rPr>
            </w:pPr>
            <w:r>
              <w:rPr>
                <w:caps w:val="false"/>
                <w:smallCaps w:val="false"/>
                <w:color w:val="245BA7"/>
              </w:rPr>
              <w:t> </w:t>
            </w:r>
          </w:p>
        </w:tc>
        <w:tc>
          <w:tcPr>
            <w:tcW w:w="957"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br/>
              <w:br/>
              <w:br/>
              <w:t xml:space="preserve">Threshold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921"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Target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941"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Maximum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758" w:type="dxa"/>
            <w:vMerge w:val="continue"/>
            <w:tcBorders>
              <w:bottom w:val="single" w:sz="12" w:space="0" w:color="245AA7"/>
            </w:tcBorders>
            <w:shd w:fill="auto" w:val="clear"/>
            <w:tcMar>
              <w:top w:w="0" w:type="dxa"/>
            </w:tcMar>
            <w:vAlign w:val="center"/>
          </w:tcPr>
          <w:p>
            <w:pPr>
              <w:pStyle w:val="Normal"/>
              <w:rPr/>
            </w:pPr>
            <w:r>
              <w:rPr/>
            </w:r>
          </w:p>
        </w:tc>
        <w:tc>
          <w:tcPr>
            <w:tcW w:w="995" w:type="dxa"/>
            <w:vMerge w:val="continue"/>
            <w:tcBorders>
              <w:bottom w:val="single" w:sz="12" w:space="0" w:color="245AA7"/>
            </w:tcBorders>
            <w:shd w:fill="auto" w:val="clear"/>
            <w:tcMar>
              <w:top w:w="0" w:type="dxa"/>
            </w:tcMar>
            <w:vAlign w:val="center"/>
          </w:tcPr>
          <w:p>
            <w:pPr>
              <w:pStyle w:val="Normal"/>
              <w:rPr/>
            </w:pPr>
            <w:r>
              <w:rPr/>
            </w:r>
          </w:p>
        </w:tc>
        <w:tc>
          <w:tcPr>
            <w:tcW w:w="881" w:type="dxa"/>
            <w:vMerge w:val="continue"/>
            <w:tcBorders>
              <w:bottom w:val="single" w:sz="12" w:space="0" w:color="245AA7"/>
            </w:tcBorders>
            <w:shd w:fill="auto" w:val="clear"/>
            <w:tcMar>
              <w:top w:w="0" w:type="dxa"/>
            </w:tcMar>
            <w:vAlign w:val="center"/>
          </w:tcPr>
          <w:p>
            <w:pPr>
              <w:pStyle w:val="Normal"/>
              <w:rPr/>
            </w:pPr>
            <w:r>
              <w:rPr/>
            </w:r>
          </w:p>
        </w:tc>
        <w:tc>
          <w:tcPr>
            <w:tcW w:w="1233" w:type="dxa"/>
            <w:vMerge w:val="continue"/>
            <w:tcBorders>
              <w:bottom w:val="single" w:sz="12" w:space="0" w:color="245AA7"/>
            </w:tcBorders>
            <w:shd w:fill="auto" w:val="clear"/>
            <w:tcMar>
              <w:top w:w="0" w:type="dxa"/>
            </w:tcMar>
            <w:vAlign w:val="center"/>
          </w:tcPr>
          <w:p>
            <w:pPr>
              <w:pStyle w:val="Normal"/>
              <w:rPr/>
            </w:pPr>
            <w:r>
              <w:rPr/>
            </w:r>
          </w:p>
        </w:tc>
        <w:tc>
          <w:tcPr>
            <w:tcW w:w="1334" w:type="dxa"/>
            <w:vMerge w:val="continue"/>
            <w:tcBorders>
              <w:bottom w:val="single" w:sz="12" w:space="0" w:color="245AA7"/>
            </w:tcBorders>
            <w:shd w:fill="auto" w:val="clear"/>
            <w:tcMar>
              <w:top w:w="0" w:type="dxa"/>
            </w:tcMar>
            <w:vAlign w:val="center"/>
          </w:tcPr>
          <w:p>
            <w:pPr>
              <w:pStyle w:val="Normal"/>
              <w:rPr/>
            </w:pPr>
            <w:r>
              <w:rPr/>
            </w:r>
          </w:p>
        </w:tc>
      </w:tr>
      <w:tr>
        <w:trPr/>
        <w:tc>
          <w:tcPr>
            <w:tcW w:w="1422" w:type="dxa"/>
            <w:tcBorders>
              <w:bottom w:val="single" w:sz="2" w:space="0" w:color="000000"/>
            </w:tcBorders>
            <w:shd w:fill="auto" w:val="clear"/>
            <w:tcMar>
              <w:top w:w="0" w:type="dxa"/>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Leonard S. Schleifer, M.D., Ph.D.</w:t>
            </w:r>
          </w:p>
        </w:tc>
        <w:tc>
          <w:tcPr>
            <w:tcW w:w="583" w:type="dxa"/>
            <w:tcBorders>
              <w:bottom w:val="single" w:sz="2" w:space="0" w:color="000000"/>
            </w:tcBorders>
            <w:shd w:fill="auto" w:val="clear"/>
            <w:tcMar>
              <w:top w:w="0" w:type="dxa"/>
              <w:bottom w:w="45" w:type="dxa"/>
            </w:tcMar>
            <w:vAlign w:val="center"/>
          </w:tcPr>
          <w:p>
            <w:pPr>
              <w:pStyle w:val="TableContents"/>
              <w:pBdr/>
              <w:spacing w:before="0" w:after="45"/>
              <w:ind w:left="15" w:right="0" w:hanging="0"/>
              <w:jc w:val="right"/>
              <w:rPr>
                <w:caps w:val="false"/>
                <w:smallCaps w:val="false"/>
                <w:color w:val="000000"/>
              </w:rPr>
            </w:pPr>
            <w:r>
              <w:rPr>
                <w:caps w:val="false"/>
                <w:smallCaps w:val="false"/>
                <w:color w:val="000000"/>
              </w:rPr>
              <w:t>—</w:t>
            </w:r>
          </w:p>
        </w:tc>
        <w:tc>
          <w:tcPr>
            <w:tcW w:w="180" w:type="dxa"/>
            <w:tcBorders>
              <w:bottom w:val="single" w:sz="2" w:space="0" w:color="000000"/>
            </w:tcBorders>
            <w:shd w:fill="auto" w:val="clear"/>
            <w:tcMar>
              <w:top w:w="0" w:type="dxa"/>
              <w:bottom w:w="28" w:type="dxa"/>
            </w:tcMar>
            <w:vAlign w:val="center"/>
          </w:tcPr>
          <w:p>
            <w:pPr>
              <w:pStyle w:val="TableContents"/>
              <w:pBdr/>
              <w:spacing w:before="0" w:after="45"/>
              <w:ind w:left="15" w:right="15" w:hanging="0"/>
              <w:jc w:val="left"/>
              <w:rPr>
                <w:caps w:val="false"/>
                <w:smallCaps w:val="false"/>
                <w:color w:val="000000"/>
              </w:rPr>
            </w:pPr>
            <w:r>
              <w:rPr>
                <w:caps w:val="false"/>
                <w:smallCaps w:val="false"/>
                <w:color w:val="000000"/>
              </w:rPr>
              <w:t> </w:t>
            </w:r>
          </w:p>
        </w:tc>
        <w:tc>
          <w:tcPr>
            <w:tcW w:w="957" w:type="dxa"/>
            <w:tcBorders>
              <w:bottom w:val="single" w:sz="2" w:space="0" w:color="000000"/>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21" w:type="dxa"/>
            <w:tcBorders>
              <w:bottom w:val="single" w:sz="2" w:space="0" w:color="000000"/>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2,174,394</w:t>
            </w:r>
          </w:p>
        </w:tc>
        <w:tc>
          <w:tcPr>
            <w:tcW w:w="941" w:type="dxa"/>
            <w:tcBorders>
              <w:bottom w:val="single" w:sz="2" w:space="0" w:color="000000"/>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4,419,243</w:t>
            </w:r>
          </w:p>
        </w:tc>
        <w:tc>
          <w:tcPr>
            <w:tcW w:w="758" w:type="dxa"/>
            <w:tcBorders>
              <w:bottom w:val="single" w:sz="2" w:space="0" w:color="000000"/>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95" w:type="dxa"/>
            <w:tcBorders>
              <w:bottom w:val="single" w:sz="2" w:space="0" w:color="000000"/>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881" w:type="dxa"/>
            <w:tcBorders>
              <w:bottom w:val="single" w:sz="2" w:space="0" w:color="000000"/>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1233" w:type="dxa"/>
            <w:tcBorders>
              <w:bottom w:val="single" w:sz="2" w:space="0" w:color="000000"/>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1334" w:type="dxa"/>
            <w:tcBorders>
              <w:bottom w:val="single" w:sz="2" w:space="0" w:color="000000"/>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r>
      <w:tr>
        <w:trPr/>
        <w:tc>
          <w:tcPr>
            <w:tcW w:w="1422" w:type="dxa"/>
            <w:tcBorders>
              <w:top w:val="single" w:sz="2" w:space="0" w:color="F2F2F2"/>
              <w:bottom w:val="single" w:sz="2" w:space="0" w:color="000000"/>
            </w:tcBorders>
            <w:shd w:fill="F2F2F2"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George D. Yancopoulos, M.D., Ph.D.</w:t>
            </w:r>
          </w:p>
        </w:tc>
        <w:tc>
          <w:tcPr>
            <w:tcW w:w="583" w:type="dxa"/>
            <w:tcBorders>
              <w:top w:val="single" w:sz="2" w:space="0" w:color="F2F2F2"/>
              <w:bottom w:val="single" w:sz="2" w:space="0" w:color="000000"/>
            </w:tcBorders>
            <w:shd w:fill="F2F2F2" w:val="clear"/>
            <w:tcMar>
              <w:top w:w="90" w:type="dxa"/>
              <w:bottom w:w="45" w:type="dxa"/>
            </w:tcMar>
            <w:vAlign w:val="center"/>
          </w:tcPr>
          <w:p>
            <w:pPr>
              <w:pStyle w:val="TableContents"/>
              <w:pBdr/>
              <w:spacing w:before="0" w:after="45"/>
              <w:ind w:left="15" w:right="0" w:hanging="0"/>
              <w:jc w:val="right"/>
              <w:rPr>
                <w:caps w:val="false"/>
                <w:smallCaps w:val="false"/>
                <w:color w:val="000000"/>
              </w:rPr>
            </w:pPr>
            <w:r>
              <w:rPr>
                <w:caps w:val="false"/>
                <w:smallCaps w:val="false"/>
                <w:color w:val="000000"/>
              </w:rPr>
              <w:t>—</w:t>
            </w:r>
          </w:p>
        </w:tc>
        <w:tc>
          <w:tcPr>
            <w:tcW w:w="180"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45"/>
              <w:ind w:left="15" w:right="15" w:hanging="0"/>
              <w:jc w:val="left"/>
              <w:rPr>
                <w:caps w:val="false"/>
                <w:smallCaps w:val="false"/>
                <w:color w:val="000000"/>
              </w:rPr>
            </w:pPr>
            <w:r>
              <w:rPr>
                <w:caps w:val="false"/>
                <w:smallCaps w:val="false"/>
                <w:color w:val="000000"/>
              </w:rPr>
              <w:t> </w:t>
            </w:r>
          </w:p>
        </w:tc>
        <w:tc>
          <w:tcPr>
            <w:tcW w:w="957" w:type="dxa"/>
            <w:tcBorders>
              <w:top w:val="single" w:sz="2" w:space="0" w:color="F2F2F2"/>
              <w:bottom w:val="single" w:sz="2" w:space="0" w:color="000000"/>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21" w:type="dxa"/>
            <w:tcBorders>
              <w:top w:val="single" w:sz="2" w:space="0" w:color="F2F2F2"/>
              <w:bottom w:val="single" w:sz="2" w:space="0" w:color="000000"/>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2,174,394</w:t>
            </w:r>
          </w:p>
        </w:tc>
        <w:tc>
          <w:tcPr>
            <w:tcW w:w="941" w:type="dxa"/>
            <w:tcBorders>
              <w:top w:val="single" w:sz="2" w:space="0" w:color="F2F2F2"/>
              <w:bottom w:val="single" w:sz="2" w:space="0" w:color="000000"/>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4,419,243</w:t>
            </w:r>
          </w:p>
        </w:tc>
        <w:tc>
          <w:tcPr>
            <w:tcW w:w="758" w:type="dxa"/>
            <w:tcBorders>
              <w:top w:val="single" w:sz="2" w:space="0" w:color="F2F2F2"/>
              <w:bottom w:val="single" w:sz="2" w:space="0" w:color="000000"/>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95" w:type="dxa"/>
            <w:tcBorders>
              <w:top w:val="single" w:sz="2" w:space="0" w:color="F2F2F2"/>
              <w:bottom w:val="single" w:sz="2" w:space="0" w:color="000000"/>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881" w:type="dxa"/>
            <w:tcBorders>
              <w:top w:val="single" w:sz="2" w:space="0" w:color="F2F2F2"/>
              <w:bottom w:val="single" w:sz="2" w:space="0" w:color="000000"/>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1233" w:type="dxa"/>
            <w:tcBorders>
              <w:top w:val="single" w:sz="2" w:space="0" w:color="F2F2F2"/>
              <w:bottom w:val="single" w:sz="2" w:space="0" w:color="000000"/>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1334" w:type="dxa"/>
            <w:tcBorders>
              <w:top w:val="single" w:sz="2" w:space="0" w:color="F2F2F2"/>
              <w:bottom w:val="single" w:sz="2" w:space="0" w:color="000000"/>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r>
      <w:tr>
        <w:trPr/>
        <w:tc>
          <w:tcPr>
            <w:tcW w:w="1422" w:type="dxa"/>
            <w:vMerge w:val="restart"/>
            <w:tcBorders>
              <w:bottom w:val="single" w:sz="2" w:space="0" w:color="575756"/>
            </w:tcBorders>
            <w:shd w:fill="auto" w:val="clear"/>
            <w:tcMar>
              <w:top w:w="0" w:type="dxa"/>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Robert E. Landry</w:t>
            </w:r>
          </w:p>
        </w:tc>
        <w:tc>
          <w:tcPr>
            <w:tcW w:w="583"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caps w:val="false"/>
                <w:smallCaps w:val="false"/>
                <w:color w:val="000000"/>
              </w:rPr>
            </w:pPr>
            <w:r>
              <w:rPr>
                <w:caps w:val="false"/>
                <w:smallCaps w:val="false"/>
                <w:color w:val="000000"/>
              </w:rPr>
              <w:t>—</w:t>
            </w:r>
          </w:p>
        </w:tc>
        <w:tc>
          <w:tcPr>
            <w:tcW w:w="180" w:type="dxa"/>
            <w:tcBorders>
              <w:bottom w:val="single" w:sz="2" w:space="0" w:color="575756"/>
            </w:tcBorders>
            <w:shd w:fill="auto" w:val="clear"/>
            <w:tcMar>
              <w:top w:w="0" w:type="dxa"/>
              <w:bottom w:w="28" w:type="dxa"/>
            </w:tcMar>
            <w:vAlign w:val="center"/>
          </w:tcPr>
          <w:p>
            <w:pPr>
              <w:pStyle w:val="TableContents"/>
              <w:pBdr/>
              <w:spacing w:before="0" w:after="45"/>
              <w:ind w:left="15" w:right="15" w:hanging="0"/>
              <w:jc w:val="left"/>
              <w:rPr>
                <w:caps w:val="false"/>
                <w:smallCaps w:val="false"/>
                <w:color w:val="000000"/>
              </w:rPr>
            </w:pPr>
            <w:r>
              <w:rPr>
                <w:caps w:val="false"/>
                <w:smallCaps w:val="false"/>
                <w:color w:val="000000"/>
              </w:rPr>
              <w:t> </w:t>
            </w:r>
          </w:p>
        </w:tc>
        <w:tc>
          <w:tcPr>
            <w:tcW w:w="957"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2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553,540</w:t>
            </w:r>
          </w:p>
        </w:tc>
        <w:tc>
          <w:tcPr>
            <w:tcW w:w="94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1,019,825</w:t>
            </w:r>
          </w:p>
        </w:tc>
        <w:tc>
          <w:tcPr>
            <w:tcW w:w="758"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9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88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1233"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1334"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r>
      <w:tr>
        <w:trPr/>
        <w:tc>
          <w:tcPr>
            <w:tcW w:w="1422" w:type="dxa"/>
            <w:vMerge w:val="continue"/>
            <w:tcBorders>
              <w:bottom w:val="single" w:sz="2" w:space="0" w:color="575756"/>
            </w:tcBorders>
            <w:shd w:fill="auto" w:val="clear"/>
            <w:tcMar>
              <w:top w:w="0" w:type="dxa"/>
              <w:bottom w:w="30" w:type="dxa"/>
            </w:tcMar>
            <w:vAlign w:val="center"/>
          </w:tcPr>
          <w:p>
            <w:pPr>
              <w:pStyle w:val="Normal"/>
              <w:rPr/>
            </w:pPr>
            <w:r>
              <w:rPr/>
            </w:r>
          </w:p>
        </w:tc>
        <w:tc>
          <w:tcPr>
            <w:tcW w:w="583"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12/16/2022</w:t>
            </w:r>
          </w:p>
        </w:tc>
        <w:tc>
          <w:tcPr>
            <w:tcW w:w="180" w:type="dxa"/>
            <w:tcBorders>
              <w:bottom w:val="single" w:sz="2" w:space="0" w:color="575756"/>
            </w:tcBorders>
            <w:shd w:fill="auto" w:val="clear"/>
            <w:tcMar>
              <w:top w:w="0" w:type="dxa"/>
              <w:bottom w:w="28" w:type="dxa"/>
            </w:tcMar>
            <w:vAlign w:val="center"/>
          </w:tcPr>
          <w:p>
            <w:pPr>
              <w:pStyle w:val="TableContents"/>
              <w:pBdr/>
              <w:spacing w:before="0" w:after="45"/>
              <w:ind w:left="15" w:right="15" w:hanging="0"/>
              <w:jc w:val="left"/>
              <w:rPr>
                <w:rFonts w:ascii="Arial" w:hAnsi="Arial"/>
                <w:b w:val="false"/>
                <w:i w:val="false"/>
                <w:caps w:val="false"/>
                <w:smallCaps w:val="false"/>
                <w:color w:val="000000"/>
                <w:sz w:val="18"/>
              </w:rPr>
            </w:pPr>
            <w:r>
              <w:rPr>
                <w:rFonts w:ascii="Arial" w:hAnsi="Arial"/>
                <w:b w:val="false"/>
                <w:i w:val="false"/>
                <w:caps w:val="false"/>
                <w:smallCaps w:val="false"/>
                <w:color w:val="000000"/>
                <w:position w:val="6"/>
                <w:sz w:val="14"/>
                <w:sz w:val="18"/>
              </w:rPr>
              <w:t>4</w:t>
            </w:r>
            <w:r>
              <w:rPr>
                <w:rFonts w:ascii="Arial" w:hAnsi="Arial"/>
                <w:b w:val="false"/>
                <w:i w:val="false"/>
                <w:caps w:val="false"/>
                <w:smallCaps w:val="false"/>
                <w:color w:val="000000"/>
                <w:sz w:val="18"/>
              </w:rPr>
              <w:t> </w:t>
            </w:r>
          </w:p>
        </w:tc>
        <w:tc>
          <w:tcPr>
            <w:tcW w:w="957"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2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4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758"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9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14,222</w:t>
            </w:r>
          </w:p>
        </w:tc>
        <w:tc>
          <w:tcPr>
            <w:tcW w:w="88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726.53</w:t>
            </w:r>
          </w:p>
        </w:tc>
        <w:tc>
          <w:tcPr>
            <w:tcW w:w="1233"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723.17</w:t>
            </w:r>
          </w:p>
        </w:tc>
        <w:tc>
          <w:tcPr>
            <w:tcW w:w="1334"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4,199,713</w:t>
            </w:r>
          </w:p>
        </w:tc>
      </w:tr>
      <w:tr>
        <w:trPr/>
        <w:tc>
          <w:tcPr>
            <w:tcW w:w="1422" w:type="dxa"/>
            <w:vMerge w:val="continue"/>
            <w:tcBorders>
              <w:bottom w:val="single" w:sz="2" w:space="0" w:color="575756"/>
            </w:tcBorders>
            <w:shd w:fill="auto" w:val="clear"/>
            <w:tcMar>
              <w:top w:w="0" w:type="dxa"/>
              <w:bottom w:w="30" w:type="dxa"/>
            </w:tcMar>
            <w:vAlign w:val="center"/>
          </w:tcPr>
          <w:p>
            <w:pPr>
              <w:pStyle w:val="Normal"/>
              <w:rPr/>
            </w:pPr>
            <w:r>
              <w:rPr/>
            </w:r>
          </w:p>
        </w:tc>
        <w:tc>
          <w:tcPr>
            <w:tcW w:w="583"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12/16/2022</w:t>
            </w:r>
          </w:p>
        </w:tc>
        <w:tc>
          <w:tcPr>
            <w:tcW w:w="180" w:type="dxa"/>
            <w:tcBorders>
              <w:bottom w:val="single" w:sz="2" w:space="0" w:color="575756"/>
            </w:tcBorders>
            <w:shd w:fill="auto" w:val="clear"/>
            <w:tcMar>
              <w:top w:w="0" w:type="dxa"/>
              <w:bottom w:w="28" w:type="dxa"/>
            </w:tcMar>
            <w:vAlign w:val="center"/>
          </w:tcPr>
          <w:p>
            <w:pPr>
              <w:pStyle w:val="TableContents"/>
              <w:pBdr/>
              <w:spacing w:before="0" w:after="45"/>
              <w:ind w:left="15" w:right="15" w:hanging="0"/>
              <w:jc w:val="left"/>
              <w:rPr>
                <w:rFonts w:ascii="Arial" w:hAnsi="Arial"/>
                <w:b w:val="false"/>
                <w:i w:val="false"/>
                <w:caps w:val="false"/>
                <w:smallCaps w:val="false"/>
                <w:color w:val="000000"/>
                <w:sz w:val="18"/>
              </w:rPr>
            </w:pPr>
            <w:r>
              <w:rPr>
                <w:rFonts w:ascii="Arial" w:hAnsi="Arial"/>
                <w:b w:val="false"/>
                <w:i w:val="false"/>
                <w:caps w:val="false"/>
                <w:smallCaps w:val="false"/>
                <w:color w:val="000000"/>
                <w:position w:val="6"/>
                <w:sz w:val="14"/>
                <w:sz w:val="18"/>
              </w:rPr>
              <w:t>5</w:t>
            </w:r>
            <w:r>
              <w:rPr>
                <w:rFonts w:ascii="Arial" w:hAnsi="Arial"/>
                <w:b w:val="false"/>
                <w:i w:val="false"/>
                <w:caps w:val="false"/>
                <w:smallCaps w:val="false"/>
                <w:color w:val="000000"/>
                <w:sz w:val="18"/>
              </w:rPr>
              <w:t> </w:t>
            </w:r>
          </w:p>
        </w:tc>
        <w:tc>
          <w:tcPr>
            <w:tcW w:w="957"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2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4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758"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3,853</w:t>
            </w:r>
          </w:p>
        </w:tc>
        <w:tc>
          <w:tcPr>
            <w:tcW w:w="99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88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1233"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1334"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2,799,320</w:t>
            </w:r>
          </w:p>
        </w:tc>
      </w:tr>
      <w:tr>
        <w:trPr/>
        <w:tc>
          <w:tcPr>
            <w:tcW w:w="1422" w:type="dxa"/>
            <w:vMerge w:val="restart"/>
            <w:tcBorders>
              <w:top w:val="single" w:sz="2" w:space="0" w:color="F2F2F2"/>
              <w:bottom w:val="single" w:sz="2" w:space="0" w:color="575756"/>
            </w:tcBorders>
            <w:shd w:fill="F2F2F2"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Daniel P. Van Plew</w:t>
            </w:r>
          </w:p>
        </w:tc>
        <w:tc>
          <w:tcPr>
            <w:tcW w:w="583"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caps w:val="false"/>
                <w:smallCaps w:val="false"/>
                <w:color w:val="000000"/>
              </w:rPr>
            </w:pPr>
            <w:r>
              <w:rPr>
                <w:caps w:val="false"/>
                <w:smallCaps w:val="false"/>
                <w:color w:val="000000"/>
              </w:rPr>
              <w:t>—</w:t>
            </w:r>
          </w:p>
        </w:tc>
        <w:tc>
          <w:tcPr>
            <w:tcW w:w="18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45"/>
              <w:ind w:left="15" w:right="15" w:hanging="0"/>
              <w:jc w:val="left"/>
              <w:rPr>
                <w:caps w:val="false"/>
                <w:smallCaps w:val="false"/>
                <w:color w:val="000000"/>
              </w:rPr>
            </w:pPr>
            <w:r>
              <w:rPr>
                <w:caps w:val="false"/>
                <w:smallCaps w:val="false"/>
                <w:color w:val="000000"/>
              </w:rPr>
              <w:t> </w:t>
            </w:r>
          </w:p>
        </w:tc>
        <w:tc>
          <w:tcPr>
            <w:tcW w:w="957"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21"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585,000</w:t>
            </w:r>
          </w:p>
        </w:tc>
        <w:tc>
          <w:tcPr>
            <w:tcW w:w="941"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1,189,796</w:t>
            </w:r>
          </w:p>
        </w:tc>
        <w:tc>
          <w:tcPr>
            <w:tcW w:w="758"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9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881"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1233"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1334"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r>
      <w:tr>
        <w:trPr/>
        <w:tc>
          <w:tcPr>
            <w:tcW w:w="1422" w:type="dxa"/>
            <w:vMerge w:val="continue"/>
            <w:tcBorders>
              <w:top w:val="single" w:sz="2" w:space="0" w:color="F2F2F2"/>
              <w:bottom w:val="single" w:sz="2" w:space="0" w:color="575756"/>
            </w:tcBorders>
            <w:shd w:fill="F2F2F2" w:val="clear"/>
            <w:tcMar>
              <w:bottom w:w="30" w:type="dxa"/>
            </w:tcMar>
            <w:vAlign w:val="center"/>
          </w:tcPr>
          <w:p>
            <w:pPr>
              <w:pStyle w:val="Normal"/>
              <w:rPr/>
            </w:pPr>
            <w:r>
              <w:rPr/>
            </w:r>
          </w:p>
        </w:tc>
        <w:tc>
          <w:tcPr>
            <w:tcW w:w="583"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12/16/2022</w:t>
            </w:r>
          </w:p>
        </w:tc>
        <w:tc>
          <w:tcPr>
            <w:tcW w:w="18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45"/>
              <w:ind w:left="15" w:right="15" w:hanging="0"/>
              <w:jc w:val="left"/>
              <w:rPr>
                <w:rFonts w:ascii="Arial" w:hAnsi="Arial"/>
                <w:b w:val="false"/>
                <w:i w:val="false"/>
                <w:caps w:val="false"/>
                <w:smallCaps w:val="false"/>
                <w:color w:val="000000"/>
                <w:sz w:val="18"/>
              </w:rPr>
            </w:pPr>
            <w:r>
              <w:rPr>
                <w:rFonts w:ascii="Arial" w:hAnsi="Arial"/>
                <w:b w:val="false"/>
                <w:i w:val="false"/>
                <w:caps w:val="false"/>
                <w:smallCaps w:val="false"/>
                <w:color w:val="000000"/>
                <w:position w:val="6"/>
                <w:sz w:val="14"/>
                <w:sz w:val="18"/>
              </w:rPr>
              <w:t>4</w:t>
            </w:r>
            <w:r>
              <w:rPr>
                <w:rFonts w:ascii="Arial" w:hAnsi="Arial"/>
                <w:b w:val="false"/>
                <w:i w:val="false"/>
                <w:caps w:val="false"/>
                <w:smallCaps w:val="false"/>
                <w:color w:val="000000"/>
                <w:sz w:val="18"/>
              </w:rPr>
              <w:t> </w:t>
            </w:r>
          </w:p>
        </w:tc>
        <w:tc>
          <w:tcPr>
            <w:tcW w:w="957"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21"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41"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758"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9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14,019</w:t>
            </w:r>
          </w:p>
        </w:tc>
        <w:tc>
          <w:tcPr>
            <w:tcW w:w="881"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726.53</w:t>
            </w:r>
          </w:p>
        </w:tc>
        <w:tc>
          <w:tcPr>
            <w:tcW w:w="1233"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723.17</w:t>
            </w:r>
          </w:p>
        </w:tc>
        <w:tc>
          <w:tcPr>
            <w:tcW w:w="1334"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4,139,777</w:t>
            </w:r>
          </w:p>
        </w:tc>
      </w:tr>
      <w:tr>
        <w:trPr/>
        <w:tc>
          <w:tcPr>
            <w:tcW w:w="1422" w:type="dxa"/>
            <w:vMerge w:val="continue"/>
            <w:tcBorders>
              <w:top w:val="single" w:sz="2" w:space="0" w:color="F2F2F2"/>
              <w:bottom w:val="single" w:sz="2" w:space="0" w:color="575756"/>
            </w:tcBorders>
            <w:shd w:fill="F2F2F2" w:val="clear"/>
            <w:tcMar>
              <w:bottom w:w="30" w:type="dxa"/>
            </w:tcMar>
            <w:vAlign w:val="center"/>
          </w:tcPr>
          <w:p>
            <w:pPr>
              <w:pStyle w:val="Normal"/>
              <w:rPr/>
            </w:pPr>
            <w:r>
              <w:rPr/>
            </w:r>
          </w:p>
        </w:tc>
        <w:tc>
          <w:tcPr>
            <w:tcW w:w="583"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12/16/2022</w:t>
            </w:r>
          </w:p>
        </w:tc>
        <w:tc>
          <w:tcPr>
            <w:tcW w:w="18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45"/>
              <w:ind w:left="15" w:right="15" w:hanging="0"/>
              <w:jc w:val="left"/>
              <w:rPr>
                <w:rFonts w:ascii="Arial" w:hAnsi="Arial"/>
                <w:b w:val="false"/>
                <w:i w:val="false"/>
                <w:caps w:val="false"/>
                <w:smallCaps w:val="false"/>
                <w:color w:val="000000"/>
                <w:sz w:val="18"/>
              </w:rPr>
            </w:pPr>
            <w:r>
              <w:rPr>
                <w:rFonts w:ascii="Arial" w:hAnsi="Arial"/>
                <w:b w:val="false"/>
                <w:i w:val="false"/>
                <w:caps w:val="false"/>
                <w:smallCaps w:val="false"/>
                <w:color w:val="000000"/>
                <w:position w:val="6"/>
                <w:sz w:val="14"/>
                <w:sz w:val="18"/>
              </w:rPr>
              <w:t>5</w:t>
            </w:r>
            <w:r>
              <w:rPr>
                <w:rFonts w:ascii="Arial" w:hAnsi="Arial"/>
                <w:b w:val="false"/>
                <w:i w:val="false"/>
                <w:caps w:val="false"/>
                <w:smallCaps w:val="false"/>
                <w:color w:val="000000"/>
                <w:sz w:val="18"/>
              </w:rPr>
              <w:t> </w:t>
            </w:r>
          </w:p>
        </w:tc>
        <w:tc>
          <w:tcPr>
            <w:tcW w:w="957"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21"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41"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758"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3,798</w:t>
            </w:r>
          </w:p>
        </w:tc>
        <w:tc>
          <w:tcPr>
            <w:tcW w:w="99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881"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1233"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1334"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2,759,361</w:t>
            </w:r>
          </w:p>
        </w:tc>
      </w:tr>
      <w:tr>
        <w:trPr/>
        <w:tc>
          <w:tcPr>
            <w:tcW w:w="1422" w:type="dxa"/>
            <w:vMerge w:val="restart"/>
            <w:tcBorders>
              <w:bottom w:val="single" w:sz="2" w:space="0" w:color="575756"/>
            </w:tcBorders>
            <w:shd w:fill="auto" w:val="clear"/>
            <w:tcMar>
              <w:top w:w="0" w:type="dxa"/>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Andrew J. Murphy, Ph.D.</w:t>
            </w:r>
          </w:p>
        </w:tc>
        <w:tc>
          <w:tcPr>
            <w:tcW w:w="583"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caps w:val="false"/>
                <w:smallCaps w:val="false"/>
                <w:color w:val="000000"/>
              </w:rPr>
            </w:pPr>
            <w:r>
              <w:rPr>
                <w:caps w:val="false"/>
                <w:smallCaps w:val="false"/>
                <w:color w:val="000000"/>
              </w:rPr>
              <w:t>—</w:t>
            </w:r>
          </w:p>
        </w:tc>
        <w:tc>
          <w:tcPr>
            <w:tcW w:w="180" w:type="dxa"/>
            <w:tcBorders>
              <w:bottom w:val="single" w:sz="2" w:space="0" w:color="575756"/>
            </w:tcBorders>
            <w:shd w:fill="auto" w:val="clear"/>
            <w:tcMar>
              <w:top w:w="0" w:type="dxa"/>
              <w:bottom w:w="28" w:type="dxa"/>
            </w:tcMar>
            <w:vAlign w:val="center"/>
          </w:tcPr>
          <w:p>
            <w:pPr>
              <w:pStyle w:val="TableContents"/>
              <w:pBdr/>
              <w:spacing w:before="0" w:after="45"/>
              <w:ind w:left="15" w:right="15" w:hanging="0"/>
              <w:jc w:val="left"/>
              <w:rPr>
                <w:caps w:val="false"/>
                <w:smallCaps w:val="false"/>
                <w:color w:val="000000"/>
              </w:rPr>
            </w:pPr>
            <w:r>
              <w:rPr>
                <w:caps w:val="false"/>
                <w:smallCaps w:val="false"/>
                <w:color w:val="000000"/>
              </w:rPr>
              <w:t> </w:t>
            </w:r>
          </w:p>
        </w:tc>
        <w:tc>
          <w:tcPr>
            <w:tcW w:w="957"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2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487,500</w:t>
            </w:r>
          </w:p>
        </w:tc>
        <w:tc>
          <w:tcPr>
            <w:tcW w:w="94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1,019,825</w:t>
            </w:r>
          </w:p>
        </w:tc>
        <w:tc>
          <w:tcPr>
            <w:tcW w:w="758"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9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88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1233"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1334"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r>
      <w:tr>
        <w:trPr/>
        <w:tc>
          <w:tcPr>
            <w:tcW w:w="1422" w:type="dxa"/>
            <w:vMerge w:val="continue"/>
            <w:tcBorders>
              <w:bottom w:val="single" w:sz="2" w:space="0" w:color="575756"/>
            </w:tcBorders>
            <w:shd w:fill="auto" w:val="clear"/>
            <w:tcMar>
              <w:top w:w="0" w:type="dxa"/>
              <w:bottom w:w="30" w:type="dxa"/>
            </w:tcMar>
            <w:vAlign w:val="center"/>
          </w:tcPr>
          <w:p>
            <w:pPr>
              <w:pStyle w:val="Normal"/>
              <w:rPr/>
            </w:pPr>
            <w:r>
              <w:rPr/>
            </w:r>
          </w:p>
        </w:tc>
        <w:tc>
          <w:tcPr>
            <w:tcW w:w="583"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12/16/2022</w:t>
            </w:r>
          </w:p>
        </w:tc>
        <w:tc>
          <w:tcPr>
            <w:tcW w:w="180" w:type="dxa"/>
            <w:tcBorders>
              <w:bottom w:val="single" w:sz="2" w:space="0" w:color="575756"/>
            </w:tcBorders>
            <w:shd w:fill="auto" w:val="clear"/>
            <w:tcMar>
              <w:top w:w="0" w:type="dxa"/>
              <w:bottom w:w="28" w:type="dxa"/>
            </w:tcMar>
            <w:vAlign w:val="center"/>
          </w:tcPr>
          <w:p>
            <w:pPr>
              <w:pStyle w:val="TableContents"/>
              <w:pBdr/>
              <w:spacing w:before="0" w:after="45"/>
              <w:ind w:left="15" w:right="15" w:hanging="0"/>
              <w:jc w:val="left"/>
              <w:rPr>
                <w:rFonts w:ascii="Arial" w:hAnsi="Arial"/>
                <w:b w:val="false"/>
                <w:i w:val="false"/>
                <w:caps w:val="false"/>
                <w:smallCaps w:val="false"/>
                <w:color w:val="000000"/>
                <w:sz w:val="18"/>
              </w:rPr>
            </w:pPr>
            <w:r>
              <w:rPr>
                <w:rFonts w:ascii="Arial" w:hAnsi="Arial"/>
                <w:b w:val="false"/>
                <w:i w:val="false"/>
                <w:caps w:val="false"/>
                <w:smallCaps w:val="false"/>
                <w:color w:val="000000"/>
                <w:position w:val="6"/>
                <w:sz w:val="14"/>
                <w:sz w:val="18"/>
              </w:rPr>
              <w:t>4</w:t>
            </w:r>
            <w:r>
              <w:rPr>
                <w:rFonts w:ascii="Arial" w:hAnsi="Arial"/>
                <w:b w:val="false"/>
                <w:i w:val="false"/>
                <w:caps w:val="false"/>
                <w:smallCaps w:val="false"/>
                <w:color w:val="000000"/>
                <w:sz w:val="18"/>
              </w:rPr>
              <w:t> </w:t>
            </w:r>
          </w:p>
        </w:tc>
        <w:tc>
          <w:tcPr>
            <w:tcW w:w="957"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2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4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758"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9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15,238</w:t>
            </w:r>
          </w:p>
        </w:tc>
        <w:tc>
          <w:tcPr>
            <w:tcW w:w="88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726.53</w:t>
            </w:r>
          </w:p>
        </w:tc>
        <w:tc>
          <w:tcPr>
            <w:tcW w:w="1233"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723.17</w:t>
            </w:r>
          </w:p>
        </w:tc>
        <w:tc>
          <w:tcPr>
            <w:tcW w:w="1334"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4,499,737</w:t>
            </w:r>
          </w:p>
        </w:tc>
      </w:tr>
      <w:tr>
        <w:trPr/>
        <w:tc>
          <w:tcPr>
            <w:tcW w:w="1422" w:type="dxa"/>
            <w:vMerge w:val="continue"/>
            <w:tcBorders>
              <w:bottom w:val="single" w:sz="2" w:space="0" w:color="575756"/>
            </w:tcBorders>
            <w:shd w:fill="auto" w:val="clear"/>
            <w:tcMar>
              <w:top w:w="0" w:type="dxa"/>
              <w:bottom w:w="30" w:type="dxa"/>
            </w:tcMar>
            <w:vAlign w:val="center"/>
          </w:tcPr>
          <w:p>
            <w:pPr>
              <w:pStyle w:val="Normal"/>
              <w:rPr/>
            </w:pPr>
            <w:r>
              <w:rPr/>
            </w:r>
          </w:p>
        </w:tc>
        <w:tc>
          <w:tcPr>
            <w:tcW w:w="583" w:type="dxa"/>
            <w:tcBorders>
              <w:bottom w:val="single" w:sz="2" w:space="0" w:color="575756"/>
            </w:tcBorders>
            <w:shd w:fill="auto" w:val="clear"/>
            <w:tcMar>
              <w:top w:w="0" w:type="dxa"/>
              <w:bottom w:w="45" w:type="dxa"/>
            </w:tcMar>
            <w:vAlign w:val="center"/>
          </w:tcPr>
          <w:p>
            <w:pPr>
              <w:pStyle w:val="TableContents"/>
              <w:pBdr/>
              <w:spacing w:before="0" w:after="45"/>
              <w:ind w:left="15"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12/16/2022</w:t>
            </w:r>
          </w:p>
        </w:tc>
        <w:tc>
          <w:tcPr>
            <w:tcW w:w="180" w:type="dxa"/>
            <w:tcBorders>
              <w:bottom w:val="single" w:sz="2" w:space="0" w:color="575756"/>
            </w:tcBorders>
            <w:shd w:fill="auto" w:val="clear"/>
            <w:tcMar>
              <w:top w:w="0" w:type="dxa"/>
              <w:bottom w:w="28" w:type="dxa"/>
            </w:tcMar>
            <w:vAlign w:val="center"/>
          </w:tcPr>
          <w:p>
            <w:pPr>
              <w:pStyle w:val="TableContents"/>
              <w:pBdr/>
              <w:spacing w:before="0" w:after="45"/>
              <w:ind w:left="15" w:right="15" w:hanging="0"/>
              <w:jc w:val="left"/>
              <w:rPr>
                <w:rFonts w:ascii="Arial" w:hAnsi="Arial"/>
                <w:b w:val="false"/>
                <w:i w:val="false"/>
                <w:caps w:val="false"/>
                <w:smallCaps w:val="false"/>
                <w:color w:val="000000"/>
                <w:sz w:val="18"/>
              </w:rPr>
            </w:pPr>
            <w:r>
              <w:rPr>
                <w:rFonts w:ascii="Arial" w:hAnsi="Arial"/>
                <w:b w:val="false"/>
                <w:i w:val="false"/>
                <w:caps w:val="false"/>
                <w:smallCaps w:val="false"/>
                <w:color w:val="000000"/>
                <w:position w:val="6"/>
                <w:sz w:val="14"/>
                <w:sz w:val="18"/>
              </w:rPr>
              <w:t>5</w:t>
            </w:r>
            <w:r>
              <w:rPr>
                <w:rFonts w:ascii="Arial" w:hAnsi="Arial"/>
                <w:b w:val="false"/>
                <w:i w:val="false"/>
                <w:caps w:val="false"/>
                <w:smallCaps w:val="false"/>
                <w:color w:val="000000"/>
                <w:sz w:val="18"/>
              </w:rPr>
              <w:t> </w:t>
            </w:r>
          </w:p>
        </w:tc>
        <w:tc>
          <w:tcPr>
            <w:tcW w:w="957"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2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94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758"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4,129</w:t>
            </w:r>
          </w:p>
        </w:tc>
        <w:tc>
          <w:tcPr>
            <w:tcW w:w="995"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881"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1233"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color w:val="000000"/>
              </w:rPr>
            </w:pPr>
            <w:r>
              <w:rPr>
                <w:color w:val="000000"/>
              </w:rPr>
              <w:t>—</w:t>
            </w:r>
          </w:p>
        </w:tc>
        <w:tc>
          <w:tcPr>
            <w:tcW w:w="1334"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2,999,842</w:t>
            </w:r>
          </w:p>
        </w:tc>
      </w:tr>
      <w:tr>
        <w:trPr/>
        <w:tc>
          <w:tcPr>
            <w:tcW w:w="1422" w:type="dxa"/>
            <w:vMerge w:val="restart"/>
            <w:tcBorders>
              <w:top w:val="single" w:sz="2" w:space="0" w:color="F2F2F2"/>
              <w:bottom w:val="single" w:sz="2" w:space="0" w:color="245BA7"/>
            </w:tcBorders>
            <w:shd w:fill="F2F2F2"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Marion McCourt</w:t>
            </w:r>
          </w:p>
        </w:tc>
        <w:tc>
          <w:tcPr>
            <w:tcW w:w="583"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0" w:hanging="0"/>
              <w:jc w:val="right"/>
              <w:rPr>
                <w:caps w:val="false"/>
                <w:smallCaps w:val="false"/>
                <w:color w:val="000000"/>
              </w:rPr>
            </w:pPr>
            <w:r>
              <w:rPr>
                <w:caps w:val="false"/>
                <w:smallCaps w:val="false"/>
                <w:color w:val="000000"/>
              </w:rPr>
              <w:t>—</w:t>
            </w:r>
          </w:p>
        </w:tc>
        <w:tc>
          <w:tcPr>
            <w:tcW w:w="180"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45"/>
              <w:ind w:left="15" w:right="15" w:hanging="0"/>
              <w:jc w:val="left"/>
              <w:rPr>
                <w:caps w:val="false"/>
                <w:smallCaps w:val="false"/>
                <w:color w:val="000000"/>
              </w:rPr>
            </w:pPr>
            <w:r>
              <w:rPr>
                <w:caps w:val="false"/>
                <w:smallCaps w:val="false"/>
                <w:color w:val="000000"/>
              </w:rPr>
              <w:t> </w:t>
            </w:r>
          </w:p>
        </w:tc>
        <w:tc>
          <w:tcPr>
            <w:tcW w:w="957"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21"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459,095</w:t>
            </w:r>
          </w:p>
        </w:tc>
        <w:tc>
          <w:tcPr>
            <w:tcW w:w="941"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849,854</w:t>
            </w:r>
          </w:p>
        </w:tc>
        <w:tc>
          <w:tcPr>
            <w:tcW w:w="758"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95"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881"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1233"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1334"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r>
      <w:tr>
        <w:trPr/>
        <w:tc>
          <w:tcPr>
            <w:tcW w:w="1422" w:type="dxa"/>
            <w:vMerge w:val="continue"/>
            <w:tcBorders>
              <w:top w:val="single" w:sz="2" w:space="0" w:color="F2F2F2"/>
              <w:bottom w:val="single" w:sz="2" w:space="0" w:color="245BA7"/>
            </w:tcBorders>
            <w:shd w:fill="F2F2F2" w:val="clear"/>
            <w:tcMar>
              <w:bottom w:w="30" w:type="dxa"/>
            </w:tcMar>
            <w:vAlign w:val="center"/>
          </w:tcPr>
          <w:p>
            <w:pPr>
              <w:pStyle w:val="Normal"/>
              <w:rPr/>
            </w:pPr>
            <w:r>
              <w:rPr/>
            </w:r>
          </w:p>
        </w:tc>
        <w:tc>
          <w:tcPr>
            <w:tcW w:w="583"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12/16/2022</w:t>
            </w:r>
          </w:p>
        </w:tc>
        <w:tc>
          <w:tcPr>
            <w:tcW w:w="18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45"/>
              <w:ind w:left="15" w:right="15" w:hanging="0"/>
              <w:jc w:val="left"/>
              <w:rPr>
                <w:rFonts w:ascii="Arial" w:hAnsi="Arial"/>
                <w:b w:val="false"/>
                <w:i w:val="false"/>
                <w:caps w:val="false"/>
                <w:smallCaps w:val="false"/>
                <w:color w:val="000000"/>
                <w:sz w:val="18"/>
              </w:rPr>
            </w:pPr>
            <w:r>
              <w:rPr>
                <w:rFonts w:ascii="Arial" w:hAnsi="Arial"/>
                <w:b w:val="false"/>
                <w:i w:val="false"/>
                <w:caps w:val="false"/>
                <w:smallCaps w:val="false"/>
                <w:color w:val="000000"/>
                <w:position w:val="6"/>
                <w:sz w:val="14"/>
                <w:sz w:val="18"/>
              </w:rPr>
              <w:t>4</w:t>
            </w:r>
            <w:r>
              <w:rPr>
                <w:rFonts w:ascii="Arial" w:hAnsi="Arial"/>
                <w:b w:val="false"/>
                <w:i w:val="false"/>
                <w:caps w:val="false"/>
                <w:smallCaps w:val="false"/>
                <w:color w:val="000000"/>
                <w:sz w:val="18"/>
              </w:rPr>
              <w:t> </w:t>
            </w:r>
          </w:p>
        </w:tc>
        <w:tc>
          <w:tcPr>
            <w:tcW w:w="957"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21"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41"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758"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95"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10,971</w:t>
            </w:r>
          </w:p>
        </w:tc>
        <w:tc>
          <w:tcPr>
            <w:tcW w:w="881"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726.53</w:t>
            </w:r>
          </w:p>
        </w:tc>
        <w:tc>
          <w:tcPr>
            <w:tcW w:w="1233"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723.17</w:t>
            </w:r>
          </w:p>
        </w:tc>
        <w:tc>
          <w:tcPr>
            <w:tcW w:w="1334"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3,239,703</w:t>
            </w:r>
          </w:p>
        </w:tc>
      </w:tr>
      <w:tr>
        <w:trPr/>
        <w:tc>
          <w:tcPr>
            <w:tcW w:w="1422" w:type="dxa"/>
            <w:vMerge w:val="continue"/>
            <w:tcBorders>
              <w:top w:val="single" w:sz="2" w:space="0" w:color="F2F2F2"/>
              <w:bottom w:val="single" w:sz="2" w:space="0" w:color="245BA7"/>
            </w:tcBorders>
            <w:shd w:fill="F2F2F2" w:val="clear"/>
            <w:tcMar>
              <w:bottom w:w="30" w:type="dxa"/>
            </w:tcMar>
            <w:vAlign w:val="center"/>
          </w:tcPr>
          <w:p>
            <w:pPr>
              <w:pStyle w:val="Normal"/>
              <w:rPr/>
            </w:pPr>
            <w:r>
              <w:rPr/>
            </w:r>
          </w:p>
        </w:tc>
        <w:tc>
          <w:tcPr>
            <w:tcW w:w="583"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0"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12/16/2022</w:t>
            </w:r>
          </w:p>
        </w:tc>
        <w:tc>
          <w:tcPr>
            <w:tcW w:w="180"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45"/>
              <w:ind w:left="0" w:right="0" w:hanging="0"/>
              <w:jc w:val="left"/>
              <w:rPr>
                <w:rFonts w:ascii="Arial" w:hAnsi="Arial"/>
                <w:b w:val="false"/>
                <w:i w:val="false"/>
                <w:caps w:val="false"/>
                <w:smallCaps w:val="false"/>
                <w:color w:val="000000"/>
                <w:sz w:val="18"/>
              </w:rPr>
            </w:pPr>
            <w:r>
              <w:rPr>
                <w:rFonts w:ascii="Arial" w:hAnsi="Arial"/>
                <w:b w:val="false"/>
                <w:i w:val="false"/>
                <w:caps w:val="false"/>
                <w:smallCaps w:val="false"/>
                <w:color w:val="000000"/>
                <w:position w:val="6"/>
                <w:sz w:val="14"/>
                <w:sz w:val="18"/>
              </w:rPr>
              <w:t>5</w:t>
            </w:r>
            <w:r>
              <w:rPr>
                <w:rFonts w:ascii="Arial" w:hAnsi="Arial"/>
                <w:b w:val="false"/>
                <w:i w:val="false"/>
                <w:caps w:val="false"/>
                <w:smallCaps w:val="false"/>
                <w:color w:val="000000"/>
                <w:sz w:val="18"/>
              </w:rPr>
              <w:t> </w:t>
            </w:r>
          </w:p>
        </w:tc>
        <w:tc>
          <w:tcPr>
            <w:tcW w:w="957"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21"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941"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758"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2,973</w:t>
            </w:r>
          </w:p>
        </w:tc>
        <w:tc>
          <w:tcPr>
            <w:tcW w:w="995"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881"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1233"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w:t>
            </w:r>
          </w:p>
        </w:tc>
        <w:tc>
          <w:tcPr>
            <w:tcW w:w="1334"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2,159,974</w:t>
            </w:r>
          </w:p>
        </w:tc>
      </w:tr>
      <w:tr>
        <w:trPr/>
        <w:tc>
          <w:tcPr>
            <w:tcW w:w="10205" w:type="dxa"/>
            <w:gridSpan w:val="11"/>
            <w:tcBorders/>
            <w:shd w:fill="auto" w:val="clear"/>
            <w:tcMar>
              <w:top w:w="0" w:type="dxa"/>
              <w:bottom w:w="0" w:type="dxa"/>
            </w:tcMar>
            <w:vAlign w:val="center"/>
          </w:tcPr>
          <w:p>
            <w:pPr>
              <w:pStyle w:val="TableContents"/>
              <w:spacing w:before="0" w:after="0"/>
              <w:ind w:left="0" w:right="30" w:hanging="0"/>
              <w:rPr>
                <w:rFonts w:ascii="Arial" w:hAnsi="Arial"/>
                <w:color w:val="245BA7"/>
                <w:sz w:val="20"/>
              </w:rPr>
            </w:pPr>
            <w:r>
              <w:rPr>
                <w:rFonts w:ascii="Arial" w:hAnsi="Arial"/>
                <w:color w:val="245BA7"/>
                <w:sz w:val="20"/>
              </w:rPr>
              <w:t>1</w:t>
            </w:r>
          </w:p>
          <w:p>
            <w:pPr>
              <w:pStyle w:val="TableContents"/>
              <w:pBdr/>
              <w:spacing w:before="0" w:after="0"/>
              <w:ind w:left="0" w:right="30" w:hanging="0"/>
              <w:rPr>
                <w:rFonts w:ascii="Arial" w:hAnsi="Arial"/>
                <w:color w:val="000000"/>
                <w:sz w:val="20"/>
              </w:rPr>
            </w:pPr>
            <w:r>
              <w:rPr>
                <w:rFonts w:ascii="Arial" w:hAnsi="Arial"/>
                <w:color w:val="000000"/>
                <w:sz w:val="20"/>
              </w:rPr>
              <w:t>Cash incentive awards under the Regeneron Pharmaceuticals, Inc. Cash Incentive Bonus Plan. The actual cash incentive awards earned in respect of 2022 and paid out in January 2023 are reported as “Non-Equity Incentive Plan Compensation” in the Summary Compensation Table above. The maximum amount in this column represents the maximum cash incentive allocated to each executive by the Compensation Committee in March 2022 under the Cash Incentive Bonus Plan.</w:t>
            </w:r>
          </w:p>
          <w:p>
            <w:pPr>
              <w:pStyle w:val="TableContents"/>
              <w:spacing w:before="0" w:after="0"/>
              <w:ind w:left="0" w:right="30" w:hanging="0"/>
              <w:rPr>
                <w:rFonts w:ascii="Arial" w:hAnsi="Arial"/>
                <w:color w:val="245BA7"/>
                <w:sz w:val="20"/>
              </w:rPr>
            </w:pPr>
            <w:r>
              <w:rPr>
                <w:rFonts w:ascii="Arial" w:hAnsi="Arial"/>
                <w:color w:val="245BA7"/>
                <w:sz w:val="20"/>
              </w:rPr>
              <w:t>2</w:t>
            </w:r>
          </w:p>
          <w:p>
            <w:pPr>
              <w:pStyle w:val="TableContents"/>
              <w:pBdr/>
              <w:spacing w:before="0" w:after="0"/>
              <w:ind w:left="0" w:right="30" w:hanging="0"/>
              <w:rPr>
                <w:rFonts w:ascii="Arial" w:hAnsi="Arial"/>
                <w:color w:val="000000"/>
                <w:sz w:val="20"/>
              </w:rPr>
            </w:pPr>
            <w:r>
              <w:rPr>
                <w:rFonts w:ascii="Arial" w:hAnsi="Arial"/>
                <w:color w:val="000000"/>
                <w:sz w:val="20"/>
              </w:rPr>
              <w:t xml:space="preserve">These options have an exercise price equal to the average of the high and low sales price per share of the Company’s common stock on the date of grant. Therefore, the closing price of our common stock on the grant date may be higher or lower than the exercise price of these options. </w:t>
            </w:r>
          </w:p>
          <w:p>
            <w:pPr>
              <w:pStyle w:val="TableContents"/>
              <w:spacing w:before="0" w:after="0"/>
              <w:ind w:left="0" w:right="30" w:hanging="0"/>
              <w:rPr>
                <w:rFonts w:ascii="Arial" w:hAnsi="Arial"/>
                <w:color w:val="245BA7"/>
                <w:sz w:val="20"/>
              </w:rPr>
            </w:pPr>
            <w:r>
              <w:rPr>
                <w:rFonts w:ascii="Arial" w:hAnsi="Arial"/>
                <w:color w:val="245BA7"/>
                <w:sz w:val="20"/>
              </w:rPr>
              <w:t>3</w:t>
            </w:r>
          </w:p>
          <w:p>
            <w:pPr>
              <w:pStyle w:val="TableContents"/>
              <w:pBdr/>
              <w:spacing w:before="0" w:after="0"/>
              <w:ind w:left="0" w:right="30" w:hanging="0"/>
              <w:rPr>
                <w:rFonts w:ascii="Arial" w:hAnsi="Arial"/>
                <w:color w:val="000000"/>
                <w:sz w:val="20"/>
              </w:rPr>
            </w:pPr>
            <w:r>
              <w:rPr>
                <w:rFonts w:ascii="Arial" w:hAnsi="Arial"/>
                <w:color w:val="000000"/>
                <w:sz w:val="20"/>
              </w:rPr>
              <w:t xml:space="preserve">The amounts in this column represent the grant date fair value (disregarding estimated forfeitures) of the awards made pursuant to the Second Amended and Restated Regeneron Pharmaceuticals, Inc. 2014 Long-Term Incentive Plan. The valuation assumptions and methodologies used in the calculation of these amounts are included in Note 13 to the Company’s audited financial statements for the fiscal year ended December 31, 2022, included in the 2022 Annual Report. </w:t>
            </w:r>
          </w:p>
          <w:p>
            <w:pPr>
              <w:pStyle w:val="TableContents"/>
              <w:spacing w:before="0" w:after="0"/>
              <w:ind w:left="0" w:right="30" w:hanging="0"/>
              <w:rPr>
                <w:rFonts w:ascii="Arial" w:hAnsi="Arial"/>
                <w:color w:val="245BA7"/>
                <w:sz w:val="20"/>
              </w:rPr>
            </w:pPr>
            <w:r>
              <w:rPr>
                <w:rFonts w:ascii="Arial" w:hAnsi="Arial"/>
                <w:color w:val="245BA7"/>
                <w:sz w:val="20"/>
              </w:rPr>
              <w:t>4</w:t>
            </w:r>
          </w:p>
          <w:p>
            <w:pPr>
              <w:pStyle w:val="TableContents"/>
              <w:pBdr/>
              <w:spacing w:before="0" w:after="0"/>
              <w:ind w:left="0" w:right="30" w:hanging="0"/>
              <w:rPr>
                <w:rFonts w:ascii="Arial" w:hAnsi="Arial"/>
                <w:color w:val="000000"/>
                <w:sz w:val="20"/>
              </w:rPr>
            </w:pPr>
            <w:r>
              <w:rPr>
                <w:rFonts w:ascii="Arial" w:hAnsi="Arial"/>
                <w:color w:val="000000"/>
                <w:sz w:val="20"/>
              </w:rPr>
              <w:t xml:space="preserve">The NEO received a non-qualified stock option award that vests subject to continued employment at a rate of 25% per year over the first four years of the maximum ten-year option term. </w:t>
            </w:r>
          </w:p>
          <w:p>
            <w:pPr>
              <w:pStyle w:val="TableContents"/>
              <w:spacing w:before="0" w:after="0"/>
              <w:ind w:left="0" w:right="30" w:hanging="0"/>
              <w:rPr>
                <w:rFonts w:ascii="Arial" w:hAnsi="Arial"/>
                <w:color w:val="245BA7"/>
                <w:sz w:val="20"/>
              </w:rPr>
            </w:pPr>
            <w:r>
              <w:rPr>
                <w:rFonts w:ascii="Arial" w:hAnsi="Arial"/>
                <w:color w:val="245BA7"/>
                <w:sz w:val="20"/>
              </w:rPr>
              <w:t>5</w:t>
            </w:r>
          </w:p>
          <w:p>
            <w:pPr>
              <w:pStyle w:val="TableContents"/>
              <w:pBdr/>
              <w:spacing w:before="0" w:after="0"/>
              <w:ind w:left="0" w:right="30" w:hanging="0"/>
              <w:rPr>
                <w:rFonts w:ascii="Arial" w:hAnsi="Arial"/>
                <w:color w:val="000000"/>
                <w:sz w:val="20"/>
              </w:rPr>
            </w:pPr>
            <w:r>
              <w:rPr>
                <w:rFonts w:ascii="Arial" w:hAnsi="Arial"/>
                <w:color w:val="000000"/>
                <w:sz w:val="20"/>
              </w:rPr>
              <w:t>The NEO received an annual RSA that vests 50% on the second anniversary of the date of grant and 50% on the fourth anniversary of the date of grant, subject to the NEO’s continued employment.</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83"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15" descr=""/>
                          <pic:cNvPicPr>
                            <a:picLocks noChangeAspect="1" noChangeArrowheads="1"/>
                          </pic:cNvPicPr>
                        </pic:nvPicPr>
                        <pic:blipFill>
                          <a:blip r:embed="rId216"/>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80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3"/>
        <w:pBdr/>
        <w:spacing w:before="0" w:after="150"/>
        <w:ind w:left="0" w:right="0" w:hanging="0"/>
        <w:rPr>
          <w:rFonts w:ascii="Arial" w:hAnsi="Arial"/>
          <w:b/>
          <w:i w:val="false"/>
          <w:caps w:val="false"/>
          <w:smallCaps w:val="false"/>
          <w:color w:val="D31B5D"/>
          <w:sz w:val="30"/>
        </w:rPr>
      </w:pPr>
      <w:bookmarkStart w:id="151" w:name="new_id-142"/>
      <w:bookmarkEnd w:id="151"/>
      <w:r>
        <w:rPr>
          <w:rFonts w:ascii="Arial" w:hAnsi="Arial"/>
          <w:b/>
          <w:i w:val="false"/>
          <w:caps w:val="false"/>
          <w:smallCaps w:val="false"/>
          <w:color w:val="D31B5D"/>
          <w:sz w:val="30"/>
        </w:rPr>
        <w:t xml:space="preserve">OUTSTANDING EQUITY AWARDS AT 2022 FISCAL YEAR-END </w:t>
      </w:r>
    </w:p>
    <w:p>
      <w:pPr>
        <w:pStyle w:val="TextBody"/>
        <w:pBdr/>
        <w:spacing w:before="0" w:after="210"/>
        <w:ind w:left="0" w:right="0" w:hanging="0"/>
        <w:rPr>
          <w:rFonts w:ascii="Arial" w:hAnsi="Arial"/>
          <w:color w:val="000000"/>
          <w:sz w:val="21"/>
        </w:rPr>
      </w:pPr>
      <w:r>
        <w:rPr>
          <w:rFonts w:ascii="Arial" w:hAnsi="Arial"/>
          <w:color w:val="000000"/>
          <w:sz w:val="21"/>
        </w:rPr>
        <w:t xml:space="preserve">The following table and explanatory footnotes provide information regarding unexercised stock options and PSUs or RSAs (as applicable) held by our NEOs as of December 31, 2022. </w:t>
      </w:r>
    </w:p>
    <w:tbl>
      <w:tblPr>
        <w:tblW w:w="10205" w:type="dxa"/>
        <w:jc w:val="left"/>
        <w:tblInd w:w="0" w:type="dxa"/>
        <w:tblCellMar>
          <w:top w:w="45" w:type="dxa"/>
          <w:left w:w="0" w:type="dxa"/>
          <w:bottom w:w="75" w:type="dxa"/>
          <w:right w:w="0" w:type="dxa"/>
        </w:tblCellMar>
      </w:tblPr>
      <w:tblGrid>
        <w:gridCol w:w="1782"/>
        <w:gridCol w:w="959"/>
        <w:gridCol w:w="868"/>
        <w:gridCol w:w="210"/>
        <w:gridCol w:w="985"/>
        <w:gridCol w:w="689"/>
        <w:gridCol w:w="848"/>
        <w:gridCol w:w="600"/>
        <w:gridCol w:w="215"/>
        <w:gridCol w:w="882"/>
        <w:gridCol w:w="132"/>
        <w:gridCol w:w="698"/>
        <w:gridCol w:w="144"/>
        <w:gridCol w:w="1026"/>
        <w:gridCol w:w="167"/>
      </w:tblGrid>
      <w:tr>
        <w:trPr/>
        <w:tc>
          <w:tcPr>
            <w:tcW w:w="1782" w:type="dxa"/>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A</w:t>
            </w:r>
          </w:p>
        </w:tc>
        <w:tc>
          <w:tcPr>
            <w:tcW w:w="959"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B</w:t>
            </w:r>
          </w:p>
        </w:tc>
        <w:tc>
          <w:tcPr>
            <w:tcW w:w="1078" w:type="dxa"/>
            <w:gridSpan w:val="2"/>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C</w:t>
            </w:r>
          </w:p>
        </w:tc>
        <w:tc>
          <w:tcPr>
            <w:tcW w:w="985"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D</w:t>
            </w:r>
          </w:p>
        </w:tc>
        <w:tc>
          <w:tcPr>
            <w:tcW w:w="689"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E</w:t>
            </w:r>
          </w:p>
        </w:tc>
        <w:tc>
          <w:tcPr>
            <w:tcW w:w="848"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F</w:t>
            </w:r>
          </w:p>
        </w:tc>
        <w:tc>
          <w:tcPr>
            <w:tcW w:w="815" w:type="dxa"/>
            <w:gridSpan w:val="2"/>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G</w:t>
            </w:r>
          </w:p>
        </w:tc>
        <w:tc>
          <w:tcPr>
            <w:tcW w:w="1014" w:type="dxa"/>
            <w:gridSpan w:val="2"/>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H</w:t>
            </w:r>
          </w:p>
        </w:tc>
        <w:tc>
          <w:tcPr>
            <w:tcW w:w="842" w:type="dxa"/>
            <w:gridSpan w:val="2"/>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I</w:t>
            </w:r>
          </w:p>
        </w:tc>
        <w:tc>
          <w:tcPr>
            <w:tcW w:w="1193" w:type="dxa"/>
            <w:gridSpan w:val="2"/>
            <w:tcBorders>
              <w:top w:val="single" w:sz="2" w:space="0" w:color="245BA7"/>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J</w:t>
            </w:r>
          </w:p>
        </w:tc>
      </w:tr>
      <w:tr>
        <w:trPr/>
        <w:tc>
          <w:tcPr>
            <w:tcW w:w="1782" w:type="dxa"/>
            <w:tcBorders/>
            <w:shd w:fill="auto" w:val="clear"/>
            <w:tcMar>
              <w:top w:w="0" w:type="dxa"/>
              <w:bottom w:w="0" w:type="dxa"/>
            </w:tcMar>
            <w:vAlign w:val="center"/>
          </w:tcPr>
          <w:p>
            <w:pPr>
              <w:pStyle w:val="TableContents"/>
              <w:pBdr/>
              <w:spacing w:before="15" w:after="0"/>
              <w:ind w:left="0" w:right="0" w:hanging="0"/>
              <w:jc w:val="center"/>
              <w:rPr>
                <w:color w:val="000000"/>
              </w:rPr>
            </w:pPr>
            <w:r>
              <w:rPr>
                <w:color w:val="000000"/>
              </w:rPr>
              <w:t> </w:t>
            </w:r>
          </w:p>
        </w:tc>
        <w:tc>
          <w:tcPr>
            <w:tcW w:w="4559" w:type="dxa"/>
            <w:gridSpan w:val="6"/>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Option Awards</w:t>
            </w:r>
          </w:p>
        </w:tc>
        <w:tc>
          <w:tcPr>
            <w:tcW w:w="3864" w:type="dxa"/>
            <w:gridSpan w:val="8"/>
            <w:tcBorders>
              <w:bottom w:val="single" w:sz="12" w:space="0" w:color="245AA7"/>
            </w:tcBorders>
            <w:shd w:fill="auto" w:val="clear"/>
            <w:tcMar>
              <w:top w:w="0"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Stock Awards</w:t>
            </w:r>
          </w:p>
        </w:tc>
      </w:tr>
      <w:tr>
        <w:trPr/>
        <w:tc>
          <w:tcPr>
            <w:tcW w:w="1782" w:type="dxa"/>
            <w:tcBorders>
              <w:bottom w:val="single" w:sz="12" w:space="0" w:color="245AA7"/>
            </w:tcBorders>
            <w:shd w:fill="auto" w:val="clear"/>
            <w:tcMar>
              <w:top w:w="0" w:type="dxa"/>
            </w:tcMar>
            <w:vAlign w:val="center"/>
          </w:tcPr>
          <w:p>
            <w:pPr>
              <w:pStyle w:val="TableContents"/>
              <w:pBdr/>
              <w:spacing w:before="15" w:after="0"/>
              <w:ind w:left="15" w:right="15" w:hanging="0"/>
              <w:rPr>
                <w:rFonts w:ascii="Arial" w:hAnsi="Arial"/>
                <w:b/>
                <w:color w:val="245BA7"/>
                <w:sz w:val="15"/>
              </w:rPr>
            </w:pPr>
            <w:r>
              <w:rPr>
                <w:rFonts w:ascii="Arial" w:hAnsi="Arial"/>
                <w:b/>
                <w:color w:val="245BA7"/>
                <w:sz w:val="15"/>
              </w:rPr>
              <w:t>Name</w:t>
            </w:r>
          </w:p>
        </w:tc>
        <w:tc>
          <w:tcPr>
            <w:tcW w:w="959"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Number of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securities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underlying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unexercised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options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exercisable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w:t>
            </w:r>
          </w:p>
        </w:tc>
        <w:tc>
          <w:tcPr>
            <w:tcW w:w="1078" w:type="dxa"/>
            <w:gridSpan w:val="2"/>
            <w:tcBorders>
              <w:bottom w:val="single" w:sz="12" w:space="0" w:color="245AA7"/>
            </w:tcBorders>
            <w:shd w:fill="auto" w:val="clear"/>
            <w:tcMar>
              <w:top w:w="0"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 xml:space="preserve">Number of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securities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underlying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unexercised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options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unexercisable </w:t>
            </w:r>
          </w:p>
          <w:p>
            <w:pPr>
              <w:pStyle w:val="TableContents"/>
              <w:pBdr/>
              <w:spacing w:before="0" w:after="0"/>
              <w:ind w:left="0" w:right="0" w:hanging="0"/>
              <w:jc w:val="center"/>
              <w:rPr>
                <w:rFonts w:ascii="Arial" w:hAnsi="Arial"/>
                <w:b/>
                <w:color w:val="245BA7"/>
                <w:sz w:val="15"/>
              </w:rPr>
            </w:pPr>
            <w:r>
              <w:rPr>
                <w:rFonts w:ascii="Arial" w:hAnsi="Arial"/>
                <w:b/>
                <w:color w:val="245BA7"/>
                <w:sz w:val="15"/>
              </w:rPr>
              <w:t>(#)</w:t>
            </w:r>
          </w:p>
        </w:tc>
        <w:tc>
          <w:tcPr>
            <w:tcW w:w="985"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Equity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incentive plan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awards: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number of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securities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underlying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unexercised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unearned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options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w:t>
            </w:r>
          </w:p>
        </w:tc>
        <w:tc>
          <w:tcPr>
            <w:tcW w:w="689"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Option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exercise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price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w:t>
            </w:r>
          </w:p>
        </w:tc>
        <w:tc>
          <w:tcPr>
            <w:tcW w:w="848" w:type="dxa"/>
            <w:tcBorders>
              <w:bottom w:val="single" w:sz="12" w:space="0" w:color="245AA7"/>
            </w:tcBorders>
            <w:shd w:fill="auto" w:val="clear"/>
            <w:tcMar>
              <w:top w:w="0"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Option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expiration date</w:t>
            </w:r>
          </w:p>
        </w:tc>
        <w:tc>
          <w:tcPr>
            <w:tcW w:w="815" w:type="dxa"/>
            <w:gridSpan w:val="2"/>
            <w:tcBorders>
              <w:bottom w:val="single" w:sz="12" w:space="0" w:color="245AA7"/>
            </w:tcBorders>
            <w:shd w:fill="auto" w:val="clear"/>
            <w:tcMar>
              <w:top w:w="0"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 xml:space="preserve">Number of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shares or units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of stock that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have not vested </w:t>
            </w:r>
          </w:p>
          <w:p>
            <w:pPr>
              <w:pStyle w:val="TableContents"/>
              <w:pBdr/>
              <w:spacing w:before="0" w:after="0"/>
              <w:ind w:left="0" w:right="0" w:hanging="0"/>
              <w:jc w:val="center"/>
              <w:rPr>
                <w:rFonts w:ascii="Arial" w:hAnsi="Arial"/>
                <w:b/>
                <w:color w:val="245BA7"/>
                <w:sz w:val="15"/>
              </w:rPr>
            </w:pPr>
            <w:r>
              <w:rPr>
                <w:rFonts w:ascii="Arial" w:hAnsi="Arial"/>
                <w:b/>
                <w:color w:val="245BA7"/>
                <w:sz w:val="15"/>
              </w:rPr>
              <w:t>(#)</w:t>
            </w:r>
          </w:p>
        </w:tc>
        <w:tc>
          <w:tcPr>
            <w:tcW w:w="1014" w:type="dxa"/>
            <w:gridSpan w:val="2"/>
            <w:tcBorders>
              <w:bottom w:val="single" w:sz="12" w:space="0" w:color="245AA7"/>
            </w:tcBorders>
            <w:shd w:fill="auto" w:val="clear"/>
            <w:tcMar>
              <w:top w:w="0"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 xml:space="preserve">Market value of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shares or units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of stock that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have not vested </w:t>
            </w:r>
          </w:p>
          <w:p>
            <w:pPr>
              <w:pStyle w:val="TableContents"/>
              <w:pBdr/>
              <w:spacing w:before="0" w:after="0"/>
              <w:ind w:left="0" w:right="0" w:hanging="0"/>
              <w:jc w:val="center"/>
              <w:rPr>
                <w:rFonts w:ascii="Arial" w:hAnsi="Arial"/>
                <w:b/>
                <w:color w:val="245BA7"/>
                <w:sz w:val="15"/>
              </w:rPr>
            </w:pPr>
            <w:r>
              <w:rPr>
                <w:rFonts w:ascii="Arial" w:hAnsi="Arial"/>
                <w:b/>
                <w:color w:val="245BA7"/>
                <w:sz w:val="15"/>
              </w:rPr>
              <w:t>($)</w:t>
            </w:r>
          </w:p>
        </w:tc>
        <w:tc>
          <w:tcPr>
            <w:tcW w:w="842" w:type="dxa"/>
            <w:gridSpan w:val="2"/>
            <w:tcBorders>
              <w:bottom w:val="single" w:sz="12" w:space="0" w:color="245AA7"/>
            </w:tcBorders>
            <w:shd w:fill="auto" w:val="clear"/>
            <w:tcMar>
              <w:top w:w="0"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 xml:space="preserve">Equity incentive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plan awards: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number of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unearned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shares, units or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other rights that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have not vested </w:t>
            </w:r>
          </w:p>
          <w:p>
            <w:pPr>
              <w:pStyle w:val="TableContents"/>
              <w:pBdr/>
              <w:spacing w:before="0" w:after="0"/>
              <w:ind w:left="0" w:right="0" w:hanging="0"/>
              <w:jc w:val="center"/>
              <w:rPr>
                <w:rFonts w:ascii="Arial" w:hAnsi="Arial"/>
                <w:b/>
                <w:color w:val="245BA7"/>
                <w:sz w:val="15"/>
              </w:rPr>
            </w:pPr>
            <w:r>
              <w:rPr>
                <w:rFonts w:ascii="Arial" w:hAnsi="Arial"/>
                <w:b/>
                <w:color w:val="245BA7"/>
                <w:sz w:val="15"/>
              </w:rPr>
              <w:t>(#)</w:t>
            </w:r>
          </w:p>
        </w:tc>
        <w:tc>
          <w:tcPr>
            <w:tcW w:w="1193" w:type="dxa"/>
            <w:gridSpan w:val="2"/>
            <w:tcBorders>
              <w:bottom w:val="single" w:sz="12" w:space="0" w:color="245AA7"/>
            </w:tcBorders>
            <w:shd w:fill="auto" w:val="clear"/>
            <w:tcMar>
              <w:top w:w="0"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 xml:space="preserve">Equity incentive plan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awards: market or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payout value of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unearned shares,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units or other rights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that have not vested </w:t>
            </w:r>
          </w:p>
          <w:p>
            <w:pPr>
              <w:pStyle w:val="TableContents"/>
              <w:pBdr/>
              <w:spacing w:before="0" w:after="0"/>
              <w:ind w:left="0" w:right="0" w:hanging="0"/>
              <w:jc w:val="center"/>
              <w:rPr>
                <w:rFonts w:ascii="Arial" w:hAnsi="Arial"/>
                <w:b/>
                <w:color w:val="245BA7"/>
                <w:sz w:val="15"/>
              </w:rPr>
            </w:pPr>
            <w:r>
              <w:rPr>
                <w:rFonts w:ascii="Arial" w:hAnsi="Arial"/>
                <w:b/>
                <w:color w:val="245BA7"/>
                <w:sz w:val="15"/>
              </w:rPr>
              <w:t>($)</w:t>
            </w:r>
          </w:p>
        </w:tc>
      </w:tr>
      <w:tr>
        <w:trPr/>
        <w:tc>
          <w:tcPr>
            <w:tcW w:w="1782" w:type="dxa"/>
            <w:vMerge w:val="restart"/>
            <w:tcBorders/>
            <w:shd w:fill="auto" w:val="clear"/>
            <w:tcMar>
              <w:top w:w="0" w:type="dxa"/>
              <w:bottom w:w="0" w:type="dxa"/>
            </w:tcMar>
            <w:vAlign w:val="center"/>
          </w:tcPr>
          <w:p>
            <w:pPr>
              <w:pStyle w:val="TableContents"/>
              <w:pBdr/>
              <w:spacing w:before="0" w:after="15"/>
              <w:ind w:left="15" w:right="0" w:hanging="0"/>
              <w:rPr>
                <w:rFonts w:ascii="Arial" w:hAnsi="Arial"/>
                <w:b/>
                <w:color w:val="D31B5D"/>
                <w:sz w:val="20"/>
              </w:rPr>
            </w:pPr>
            <w:r>
              <w:rPr>
                <w:rFonts w:ascii="Arial" w:hAnsi="Arial"/>
                <w:b/>
                <w:color w:val="D31B5D"/>
                <w:sz w:val="20"/>
              </w:rPr>
              <w:t>Leonard S. Schleifer, M.D., Ph.D.</w:t>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60,959</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20,319</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1</w:t>
            </w:r>
            <w:r>
              <w:rPr>
                <w:rFonts w:ascii="Arial" w:hAnsi="Arial"/>
                <w:color w:val="000000"/>
                <w:sz w:val="15"/>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372.46</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12/11/2029</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129,013</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381.40</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12/12/2028</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139,474</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378.98</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12/12/2027</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146,815</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381.92</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12/16/2026</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172,723</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555.67</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12/16/2025</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203,204</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399.66</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12/16/2024</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248,108</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2</w:t>
            </w:r>
            <w:r>
              <w:rPr>
                <w:rFonts w:ascii="Arial" w:hAnsi="Arial"/>
                <w:color w:val="000000"/>
                <w:sz w:val="15"/>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179,007,441</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25,155</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3</w:t>
            </w:r>
            <w:r>
              <w:rPr>
                <w:rFonts w:ascii="Arial" w:hAnsi="Arial"/>
                <w:color w:val="000000"/>
                <w:sz w:val="15"/>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18,149,081</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r>
      <w:tr>
        <w:trPr/>
        <w:tc>
          <w:tcPr>
            <w:tcW w:w="1782" w:type="dxa"/>
            <w:tcBorders>
              <w:bottom w:val="single" w:sz="2" w:space="0" w:color="000000"/>
            </w:tcBorders>
            <w:shd w:fill="auto" w:val="clear"/>
            <w:tcMar>
              <w:top w:w="0" w:type="dxa"/>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TOTAL</w:t>
            </w:r>
          </w:p>
        </w:tc>
        <w:tc>
          <w:tcPr>
            <w:tcW w:w="959" w:type="dxa"/>
            <w:tcBorders>
              <w:bottom w:val="single" w:sz="2" w:space="0" w:color="000000"/>
            </w:tcBorders>
            <w:shd w:fill="auto" w:val="clear"/>
            <w:tcMar>
              <w:top w:w="0" w:type="dxa"/>
              <w:bottom w:w="30" w:type="dxa"/>
            </w:tcMar>
            <w:vAlign w:val="center"/>
          </w:tcPr>
          <w:p>
            <w:pPr>
              <w:pStyle w:val="TableContents"/>
              <w:pBdr/>
              <w:spacing w:before="0" w:after="15"/>
              <w:ind w:left="15" w:right="15" w:hanging="0"/>
              <w:jc w:val="right"/>
              <w:rPr>
                <w:rFonts w:ascii="Arial" w:hAnsi="Arial"/>
                <w:b/>
                <w:color w:val="000000"/>
                <w:sz w:val="15"/>
              </w:rPr>
            </w:pPr>
            <w:r>
              <w:rPr>
                <w:rFonts w:ascii="Arial" w:hAnsi="Arial"/>
                <w:b/>
                <w:color w:val="000000"/>
                <w:sz w:val="15"/>
              </w:rPr>
              <w:t>852,188</w:t>
            </w:r>
          </w:p>
        </w:tc>
        <w:tc>
          <w:tcPr>
            <w:tcW w:w="868" w:type="dxa"/>
            <w:tcBorders>
              <w:bottom w:val="single" w:sz="2" w:space="0" w:color="000000"/>
            </w:tcBorders>
            <w:shd w:fill="auto" w:val="clear"/>
            <w:tcMar>
              <w:top w:w="0" w:type="dxa"/>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20,319</w:t>
            </w:r>
          </w:p>
        </w:tc>
        <w:tc>
          <w:tcPr>
            <w:tcW w:w="210"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000000"/>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 </w:t>
            </w:r>
          </w:p>
        </w:tc>
        <w:tc>
          <w:tcPr>
            <w:tcW w:w="689" w:type="dxa"/>
            <w:tcBorders>
              <w:bottom w:val="single" w:sz="2" w:space="0" w:color="000000"/>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 </w:t>
            </w:r>
          </w:p>
        </w:tc>
        <w:tc>
          <w:tcPr>
            <w:tcW w:w="848" w:type="dxa"/>
            <w:tcBorders>
              <w:bottom w:val="single" w:sz="2" w:space="0" w:color="000000"/>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 </w:t>
            </w:r>
          </w:p>
        </w:tc>
        <w:tc>
          <w:tcPr>
            <w:tcW w:w="600" w:type="dxa"/>
            <w:tcBorders>
              <w:bottom w:val="single" w:sz="2" w:space="0" w:color="000000"/>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 </w:t>
            </w:r>
          </w:p>
        </w:tc>
        <w:tc>
          <w:tcPr>
            <w:tcW w:w="215"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000000"/>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 </w:t>
            </w:r>
          </w:p>
        </w:tc>
        <w:tc>
          <w:tcPr>
            <w:tcW w:w="132"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000000"/>
            </w:tcBorders>
            <w:shd w:fill="auto" w:val="clear"/>
            <w:tcMar>
              <w:top w:w="0" w:type="dxa"/>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273,263</w:t>
            </w:r>
          </w:p>
        </w:tc>
        <w:tc>
          <w:tcPr>
            <w:tcW w:w="144"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000000"/>
            </w:tcBorders>
            <w:shd w:fill="auto" w:val="clear"/>
            <w:tcMar>
              <w:top w:w="0" w:type="dxa"/>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197,156,522</w:t>
            </w:r>
          </w:p>
        </w:tc>
        <w:tc>
          <w:tcPr>
            <w:tcW w:w="167"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restart"/>
            <w:tcBorders>
              <w:top w:val="single" w:sz="2" w:space="0" w:color="F2F2F2"/>
              <w:bottom w:val="single" w:sz="2" w:space="0" w:color="F2F2F2"/>
            </w:tcBorders>
            <w:shd w:fill="F2F2F2" w:val="clear"/>
            <w:tcMar>
              <w:bottom w:w="30" w:type="dxa"/>
            </w:tcMar>
            <w:vAlign w:val="center"/>
          </w:tcPr>
          <w:p>
            <w:pPr>
              <w:pStyle w:val="TableContents"/>
              <w:pBdr/>
              <w:spacing w:before="0" w:after="15"/>
              <w:ind w:left="15" w:right="0" w:hanging="0"/>
              <w:rPr>
                <w:rFonts w:ascii="Arial" w:hAnsi="Arial"/>
                <w:b/>
                <w:color w:val="D31B5D"/>
                <w:sz w:val="20"/>
              </w:rPr>
            </w:pPr>
            <w:r>
              <w:rPr>
                <w:rFonts w:ascii="Arial" w:hAnsi="Arial"/>
                <w:b/>
                <w:color w:val="D31B5D"/>
                <w:sz w:val="20"/>
              </w:rPr>
              <w:t>George D. Yancopoulos, M.D., Ph.D.</w:t>
            </w:r>
          </w:p>
        </w:tc>
        <w:tc>
          <w:tcPr>
            <w:tcW w:w="95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60,959</w:t>
            </w:r>
          </w:p>
        </w:tc>
        <w:tc>
          <w:tcPr>
            <w:tcW w:w="86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20,319</w:t>
            </w:r>
          </w:p>
        </w:tc>
        <w:tc>
          <w:tcPr>
            <w:tcW w:w="21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1</w:t>
            </w:r>
            <w:r>
              <w:rPr>
                <w:rFonts w:ascii="Arial" w:hAnsi="Arial"/>
                <w:color w:val="000000"/>
                <w:sz w:val="15"/>
              </w:rPr>
              <w:t> </w:t>
            </w:r>
          </w:p>
        </w:tc>
        <w:tc>
          <w:tcPr>
            <w:tcW w:w="985"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372.46</w:t>
            </w:r>
          </w:p>
        </w:tc>
        <w:tc>
          <w:tcPr>
            <w:tcW w:w="84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12/11/2029</w:t>
            </w:r>
          </w:p>
        </w:tc>
        <w:tc>
          <w:tcPr>
            <w:tcW w:w="600"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top w:val="single" w:sz="2" w:space="0" w:color="F2F2F2"/>
              <w:bottom w:val="single" w:sz="2" w:space="0" w:color="F2F2F2"/>
            </w:tcBorders>
            <w:shd w:fill="F2F2F2" w:val="clear"/>
            <w:tcMar>
              <w:bottom w:w="30" w:type="dxa"/>
            </w:tcMar>
            <w:vAlign w:val="center"/>
          </w:tcPr>
          <w:p>
            <w:pPr>
              <w:pStyle w:val="Normal"/>
              <w:rPr/>
            </w:pPr>
            <w:r>
              <w:rPr/>
            </w:r>
          </w:p>
        </w:tc>
        <w:tc>
          <w:tcPr>
            <w:tcW w:w="95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129,013</w:t>
            </w:r>
          </w:p>
        </w:tc>
        <w:tc>
          <w:tcPr>
            <w:tcW w:w="86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381.40</w:t>
            </w:r>
          </w:p>
        </w:tc>
        <w:tc>
          <w:tcPr>
            <w:tcW w:w="84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12/12/2028</w:t>
            </w:r>
          </w:p>
        </w:tc>
        <w:tc>
          <w:tcPr>
            <w:tcW w:w="600"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top w:val="single" w:sz="2" w:space="0" w:color="F2F2F2"/>
              <w:bottom w:val="single" w:sz="2" w:space="0" w:color="F2F2F2"/>
            </w:tcBorders>
            <w:shd w:fill="F2F2F2" w:val="clear"/>
            <w:tcMar>
              <w:bottom w:w="30" w:type="dxa"/>
            </w:tcMar>
            <w:vAlign w:val="center"/>
          </w:tcPr>
          <w:p>
            <w:pPr>
              <w:pStyle w:val="Normal"/>
              <w:rPr/>
            </w:pPr>
            <w:r>
              <w:rPr/>
            </w:r>
          </w:p>
        </w:tc>
        <w:tc>
          <w:tcPr>
            <w:tcW w:w="95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139,474</w:t>
            </w:r>
          </w:p>
        </w:tc>
        <w:tc>
          <w:tcPr>
            <w:tcW w:w="86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378.98</w:t>
            </w:r>
          </w:p>
        </w:tc>
        <w:tc>
          <w:tcPr>
            <w:tcW w:w="84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12/12/2027</w:t>
            </w:r>
          </w:p>
        </w:tc>
        <w:tc>
          <w:tcPr>
            <w:tcW w:w="600"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top w:val="single" w:sz="2" w:space="0" w:color="F2F2F2"/>
              <w:bottom w:val="single" w:sz="2" w:space="0" w:color="F2F2F2"/>
            </w:tcBorders>
            <w:shd w:fill="F2F2F2" w:val="clear"/>
            <w:tcMar>
              <w:bottom w:w="30" w:type="dxa"/>
            </w:tcMar>
            <w:vAlign w:val="center"/>
          </w:tcPr>
          <w:p>
            <w:pPr>
              <w:pStyle w:val="Normal"/>
              <w:rPr/>
            </w:pPr>
            <w:r>
              <w:rPr/>
            </w:r>
          </w:p>
        </w:tc>
        <w:tc>
          <w:tcPr>
            <w:tcW w:w="95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146,815</w:t>
            </w:r>
          </w:p>
        </w:tc>
        <w:tc>
          <w:tcPr>
            <w:tcW w:w="86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381.92</w:t>
            </w:r>
          </w:p>
        </w:tc>
        <w:tc>
          <w:tcPr>
            <w:tcW w:w="84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12/16/2026</w:t>
            </w:r>
          </w:p>
        </w:tc>
        <w:tc>
          <w:tcPr>
            <w:tcW w:w="600"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top w:val="single" w:sz="2" w:space="0" w:color="F2F2F2"/>
              <w:bottom w:val="single" w:sz="2" w:space="0" w:color="F2F2F2"/>
            </w:tcBorders>
            <w:shd w:fill="F2F2F2" w:val="clear"/>
            <w:tcMar>
              <w:bottom w:w="30" w:type="dxa"/>
            </w:tcMar>
            <w:vAlign w:val="center"/>
          </w:tcPr>
          <w:p>
            <w:pPr>
              <w:pStyle w:val="Normal"/>
              <w:rPr/>
            </w:pPr>
            <w:r>
              <w:rPr/>
            </w:r>
          </w:p>
        </w:tc>
        <w:tc>
          <w:tcPr>
            <w:tcW w:w="95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146,815</w:t>
            </w:r>
          </w:p>
        </w:tc>
        <w:tc>
          <w:tcPr>
            <w:tcW w:w="86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555.67</w:t>
            </w:r>
          </w:p>
        </w:tc>
        <w:tc>
          <w:tcPr>
            <w:tcW w:w="84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12/16/2025</w:t>
            </w:r>
          </w:p>
        </w:tc>
        <w:tc>
          <w:tcPr>
            <w:tcW w:w="600"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top w:val="single" w:sz="2" w:space="0" w:color="F2F2F2"/>
              <w:bottom w:val="single" w:sz="2" w:space="0" w:color="F2F2F2"/>
            </w:tcBorders>
            <w:shd w:fill="F2F2F2" w:val="clear"/>
            <w:tcMar>
              <w:bottom w:w="30" w:type="dxa"/>
            </w:tcMar>
            <w:vAlign w:val="center"/>
          </w:tcPr>
          <w:p>
            <w:pPr>
              <w:pStyle w:val="Normal"/>
              <w:rPr/>
            </w:pPr>
            <w:r>
              <w:rPr/>
            </w:r>
          </w:p>
        </w:tc>
        <w:tc>
          <w:tcPr>
            <w:tcW w:w="95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172,723</w:t>
            </w:r>
          </w:p>
        </w:tc>
        <w:tc>
          <w:tcPr>
            <w:tcW w:w="86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399.66</w:t>
            </w:r>
          </w:p>
        </w:tc>
        <w:tc>
          <w:tcPr>
            <w:tcW w:w="84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12/16/2024</w:t>
            </w:r>
          </w:p>
        </w:tc>
        <w:tc>
          <w:tcPr>
            <w:tcW w:w="600"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top w:val="single" w:sz="2" w:space="0" w:color="F2F2F2"/>
              <w:bottom w:val="single" w:sz="2" w:space="0" w:color="F2F2F2"/>
            </w:tcBorders>
            <w:shd w:fill="F2F2F2" w:val="clear"/>
            <w:tcMar>
              <w:bottom w:w="30" w:type="dxa"/>
            </w:tcMar>
            <w:vAlign w:val="center"/>
          </w:tcPr>
          <w:p>
            <w:pPr>
              <w:pStyle w:val="Normal"/>
              <w:rPr/>
            </w:pPr>
            <w:r>
              <w:rPr/>
            </w:r>
          </w:p>
        </w:tc>
        <w:tc>
          <w:tcPr>
            <w:tcW w:w="95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6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4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00"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248,108</w:t>
            </w:r>
          </w:p>
        </w:tc>
        <w:tc>
          <w:tcPr>
            <w:tcW w:w="144"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2</w:t>
            </w:r>
            <w:r>
              <w:rPr>
                <w:rFonts w:ascii="Arial" w:hAnsi="Arial"/>
                <w:color w:val="000000"/>
                <w:sz w:val="15"/>
              </w:rPr>
              <w:t> </w:t>
            </w:r>
          </w:p>
        </w:tc>
        <w:tc>
          <w:tcPr>
            <w:tcW w:w="1026"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179,007,441</w:t>
            </w:r>
          </w:p>
        </w:tc>
        <w:tc>
          <w:tcPr>
            <w:tcW w:w="167"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r>
      <w:tr>
        <w:trPr/>
        <w:tc>
          <w:tcPr>
            <w:tcW w:w="1782" w:type="dxa"/>
            <w:vMerge w:val="continue"/>
            <w:tcBorders>
              <w:top w:val="single" w:sz="2" w:space="0" w:color="F2F2F2"/>
              <w:bottom w:val="single" w:sz="2" w:space="0" w:color="F2F2F2"/>
            </w:tcBorders>
            <w:shd w:fill="F2F2F2" w:val="clear"/>
            <w:tcMar>
              <w:bottom w:w="30" w:type="dxa"/>
            </w:tcMar>
            <w:vAlign w:val="center"/>
          </w:tcPr>
          <w:p>
            <w:pPr>
              <w:pStyle w:val="Normal"/>
              <w:rPr/>
            </w:pPr>
            <w:r>
              <w:rPr/>
            </w:r>
          </w:p>
        </w:tc>
        <w:tc>
          <w:tcPr>
            <w:tcW w:w="95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6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4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00"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25,155</w:t>
            </w:r>
          </w:p>
        </w:tc>
        <w:tc>
          <w:tcPr>
            <w:tcW w:w="144"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3</w:t>
            </w:r>
            <w:r>
              <w:rPr>
                <w:rFonts w:ascii="Arial" w:hAnsi="Arial"/>
                <w:color w:val="000000"/>
                <w:sz w:val="15"/>
              </w:rPr>
              <w:t> </w:t>
            </w:r>
          </w:p>
        </w:tc>
        <w:tc>
          <w:tcPr>
            <w:tcW w:w="1026" w:type="dxa"/>
            <w:tcBorders>
              <w:top w:val="single" w:sz="2" w:space="0" w:color="F2F2F2"/>
              <w:bottom w:val="single" w:sz="2" w:space="0" w:color="575756"/>
            </w:tcBorders>
            <w:shd w:fill="F2F2F2"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18,149,081</w:t>
            </w:r>
          </w:p>
        </w:tc>
        <w:tc>
          <w:tcPr>
            <w:tcW w:w="167"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r>
      <w:tr>
        <w:trPr/>
        <w:tc>
          <w:tcPr>
            <w:tcW w:w="1782" w:type="dxa"/>
            <w:tcBorders>
              <w:top w:val="single" w:sz="2" w:space="0" w:color="F2F2F2"/>
              <w:bottom w:val="single" w:sz="2" w:space="0" w:color="000000"/>
            </w:tcBorders>
            <w:shd w:fill="F2F2F2" w:val="clear"/>
            <w:tcMar>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TOTAL</w:t>
            </w:r>
          </w:p>
        </w:tc>
        <w:tc>
          <w:tcPr>
            <w:tcW w:w="959" w:type="dxa"/>
            <w:tcBorders>
              <w:top w:val="single" w:sz="2" w:space="0" w:color="F2F2F2"/>
              <w:bottom w:val="single" w:sz="2" w:space="0" w:color="000000"/>
            </w:tcBorders>
            <w:shd w:fill="F2F2F2" w:val="clear"/>
            <w:tcMar>
              <w:bottom w:w="30" w:type="dxa"/>
            </w:tcMar>
            <w:vAlign w:val="center"/>
          </w:tcPr>
          <w:p>
            <w:pPr>
              <w:pStyle w:val="TableContents"/>
              <w:pBdr/>
              <w:spacing w:before="0" w:after="15"/>
              <w:ind w:left="15" w:right="15" w:hanging="0"/>
              <w:jc w:val="right"/>
              <w:rPr>
                <w:rFonts w:ascii="Arial" w:hAnsi="Arial"/>
                <w:b/>
                <w:color w:val="000000"/>
                <w:sz w:val="15"/>
              </w:rPr>
            </w:pPr>
            <w:r>
              <w:rPr>
                <w:rFonts w:ascii="Arial" w:hAnsi="Arial"/>
                <w:b/>
                <w:color w:val="000000"/>
                <w:sz w:val="15"/>
              </w:rPr>
              <w:t>795,799</w:t>
            </w:r>
          </w:p>
        </w:tc>
        <w:tc>
          <w:tcPr>
            <w:tcW w:w="868" w:type="dxa"/>
            <w:tcBorders>
              <w:top w:val="single" w:sz="2" w:space="0" w:color="F2F2F2"/>
              <w:bottom w:val="single" w:sz="2" w:space="0" w:color="000000"/>
            </w:tcBorders>
            <w:shd w:fill="F2F2F2" w:val="clear"/>
            <w:tcMar>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20,319</w:t>
            </w:r>
          </w:p>
        </w:tc>
        <w:tc>
          <w:tcPr>
            <w:tcW w:w="210"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top w:val="single" w:sz="2" w:space="0" w:color="F2F2F2"/>
              <w:bottom w:val="single" w:sz="2" w:space="0" w:color="000000"/>
            </w:tcBorders>
            <w:shd w:fill="F2F2F2"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689" w:type="dxa"/>
            <w:tcBorders>
              <w:top w:val="single" w:sz="2" w:space="0" w:color="F2F2F2"/>
              <w:bottom w:val="single" w:sz="2" w:space="0" w:color="000000"/>
            </w:tcBorders>
            <w:shd w:fill="F2F2F2"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848" w:type="dxa"/>
            <w:tcBorders>
              <w:top w:val="single" w:sz="2" w:space="0" w:color="F2F2F2"/>
              <w:bottom w:val="single" w:sz="2" w:space="0" w:color="000000"/>
            </w:tcBorders>
            <w:shd w:fill="F2F2F2"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600" w:type="dxa"/>
            <w:tcBorders>
              <w:top w:val="single" w:sz="2" w:space="0" w:color="F2F2F2"/>
              <w:bottom w:val="single" w:sz="2" w:space="0" w:color="000000"/>
            </w:tcBorders>
            <w:shd w:fill="F2F2F2" w:val="clear"/>
            <w:tcMar>
              <w:bottom w:w="30" w:type="dxa"/>
            </w:tcMar>
            <w:vAlign w:val="center"/>
          </w:tcPr>
          <w:p>
            <w:pPr>
              <w:pStyle w:val="TableContents"/>
              <w:pBdr/>
              <w:spacing w:before="0" w:after="15"/>
              <w:ind w:left="15" w:right="0" w:hanging="0"/>
              <w:jc w:val="right"/>
              <w:rPr>
                <w:color w:val="000000"/>
              </w:rPr>
            </w:pPr>
            <w:r>
              <w:rPr>
                <w:color w:val="000000"/>
              </w:rPr>
              <w:t> </w:t>
            </w:r>
          </w:p>
        </w:tc>
        <w:tc>
          <w:tcPr>
            <w:tcW w:w="215"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000000"/>
            </w:tcBorders>
            <w:shd w:fill="F2F2F2" w:val="clear"/>
            <w:tcMar>
              <w:bottom w:w="30" w:type="dxa"/>
            </w:tcMar>
            <w:vAlign w:val="center"/>
          </w:tcPr>
          <w:p>
            <w:pPr>
              <w:pStyle w:val="TableContents"/>
              <w:pBdr/>
              <w:spacing w:before="0" w:after="15"/>
              <w:ind w:left="15" w:right="0" w:hanging="0"/>
              <w:jc w:val="right"/>
              <w:rPr>
                <w:color w:val="000000"/>
              </w:rPr>
            </w:pPr>
            <w:r>
              <w:rPr>
                <w:color w:val="000000"/>
              </w:rPr>
              <w:t> </w:t>
            </w:r>
          </w:p>
        </w:tc>
        <w:tc>
          <w:tcPr>
            <w:tcW w:w="132"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top w:val="single" w:sz="2" w:space="0" w:color="F2F2F2"/>
              <w:bottom w:val="single" w:sz="2" w:space="0" w:color="000000"/>
            </w:tcBorders>
            <w:shd w:fill="F2F2F2" w:val="clear"/>
            <w:tcMar>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273,263</w:t>
            </w:r>
          </w:p>
        </w:tc>
        <w:tc>
          <w:tcPr>
            <w:tcW w:w="144"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top w:val="single" w:sz="2" w:space="0" w:color="F2F2F2"/>
              <w:bottom w:val="single" w:sz="2" w:space="0" w:color="000000"/>
            </w:tcBorders>
            <w:shd w:fill="F2F2F2" w:val="clear"/>
            <w:tcMar>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197,156,522</w:t>
            </w:r>
          </w:p>
        </w:tc>
        <w:tc>
          <w:tcPr>
            <w:tcW w:w="167"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restart"/>
            <w:tcBorders/>
            <w:shd w:fill="auto" w:val="clear"/>
            <w:tcMar>
              <w:top w:w="0" w:type="dxa"/>
              <w:bottom w:w="0" w:type="dxa"/>
            </w:tcMar>
            <w:vAlign w:val="center"/>
          </w:tcPr>
          <w:p>
            <w:pPr>
              <w:pStyle w:val="TableContents"/>
              <w:pBdr/>
              <w:spacing w:before="0" w:after="15"/>
              <w:ind w:left="15" w:right="0" w:hanging="0"/>
              <w:rPr>
                <w:rFonts w:ascii="Arial" w:hAnsi="Arial"/>
                <w:b/>
                <w:color w:val="D31B5D"/>
                <w:sz w:val="20"/>
              </w:rPr>
            </w:pPr>
            <w:r>
              <w:rPr>
                <w:rFonts w:ascii="Arial" w:hAnsi="Arial"/>
                <w:b/>
                <w:color w:val="D31B5D"/>
                <w:sz w:val="20"/>
              </w:rPr>
              <w:t>Robert E. Landry</w:t>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14,222</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5</w:t>
            </w:r>
            <w:r>
              <w:rPr>
                <w:rFonts w:ascii="Arial" w:hAnsi="Arial"/>
                <w:color w:val="000000"/>
                <w:sz w:val="15"/>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726.53</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12/16/2032</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4,240</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12,718</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6</w:t>
            </w:r>
            <w:r>
              <w:rPr>
                <w:rFonts w:ascii="Arial" w:hAnsi="Arial"/>
                <w:color w:val="000000"/>
                <w:sz w:val="15"/>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644.54</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12/08/2031</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9,976</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9,974</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7</w:t>
            </w:r>
            <w:r>
              <w:rPr>
                <w:rFonts w:ascii="Arial" w:hAnsi="Arial"/>
                <w:color w:val="000000"/>
                <w:sz w:val="15"/>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492.00</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12/09/2030</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18,375</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6,125</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1</w:t>
            </w:r>
            <w:r>
              <w:rPr>
                <w:rFonts w:ascii="Arial" w:hAnsi="Arial"/>
                <w:color w:val="000000"/>
                <w:sz w:val="15"/>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372.46</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12/11/2029</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20,000</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381.40</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12/12/2028</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23,337</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378.98</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12/12/2027</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3,800</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381.92</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12/16/2026</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3,853</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8</w:t>
            </w:r>
            <w:r>
              <w:rPr>
                <w:rFonts w:ascii="Arial" w:hAnsi="Arial"/>
                <w:color w:val="000000"/>
                <w:sz w:val="15"/>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2,779,901</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3,971</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9</w:t>
            </w:r>
            <w:r>
              <w:rPr>
                <w:rFonts w:ascii="Arial" w:hAnsi="Arial"/>
                <w:color w:val="000000"/>
                <w:sz w:val="15"/>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2,865,037</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965</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10</w:t>
            </w:r>
            <w:r>
              <w:rPr>
                <w:rFonts w:ascii="Arial" w:hAnsi="Arial"/>
                <w:color w:val="000000"/>
                <w:sz w:val="15"/>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696,238</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1,312</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12</w:t>
            </w:r>
            <w:r>
              <w:rPr>
                <w:rFonts w:ascii="Arial" w:hAnsi="Arial"/>
                <w:color w:val="000000"/>
                <w:sz w:val="15"/>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946,595</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5,000</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13</w:t>
            </w:r>
            <w:r>
              <w:rPr>
                <w:rFonts w:ascii="Arial" w:hAnsi="Arial"/>
                <w:color w:val="000000"/>
                <w:sz w:val="15"/>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3,607,450</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vMerge w:val="continue"/>
            <w:tcBorders/>
            <w:shd w:fill="auto" w:val="clear"/>
            <w:tcMar>
              <w:top w:w="0" w:type="dxa"/>
              <w:bottom w:w="0" w:type="dxa"/>
            </w:tcMar>
            <w:vAlign w:val="center"/>
          </w:tcPr>
          <w:p>
            <w:pPr>
              <w:pStyle w:val="Normal"/>
              <w:rPr/>
            </w:pPr>
            <w:r>
              <w:rPr/>
            </w:r>
          </w:p>
        </w:tc>
        <w:tc>
          <w:tcPr>
            <w:tcW w:w="95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6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210"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89"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848" w:type="dxa"/>
            <w:tcBorders>
              <w:bottom w:val="single" w:sz="2" w:space="0" w:color="575756"/>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w:t>
            </w:r>
          </w:p>
        </w:tc>
        <w:tc>
          <w:tcPr>
            <w:tcW w:w="600"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12,500</w:t>
            </w:r>
          </w:p>
        </w:tc>
        <w:tc>
          <w:tcPr>
            <w:tcW w:w="215"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14</w:t>
            </w:r>
            <w:r>
              <w:rPr>
                <w:rFonts w:ascii="Arial" w:hAnsi="Arial"/>
                <w:color w:val="000000"/>
                <w:sz w:val="15"/>
              </w:rPr>
              <w:t> </w:t>
            </w:r>
          </w:p>
        </w:tc>
        <w:tc>
          <w:tcPr>
            <w:tcW w:w="882"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9,018,625</w:t>
            </w:r>
          </w:p>
        </w:tc>
        <w:tc>
          <w:tcPr>
            <w:tcW w:w="132"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c>
          <w:tcPr>
            <w:tcW w:w="698"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44"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575756"/>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w:t>
            </w:r>
          </w:p>
        </w:tc>
        <w:tc>
          <w:tcPr>
            <w:tcW w:w="167" w:type="dxa"/>
            <w:tcBorders>
              <w:bottom w:val="single" w:sz="2" w:space="0" w:color="575756"/>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r>
        <w:trPr/>
        <w:tc>
          <w:tcPr>
            <w:tcW w:w="1782" w:type="dxa"/>
            <w:tcBorders>
              <w:bottom w:val="single" w:sz="2" w:space="0" w:color="000000"/>
            </w:tcBorders>
            <w:shd w:fill="auto" w:val="clear"/>
            <w:tcMar>
              <w:top w:w="0" w:type="dxa"/>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TOTAL</w:t>
            </w:r>
          </w:p>
        </w:tc>
        <w:tc>
          <w:tcPr>
            <w:tcW w:w="959" w:type="dxa"/>
            <w:tcBorders>
              <w:bottom w:val="single" w:sz="2" w:space="0" w:color="000000"/>
            </w:tcBorders>
            <w:shd w:fill="auto" w:val="clear"/>
            <w:tcMar>
              <w:top w:w="0" w:type="dxa"/>
              <w:bottom w:w="30" w:type="dxa"/>
            </w:tcMar>
            <w:vAlign w:val="center"/>
          </w:tcPr>
          <w:p>
            <w:pPr>
              <w:pStyle w:val="TableContents"/>
              <w:pBdr/>
              <w:spacing w:before="0" w:after="15"/>
              <w:ind w:left="15" w:right="15" w:hanging="0"/>
              <w:jc w:val="right"/>
              <w:rPr>
                <w:rFonts w:ascii="Arial" w:hAnsi="Arial"/>
                <w:b/>
                <w:color w:val="000000"/>
                <w:sz w:val="15"/>
              </w:rPr>
            </w:pPr>
            <w:r>
              <w:rPr>
                <w:rFonts w:ascii="Arial" w:hAnsi="Arial"/>
                <w:b/>
                <w:color w:val="000000"/>
                <w:sz w:val="15"/>
              </w:rPr>
              <w:t>79,728</w:t>
            </w:r>
          </w:p>
        </w:tc>
        <w:tc>
          <w:tcPr>
            <w:tcW w:w="868" w:type="dxa"/>
            <w:tcBorders>
              <w:bottom w:val="single" w:sz="2" w:space="0" w:color="000000"/>
            </w:tcBorders>
            <w:shd w:fill="auto" w:val="clear"/>
            <w:tcMar>
              <w:top w:w="0" w:type="dxa"/>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43,039</w:t>
            </w:r>
          </w:p>
        </w:tc>
        <w:tc>
          <w:tcPr>
            <w:tcW w:w="210"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985" w:type="dxa"/>
            <w:tcBorders>
              <w:bottom w:val="single" w:sz="2" w:space="0" w:color="000000"/>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 </w:t>
            </w:r>
          </w:p>
        </w:tc>
        <w:tc>
          <w:tcPr>
            <w:tcW w:w="689" w:type="dxa"/>
            <w:tcBorders>
              <w:bottom w:val="single" w:sz="2" w:space="0" w:color="000000"/>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 </w:t>
            </w:r>
          </w:p>
        </w:tc>
        <w:tc>
          <w:tcPr>
            <w:tcW w:w="848" w:type="dxa"/>
            <w:tcBorders>
              <w:bottom w:val="single" w:sz="2" w:space="0" w:color="000000"/>
            </w:tcBorders>
            <w:shd w:fill="auto" w:val="clear"/>
            <w:tcMar>
              <w:top w:w="0" w:type="dxa"/>
              <w:bottom w:w="30" w:type="dxa"/>
            </w:tcMar>
            <w:vAlign w:val="center"/>
          </w:tcPr>
          <w:p>
            <w:pPr>
              <w:pStyle w:val="TableContents"/>
              <w:pBdr/>
              <w:spacing w:before="0" w:after="15"/>
              <w:ind w:left="15" w:right="15" w:hanging="0"/>
              <w:jc w:val="right"/>
              <w:rPr>
                <w:color w:val="000000"/>
              </w:rPr>
            </w:pPr>
            <w:r>
              <w:rPr>
                <w:color w:val="000000"/>
              </w:rPr>
              <w:t> </w:t>
            </w:r>
          </w:p>
        </w:tc>
        <w:tc>
          <w:tcPr>
            <w:tcW w:w="600" w:type="dxa"/>
            <w:tcBorders>
              <w:bottom w:val="single" w:sz="2" w:space="0" w:color="000000"/>
            </w:tcBorders>
            <w:shd w:fill="auto" w:val="clear"/>
            <w:tcMar>
              <w:top w:w="0" w:type="dxa"/>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27,601</w:t>
            </w:r>
          </w:p>
        </w:tc>
        <w:tc>
          <w:tcPr>
            <w:tcW w:w="215"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000000"/>
            </w:tcBorders>
            <w:shd w:fill="auto" w:val="clear"/>
            <w:tcMar>
              <w:top w:w="0" w:type="dxa"/>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19,913,845</w:t>
            </w:r>
          </w:p>
        </w:tc>
        <w:tc>
          <w:tcPr>
            <w:tcW w:w="132"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698" w:type="dxa"/>
            <w:tcBorders>
              <w:bottom w:val="single" w:sz="2" w:space="0" w:color="000000"/>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 </w:t>
            </w:r>
          </w:p>
        </w:tc>
        <w:tc>
          <w:tcPr>
            <w:tcW w:w="144"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c>
          <w:tcPr>
            <w:tcW w:w="1026" w:type="dxa"/>
            <w:tcBorders>
              <w:bottom w:val="single" w:sz="2" w:space="0" w:color="000000"/>
            </w:tcBorders>
            <w:shd w:fill="auto" w:val="clear"/>
            <w:tcMar>
              <w:top w:w="0" w:type="dxa"/>
              <w:bottom w:w="30" w:type="dxa"/>
            </w:tcMar>
            <w:vAlign w:val="center"/>
          </w:tcPr>
          <w:p>
            <w:pPr>
              <w:pStyle w:val="TableContents"/>
              <w:pBdr/>
              <w:spacing w:before="0" w:after="15"/>
              <w:ind w:left="15" w:right="0" w:hanging="0"/>
              <w:jc w:val="right"/>
              <w:rPr>
                <w:color w:val="000000"/>
              </w:rPr>
            </w:pPr>
            <w:r>
              <w:rPr>
                <w:color w:val="000000"/>
              </w:rPr>
              <w:t> </w:t>
            </w:r>
          </w:p>
        </w:tc>
        <w:tc>
          <w:tcPr>
            <w:tcW w:w="167" w:type="dxa"/>
            <w:tcBorders>
              <w:bottom w:val="single" w:sz="2" w:space="0" w:color="000000"/>
            </w:tcBorders>
            <w:shd w:fill="auto" w:val="clear"/>
            <w:tcMar>
              <w:top w:w="0" w:type="dxa"/>
              <w:bottom w:w="28" w:type="dxa"/>
            </w:tcMar>
            <w:vAlign w:val="center"/>
          </w:tcPr>
          <w:p>
            <w:pPr>
              <w:pStyle w:val="TableContents"/>
              <w:pBdr/>
              <w:spacing w:before="0" w:after="15"/>
              <w:ind w:left="0" w:right="0" w:hanging="0"/>
              <w:rPr>
                <w:color w:val="000000"/>
              </w:rPr>
            </w:pPr>
            <w:r>
              <w:rPr>
                <w:color w:val="000000"/>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84"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16" descr=""/>
                          <pic:cNvPicPr>
                            <a:picLocks noChangeAspect="1" noChangeArrowheads="1"/>
                          </pic:cNvPicPr>
                        </pic:nvPicPr>
                        <pic:blipFill>
                          <a:blip r:embed="rId217"/>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81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0" w:type="dxa"/>
          <w:right w:w="0" w:type="dxa"/>
        </w:tblCellMar>
      </w:tblPr>
      <w:tblGrid>
        <w:gridCol w:w="1429"/>
        <w:gridCol w:w="968"/>
        <w:gridCol w:w="485"/>
        <w:gridCol w:w="290"/>
        <w:gridCol w:w="311"/>
        <w:gridCol w:w="968"/>
        <w:gridCol w:w="698"/>
        <w:gridCol w:w="915"/>
        <w:gridCol w:w="807"/>
        <w:gridCol w:w="96"/>
        <w:gridCol w:w="117"/>
        <w:gridCol w:w="1032"/>
        <w:gridCol w:w="99"/>
        <w:gridCol w:w="882"/>
        <w:gridCol w:w="1108"/>
      </w:tblGrid>
      <w:tr>
        <w:trPr/>
        <w:tc>
          <w:tcPr>
            <w:tcW w:w="1429" w:type="dxa"/>
            <w:tcBorders/>
            <w:shd w:fill="auto" w:val="clear"/>
            <w:vAlign w:val="center"/>
          </w:tcPr>
          <w:p>
            <w:pPr>
              <w:pStyle w:val="TableContents"/>
              <w:spacing w:before="0" w:after="283"/>
              <w:rPr/>
            </w:pPr>
            <w:r>
              <w:rPr/>
              <w:t> </w:t>
            </w:r>
          </w:p>
        </w:tc>
        <w:tc>
          <w:tcPr>
            <w:tcW w:w="968" w:type="dxa"/>
            <w:tcBorders/>
            <w:shd w:fill="auto" w:val="clear"/>
            <w:vAlign w:val="center"/>
          </w:tcPr>
          <w:p>
            <w:pPr>
              <w:pStyle w:val="TableContents"/>
              <w:spacing w:before="0" w:after="283"/>
              <w:rPr/>
            </w:pPr>
            <w:r>
              <w:rPr/>
              <w:t> </w:t>
            </w:r>
          </w:p>
        </w:tc>
        <w:tc>
          <w:tcPr>
            <w:tcW w:w="48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311" w:type="dxa"/>
            <w:tcBorders/>
            <w:shd w:fill="auto" w:val="clear"/>
            <w:vAlign w:val="center"/>
          </w:tcPr>
          <w:p>
            <w:pPr>
              <w:pStyle w:val="TableContents"/>
              <w:spacing w:before="0" w:after="283"/>
              <w:rPr/>
            </w:pPr>
            <w:r>
              <w:rPr/>
              <w:t> </w:t>
            </w:r>
          </w:p>
        </w:tc>
        <w:tc>
          <w:tcPr>
            <w:tcW w:w="968" w:type="dxa"/>
            <w:tcBorders/>
            <w:shd w:fill="auto" w:val="clear"/>
            <w:vAlign w:val="center"/>
          </w:tcPr>
          <w:p>
            <w:pPr>
              <w:pStyle w:val="TableContents"/>
              <w:spacing w:before="0" w:after="283"/>
              <w:rPr/>
            </w:pPr>
            <w:r>
              <w:rPr/>
              <w:t> </w:t>
            </w:r>
          </w:p>
        </w:tc>
        <w:tc>
          <w:tcPr>
            <w:tcW w:w="698" w:type="dxa"/>
            <w:tcBorders/>
            <w:shd w:fill="auto" w:val="clear"/>
            <w:vAlign w:val="center"/>
          </w:tcPr>
          <w:p>
            <w:pPr>
              <w:pStyle w:val="TableContents"/>
              <w:spacing w:before="0" w:after="283"/>
              <w:rPr/>
            </w:pPr>
            <w:r>
              <w:rPr/>
              <w:t> </w:t>
            </w:r>
          </w:p>
        </w:tc>
        <w:tc>
          <w:tcPr>
            <w:tcW w:w="915" w:type="dxa"/>
            <w:tcBorders/>
            <w:shd w:fill="auto" w:val="clear"/>
            <w:vAlign w:val="center"/>
          </w:tcPr>
          <w:p>
            <w:pPr>
              <w:pStyle w:val="TableContents"/>
              <w:spacing w:before="0" w:after="283"/>
              <w:rPr/>
            </w:pPr>
            <w:r>
              <w:rPr/>
              <w:t> </w:t>
            </w:r>
          </w:p>
        </w:tc>
        <w:tc>
          <w:tcPr>
            <w:tcW w:w="807"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032" w:type="dxa"/>
            <w:tcBorders/>
            <w:shd w:fill="auto" w:val="clear"/>
            <w:vAlign w:val="center"/>
          </w:tcPr>
          <w:p>
            <w:pPr>
              <w:pStyle w:val="TableContents"/>
              <w:spacing w:before="0" w:after="283"/>
              <w:rPr/>
            </w:pPr>
            <w:r>
              <w:rPr/>
              <w:t> </w:t>
            </w:r>
          </w:p>
        </w:tc>
        <w:tc>
          <w:tcPr>
            <w:tcW w:w="99" w:type="dxa"/>
            <w:tcBorders/>
            <w:shd w:fill="auto" w:val="clear"/>
            <w:vAlign w:val="center"/>
          </w:tcPr>
          <w:p>
            <w:pPr>
              <w:pStyle w:val="TableContents"/>
              <w:spacing w:before="0" w:after="283"/>
              <w:rPr/>
            </w:pPr>
            <w:r>
              <w:rPr/>
              <w:t> </w:t>
            </w:r>
          </w:p>
        </w:tc>
        <w:tc>
          <w:tcPr>
            <w:tcW w:w="882"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rPr/>
            </w:pPr>
            <w:r>
              <w:rPr/>
              <w:t> </w:t>
            </w:r>
          </w:p>
        </w:tc>
      </w:tr>
      <w:tr>
        <w:trPr/>
        <w:tc>
          <w:tcPr>
            <w:tcW w:w="1429"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A</w:t>
            </w:r>
          </w:p>
        </w:tc>
        <w:tc>
          <w:tcPr>
            <w:tcW w:w="968"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B</w:t>
            </w:r>
          </w:p>
        </w:tc>
        <w:tc>
          <w:tcPr>
            <w:tcW w:w="485"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C</w:t>
            </w:r>
          </w:p>
        </w:tc>
        <w:tc>
          <w:tcPr>
            <w:tcW w:w="601" w:type="dxa"/>
            <w:gridSpan w:val="2"/>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color w:val="245BA7"/>
              </w:rPr>
            </w:pPr>
            <w:r>
              <w:rPr>
                <w:color w:val="245BA7"/>
              </w:rPr>
              <w:t> </w:t>
            </w:r>
          </w:p>
        </w:tc>
        <w:tc>
          <w:tcPr>
            <w:tcW w:w="968"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D</w:t>
            </w:r>
          </w:p>
        </w:tc>
        <w:tc>
          <w:tcPr>
            <w:tcW w:w="698"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E</w:t>
            </w:r>
          </w:p>
        </w:tc>
        <w:tc>
          <w:tcPr>
            <w:tcW w:w="915"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F</w:t>
            </w:r>
          </w:p>
        </w:tc>
        <w:tc>
          <w:tcPr>
            <w:tcW w:w="903" w:type="dxa"/>
            <w:gridSpan w:val="2"/>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G</w:t>
            </w:r>
          </w:p>
        </w:tc>
        <w:tc>
          <w:tcPr>
            <w:tcW w:w="117"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color w:val="245BA7"/>
              </w:rPr>
            </w:pPr>
            <w:r>
              <w:rPr>
                <w:color w:val="245BA7"/>
              </w:rPr>
              <w:t> </w:t>
            </w:r>
          </w:p>
        </w:tc>
        <w:tc>
          <w:tcPr>
            <w:tcW w:w="1131" w:type="dxa"/>
            <w:gridSpan w:val="2"/>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H</w:t>
            </w:r>
          </w:p>
        </w:tc>
        <w:tc>
          <w:tcPr>
            <w:tcW w:w="882"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I</w:t>
            </w:r>
          </w:p>
        </w:tc>
        <w:tc>
          <w:tcPr>
            <w:tcW w:w="1108"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J</w:t>
            </w:r>
          </w:p>
        </w:tc>
      </w:tr>
      <w:tr>
        <w:trPr/>
        <w:tc>
          <w:tcPr>
            <w:tcW w:w="1429" w:type="dxa"/>
            <w:tcBorders/>
            <w:shd w:fill="auto" w:val="clear"/>
            <w:vAlign w:val="center"/>
          </w:tcPr>
          <w:p>
            <w:pPr>
              <w:pStyle w:val="TableContents"/>
              <w:pBdr/>
              <w:spacing w:before="15" w:after="0"/>
              <w:ind w:left="0" w:right="0" w:hanging="0"/>
              <w:jc w:val="center"/>
              <w:rPr>
                <w:color w:val="000000"/>
              </w:rPr>
            </w:pPr>
            <w:r>
              <w:rPr>
                <w:color w:val="000000"/>
              </w:rPr>
              <w:t> </w:t>
            </w:r>
          </w:p>
        </w:tc>
        <w:tc>
          <w:tcPr>
            <w:tcW w:w="4635" w:type="dxa"/>
            <w:gridSpan w:val="7"/>
            <w:tcBorders>
              <w:bottom w:val="single" w:sz="12" w:space="0" w:color="245AA7"/>
            </w:tcBorders>
            <w:shd w:fill="auto" w:val="clear"/>
            <w:tcMar>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Option Awards</w:t>
            </w:r>
          </w:p>
        </w:tc>
        <w:tc>
          <w:tcPr>
            <w:tcW w:w="4141" w:type="dxa"/>
            <w:gridSpan w:val="7"/>
            <w:tcBorders>
              <w:bottom w:val="single" w:sz="12" w:space="0" w:color="245AA7"/>
            </w:tcBorders>
            <w:shd w:fill="auto" w:val="clear"/>
            <w:tcMar>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Stock Awards</w:t>
            </w:r>
          </w:p>
        </w:tc>
      </w:tr>
      <w:tr>
        <w:trPr/>
        <w:tc>
          <w:tcPr>
            <w:tcW w:w="1429" w:type="dxa"/>
            <w:tcBorders>
              <w:bottom w:val="single" w:sz="12" w:space="0" w:color="245AA7"/>
            </w:tcBorders>
            <w:shd w:fill="auto" w:val="clear"/>
            <w:tcMar>
              <w:bottom w:w="75" w:type="dxa"/>
            </w:tcMar>
            <w:vAlign w:val="center"/>
          </w:tcPr>
          <w:p>
            <w:pPr>
              <w:pStyle w:val="TableContents"/>
              <w:pBdr/>
              <w:spacing w:before="15" w:after="0"/>
              <w:ind w:left="15" w:right="15" w:hanging="0"/>
              <w:rPr>
                <w:rFonts w:ascii="Arial" w:hAnsi="Arial"/>
                <w:b/>
                <w:color w:val="245BA7"/>
                <w:sz w:val="15"/>
              </w:rPr>
            </w:pPr>
            <w:r>
              <w:rPr>
                <w:rFonts w:ascii="Arial" w:hAnsi="Arial"/>
                <w:b/>
                <w:color w:val="245BA7"/>
                <w:sz w:val="15"/>
              </w:rPr>
              <w:t>Name</w:t>
            </w:r>
          </w:p>
        </w:tc>
        <w:tc>
          <w:tcPr>
            <w:tcW w:w="968" w:type="dxa"/>
            <w:tcBorders>
              <w:bottom w:val="single" w:sz="12" w:space="0" w:color="245AA7"/>
            </w:tcBorders>
            <w:shd w:fill="auto" w:val="clear"/>
            <w:tcMar>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Number of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securities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underlying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unexercised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options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exercisable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w:t>
            </w:r>
          </w:p>
        </w:tc>
        <w:tc>
          <w:tcPr>
            <w:tcW w:w="1086" w:type="dxa"/>
            <w:gridSpan w:val="3"/>
            <w:tcBorders>
              <w:bottom w:val="single" w:sz="12" w:space="0" w:color="245AA7"/>
            </w:tcBorders>
            <w:shd w:fill="auto" w:val="clear"/>
            <w:tcMar>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 xml:space="preserve">Number of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securities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underlying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unexercised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options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unexercisable </w:t>
            </w:r>
          </w:p>
          <w:p>
            <w:pPr>
              <w:pStyle w:val="TableContents"/>
              <w:pBdr/>
              <w:spacing w:before="0" w:after="0"/>
              <w:ind w:left="0" w:right="0" w:hanging="0"/>
              <w:jc w:val="center"/>
              <w:rPr>
                <w:rFonts w:ascii="Arial" w:hAnsi="Arial"/>
                <w:b/>
                <w:color w:val="245BA7"/>
                <w:sz w:val="15"/>
              </w:rPr>
            </w:pPr>
            <w:r>
              <w:rPr>
                <w:rFonts w:ascii="Arial" w:hAnsi="Arial"/>
                <w:b/>
                <w:color w:val="245BA7"/>
                <w:sz w:val="15"/>
              </w:rPr>
              <w:t>(#)</w:t>
            </w:r>
          </w:p>
        </w:tc>
        <w:tc>
          <w:tcPr>
            <w:tcW w:w="968" w:type="dxa"/>
            <w:tcBorders>
              <w:bottom w:val="single" w:sz="12" w:space="0" w:color="245AA7"/>
            </w:tcBorders>
            <w:shd w:fill="auto" w:val="clear"/>
            <w:tcMar>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Equity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incentive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plan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awards: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number of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securities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underlying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unexercised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unearned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options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w:t>
            </w:r>
          </w:p>
        </w:tc>
        <w:tc>
          <w:tcPr>
            <w:tcW w:w="698" w:type="dxa"/>
            <w:tcBorders>
              <w:bottom w:val="single" w:sz="12" w:space="0" w:color="245AA7"/>
            </w:tcBorders>
            <w:shd w:fill="auto" w:val="clear"/>
            <w:tcMar>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Option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exercise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price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w:t>
            </w:r>
          </w:p>
        </w:tc>
        <w:tc>
          <w:tcPr>
            <w:tcW w:w="915" w:type="dxa"/>
            <w:tcBorders>
              <w:bottom w:val="single" w:sz="12" w:space="0" w:color="245AA7"/>
            </w:tcBorders>
            <w:shd w:fill="auto" w:val="clear"/>
            <w:tcMar>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Option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expiration date</w:t>
            </w:r>
          </w:p>
        </w:tc>
        <w:tc>
          <w:tcPr>
            <w:tcW w:w="1020" w:type="dxa"/>
            <w:gridSpan w:val="3"/>
            <w:tcBorders>
              <w:bottom w:val="single" w:sz="12" w:space="0" w:color="245AA7"/>
            </w:tcBorders>
            <w:shd w:fill="auto" w:val="clear"/>
            <w:tcMar>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 xml:space="preserve">Number of shares or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units of stock that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have not vested </w:t>
            </w:r>
          </w:p>
          <w:p>
            <w:pPr>
              <w:pStyle w:val="TableContents"/>
              <w:pBdr/>
              <w:spacing w:before="0" w:after="0"/>
              <w:ind w:left="0" w:right="0" w:hanging="0"/>
              <w:jc w:val="center"/>
              <w:rPr>
                <w:rFonts w:ascii="Arial" w:hAnsi="Arial"/>
                <w:b/>
                <w:color w:val="245BA7"/>
                <w:sz w:val="15"/>
              </w:rPr>
            </w:pPr>
            <w:r>
              <w:rPr>
                <w:rFonts w:ascii="Arial" w:hAnsi="Arial"/>
                <w:b/>
                <w:color w:val="245BA7"/>
                <w:sz w:val="15"/>
              </w:rPr>
              <w:t>(#)</w:t>
            </w:r>
          </w:p>
        </w:tc>
        <w:tc>
          <w:tcPr>
            <w:tcW w:w="1131" w:type="dxa"/>
            <w:gridSpan w:val="2"/>
            <w:tcBorders>
              <w:bottom w:val="single" w:sz="12" w:space="0" w:color="245AA7"/>
            </w:tcBorders>
            <w:shd w:fill="auto" w:val="clear"/>
            <w:tcMar>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 xml:space="preserve">Market value of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shares or units of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stock that have not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vested </w:t>
            </w:r>
          </w:p>
          <w:p>
            <w:pPr>
              <w:pStyle w:val="TableContents"/>
              <w:pBdr/>
              <w:spacing w:before="0" w:after="0"/>
              <w:ind w:left="0" w:right="0" w:hanging="0"/>
              <w:jc w:val="center"/>
              <w:rPr>
                <w:rFonts w:ascii="Arial" w:hAnsi="Arial"/>
                <w:b/>
                <w:color w:val="245BA7"/>
                <w:sz w:val="15"/>
              </w:rPr>
            </w:pPr>
            <w:r>
              <w:rPr>
                <w:rFonts w:ascii="Arial" w:hAnsi="Arial"/>
                <w:b/>
                <w:color w:val="245BA7"/>
                <w:sz w:val="15"/>
              </w:rPr>
              <w:t>($)</w:t>
            </w:r>
          </w:p>
        </w:tc>
        <w:tc>
          <w:tcPr>
            <w:tcW w:w="882" w:type="dxa"/>
            <w:tcBorders>
              <w:bottom w:val="single" w:sz="12" w:space="0" w:color="245AA7"/>
            </w:tcBorders>
            <w:shd w:fill="auto" w:val="clear"/>
            <w:tcMar>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Equity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incentive plan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awards: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number of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unearned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shares, units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or other rights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that have not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vested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w:t>
            </w:r>
          </w:p>
        </w:tc>
        <w:tc>
          <w:tcPr>
            <w:tcW w:w="1108" w:type="dxa"/>
            <w:tcBorders>
              <w:bottom w:val="single" w:sz="12" w:space="0" w:color="245AA7"/>
            </w:tcBorders>
            <w:shd w:fill="auto" w:val="clear"/>
            <w:tcMar>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Equity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incentive plan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awards: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market or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payout value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of unearned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shares, units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or other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rights that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have not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vested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w:t>
            </w:r>
          </w:p>
        </w:tc>
      </w:tr>
      <w:tr>
        <w:trPr/>
        <w:tc>
          <w:tcPr>
            <w:tcW w:w="1429" w:type="dxa"/>
            <w:vMerge w:val="restart"/>
            <w:tcBorders/>
            <w:shd w:fill="auto" w:val="clear"/>
            <w:vAlign w:val="center"/>
          </w:tcPr>
          <w:p>
            <w:pPr>
              <w:pStyle w:val="TableContents"/>
              <w:pBdr/>
              <w:spacing w:before="0" w:after="15"/>
              <w:ind w:left="15" w:right="0" w:hanging="0"/>
              <w:rPr>
                <w:rFonts w:ascii="Arial" w:hAnsi="Arial"/>
                <w:b/>
                <w:color w:val="D31B5D"/>
                <w:sz w:val="20"/>
              </w:rPr>
            </w:pPr>
            <w:r>
              <w:rPr>
                <w:rFonts w:ascii="Arial" w:hAnsi="Arial"/>
                <w:b/>
                <w:color w:val="D31B5D"/>
                <w:sz w:val="20"/>
              </w:rPr>
              <w:t>Daniel P. Van Plew</w:t>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75"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14,019</w:t>
            </w:r>
          </w:p>
        </w:tc>
        <w:tc>
          <w:tcPr>
            <w:tcW w:w="311"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5</w:t>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726.53</w:t>
            </w:r>
          </w:p>
        </w:tc>
        <w:tc>
          <w:tcPr>
            <w:tcW w:w="9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12/16/2032</w:t>
            </w:r>
          </w:p>
        </w:tc>
        <w:tc>
          <w:tcPr>
            <w:tcW w:w="807"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 </w:t>
            </w:r>
          </w:p>
        </w:tc>
        <w:tc>
          <w:tcPr>
            <w:tcW w:w="96"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1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 </w:t>
            </w:r>
          </w:p>
        </w:tc>
        <w:tc>
          <w:tcPr>
            <w:tcW w:w="99"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110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r>
      <w:tr>
        <w:trPr/>
        <w:tc>
          <w:tcPr>
            <w:tcW w:w="1429" w:type="dxa"/>
            <w:vMerge w:val="continue"/>
            <w:tcBorders/>
            <w:shd w:fill="auto" w:val="clear"/>
            <w:vAlign w:val="center"/>
          </w:tcPr>
          <w:p>
            <w:pPr>
              <w:pStyle w:val="Normal"/>
              <w:rPr/>
            </w:pPr>
            <w:r>
              <w:rPr/>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4,637</w:t>
            </w:r>
          </w:p>
        </w:tc>
        <w:tc>
          <w:tcPr>
            <w:tcW w:w="775"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13,911</w:t>
            </w:r>
          </w:p>
        </w:tc>
        <w:tc>
          <w:tcPr>
            <w:tcW w:w="311"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6</w:t>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644.54</w:t>
            </w:r>
          </w:p>
        </w:tc>
        <w:tc>
          <w:tcPr>
            <w:tcW w:w="9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12/08/2031</w:t>
            </w:r>
          </w:p>
        </w:tc>
        <w:tc>
          <w:tcPr>
            <w:tcW w:w="807"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96"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1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99"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shd w:fill="auto" w:val="clear"/>
            <w:vAlign w:val="center"/>
          </w:tcPr>
          <w:p>
            <w:pPr>
              <w:pStyle w:val="Normal"/>
              <w:rPr/>
            </w:pPr>
            <w:r>
              <w:rPr/>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9,976</w:t>
            </w:r>
          </w:p>
        </w:tc>
        <w:tc>
          <w:tcPr>
            <w:tcW w:w="775"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9,974</w:t>
            </w:r>
          </w:p>
        </w:tc>
        <w:tc>
          <w:tcPr>
            <w:tcW w:w="311"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7</w:t>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492.00</w:t>
            </w:r>
          </w:p>
        </w:tc>
        <w:tc>
          <w:tcPr>
            <w:tcW w:w="9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12/09/2030</w:t>
            </w:r>
          </w:p>
        </w:tc>
        <w:tc>
          <w:tcPr>
            <w:tcW w:w="807"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96"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1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99"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shd w:fill="auto" w:val="clear"/>
            <w:vAlign w:val="center"/>
          </w:tcPr>
          <w:p>
            <w:pPr>
              <w:pStyle w:val="Normal"/>
              <w:rPr/>
            </w:pPr>
            <w:r>
              <w:rPr/>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18,375</w:t>
            </w:r>
          </w:p>
        </w:tc>
        <w:tc>
          <w:tcPr>
            <w:tcW w:w="775"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6,125</w:t>
            </w:r>
          </w:p>
        </w:tc>
        <w:tc>
          <w:tcPr>
            <w:tcW w:w="311"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1</w:t>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372.46</w:t>
            </w:r>
          </w:p>
        </w:tc>
        <w:tc>
          <w:tcPr>
            <w:tcW w:w="9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12/11/2029</w:t>
            </w:r>
          </w:p>
        </w:tc>
        <w:tc>
          <w:tcPr>
            <w:tcW w:w="807"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96"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1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99"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shd w:fill="auto" w:val="clear"/>
            <w:vAlign w:val="center"/>
          </w:tcPr>
          <w:p>
            <w:pPr>
              <w:pStyle w:val="Normal"/>
              <w:rPr/>
            </w:pPr>
            <w:r>
              <w:rPr/>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46,250</w:t>
            </w:r>
          </w:p>
        </w:tc>
        <w:tc>
          <w:tcPr>
            <w:tcW w:w="775"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381.40</w:t>
            </w:r>
          </w:p>
        </w:tc>
        <w:tc>
          <w:tcPr>
            <w:tcW w:w="9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12/12/2028</w:t>
            </w:r>
          </w:p>
        </w:tc>
        <w:tc>
          <w:tcPr>
            <w:tcW w:w="807"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96"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1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99"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shd w:fill="auto" w:val="clear"/>
            <w:vAlign w:val="center"/>
          </w:tcPr>
          <w:p>
            <w:pPr>
              <w:pStyle w:val="Normal"/>
              <w:rPr/>
            </w:pPr>
            <w:r>
              <w:rPr/>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75"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9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07"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3,798</w:t>
            </w:r>
          </w:p>
        </w:tc>
        <w:tc>
          <w:tcPr>
            <w:tcW w:w="213" w:type="dxa"/>
            <w:gridSpan w:val="2"/>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8</w:t>
            </w:r>
          </w:p>
        </w:tc>
        <w:tc>
          <w:tcPr>
            <w:tcW w:w="1032"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2,740,219</w:t>
            </w:r>
          </w:p>
        </w:tc>
        <w:tc>
          <w:tcPr>
            <w:tcW w:w="99"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4</w:t>
            </w:r>
          </w:p>
        </w:tc>
        <w:tc>
          <w:tcPr>
            <w:tcW w:w="88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shd w:fill="auto" w:val="clear"/>
            <w:vAlign w:val="center"/>
          </w:tcPr>
          <w:p>
            <w:pPr>
              <w:pStyle w:val="Normal"/>
              <w:rPr/>
            </w:pPr>
            <w:r>
              <w:rPr/>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75"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9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07"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4,344</w:t>
            </w:r>
          </w:p>
        </w:tc>
        <w:tc>
          <w:tcPr>
            <w:tcW w:w="213" w:type="dxa"/>
            <w:gridSpan w:val="2"/>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9</w:t>
            </w:r>
          </w:p>
        </w:tc>
        <w:tc>
          <w:tcPr>
            <w:tcW w:w="1032"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3,134,153</w:t>
            </w:r>
          </w:p>
        </w:tc>
        <w:tc>
          <w:tcPr>
            <w:tcW w:w="99"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4</w:t>
            </w:r>
          </w:p>
        </w:tc>
        <w:tc>
          <w:tcPr>
            <w:tcW w:w="88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shd w:fill="auto" w:val="clear"/>
            <w:vAlign w:val="center"/>
          </w:tcPr>
          <w:p>
            <w:pPr>
              <w:pStyle w:val="Normal"/>
              <w:rPr/>
            </w:pPr>
            <w:r>
              <w:rPr/>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75"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9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07"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965</w:t>
            </w:r>
          </w:p>
        </w:tc>
        <w:tc>
          <w:tcPr>
            <w:tcW w:w="213" w:type="dxa"/>
            <w:gridSpan w:val="2"/>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10</w:t>
            </w:r>
          </w:p>
        </w:tc>
        <w:tc>
          <w:tcPr>
            <w:tcW w:w="1032"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696,238</w:t>
            </w:r>
          </w:p>
        </w:tc>
        <w:tc>
          <w:tcPr>
            <w:tcW w:w="99"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4</w:t>
            </w:r>
          </w:p>
        </w:tc>
        <w:tc>
          <w:tcPr>
            <w:tcW w:w="88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shd w:fill="auto" w:val="clear"/>
            <w:vAlign w:val="center"/>
          </w:tcPr>
          <w:p>
            <w:pPr>
              <w:pStyle w:val="Normal"/>
              <w:rPr/>
            </w:pPr>
            <w:r>
              <w:rPr/>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75"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9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07"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5,000</w:t>
            </w:r>
          </w:p>
        </w:tc>
        <w:tc>
          <w:tcPr>
            <w:tcW w:w="213" w:type="dxa"/>
            <w:gridSpan w:val="2"/>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11</w:t>
            </w:r>
          </w:p>
        </w:tc>
        <w:tc>
          <w:tcPr>
            <w:tcW w:w="1032"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3,607,450</w:t>
            </w:r>
          </w:p>
        </w:tc>
        <w:tc>
          <w:tcPr>
            <w:tcW w:w="99"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4</w:t>
            </w:r>
          </w:p>
        </w:tc>
        <w:tc>
          <w:tcPr>
            <w:tcW w:w="88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shd w:fill="auto" w:val="clear"/>
            <w:vAlign w:val="center"/>
          </w:tcPr>
          <w:p>
            <w:pPr>
              <w:pStyle w:val="Normal"/>
              <w:rPr/>
            </w:pPr>
            <w:r>
              <w:rPr/>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75"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9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07"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1,312</w:t>
            </w:r>
          </w:p>
        </w:tc>
        <w:tc>
          <w:tcPr>
            <w:tcW w:w="213" w:type="dxa"/>
            <w:gridSpan w:val="2"/>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12</w:t>
            </w:r>
          </w:p>
        </w:tc>
        <w:tc>
          <w:tcPr>
            <w:tcW w:w="1032"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946,595</w:t>
            </w:r>
          </w:p>
        </w:tc>
        <w:tc>
          <w:tcPr>
            <w:tcW w:w="99"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4</w:t>
            </w:r>
          </w:p>
        </w:tc>
        <w:tc>
          <w:tcPr>
            <w:tcW w:w="88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shd w:fill="auto" w:val="clear"/>
            <w:vAlign w:val="center"/>
          </w:tcPr>
          <w:p>
            <w:pPr>
              <w:pStyle w:val="Normal"/>
              <w:rPr/>
            </w:pPr>
            <w:r>
              <w:rPr/>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75"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96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9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07"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5,000</w:t>
            </w:r>
          </w:p>
        </w:tc>
        <w:tc>
          <w:tcPr>
            <w:tcW w:w="213" w:type="dxa"/>
            <w:gridSpan w:val="2"/>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13</w:t>
            </w:r>
          </w:p>
        </w:tc>
        <w:tc>
          <w:tcPr>
            <w:tcW w:w="1032"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3,607,450</w:t>
            </w:r>
          </w:p>
        </w:tc>
        <w:tc>
          <w:tcPr>
            <w:tcW w:w="99"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4</w:t>
            </w:r>
          </w:p>
        </w:tc>
        <w:tc>
          <w:tcPr>
            <w:tcW w:w="88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tcBorders>
              <w:bottom w:val="single" w:sz="2" w:space="0" w:color="000000"/>
            </w:tcBorders>
            <w:shd w:fill="auto" w:val="clear"/>
            <w:tcMar>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TOTAL</w:t>
            </w:r>
          </w:p>
        </w:tc>
        <w:tc>
          <w:tcPr>
            <w:tcW w:w="968" w:type="dxa"/>
            <w:tcBorders>
              <w:bottom w:val="single" w:sz="2" w:space="0" w:color="000000"/>
            </w:tcBorders>
            <w:shd w:fill="auto" w:val="clear"/>
            <w:tcMar>
              <w:bottom w:w="30" w:type="dxa"/>
            </w:tcMar>
            <w:vAlign w:val="center"/>
          </w:tcPr>
          <w:p>
            <w:pPr>
              <w:pStyle w:val="TableContents"/>
              <w:pBdr/>
              <w:spacing w:before="0" w:after="15"/>
              <w:ind w:left="15" w:right="15" w:hanging="0"/>
              <w:jc w:val="right"/>
              <w:rPr>
                <w:rFonts w:ascii="Arial" w:hAnsi="Arial"/>
                <w:b/>
                <w:color w:val="000000"/>
                <w:sz w:val="15"/>
              </w:rPr>
            </w:pPr>
            <w:r>
              <w:rPr>
                <w:rFonts w:ascii="Arial" w:hAnsi="Arial"/>
                <w:b/>
                <w:color w:val="000000"/>
                <w:sz w:val="15"/>
              </w:rPr>
              <w:t>79,238</w:t>
            </w:r>
          </w:p>
        </w:tc>
        <w:tc>
          <w:tcPr>
            <w:tcW w:w="775" w:type="dxa"/>
            <w:gridSpan w:val="2"/>
            <w:tcBorders>
              <w:bottom w:val="single" w:sz="2" w:space="0" w:color="000000"/>
            </w:tcBorders>
            <w:shd w:fill="auto" w:val="clear"/>
            <w:tcMar>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44,029</w:t>
            </w:r>
          </w:p>
        </w:tc>
        <w:tc>
          <w:tcPr>
            <w:tcW w:w="311" w:type="dxa"/>
            <w:tcBorders>
              <w:bottom w:val="single" w:sz="2" w:space="0" w:color="000000"/>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968" w:type="dxa"/>
            <w:tcBorders>
              <w:bottom w:val="single" w:sz="2" w:space="0" w:color="000000"/>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698" w:type="dxa"/>
            <w:tcBorders>
              <w:bottom w:val="single" w:sz="2" w:space="0" w:color="000000"/>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915" w:type="dxa"/>
            <w:tcBorders>
              <w:bottom w:val="single" w:sz="2" w:space="0" w:color="000000"/>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807" w:type="dxa"/>
            <w:tcBorders>
              <w:bottom w:val="single" w:sz="2" w:space="0" w:color="000000"/>
            </w:tcBorders>
            <w:shd w:fill="auto" w:val="clear"/>
            <w:tcMar>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20,419</w:t>
            </w:r>
          </w:p>
        </w:tc>
        <w:tc>
          <w:tcPr>
            <w:tcW w:w="96" w:type="dxa"/>
            <w:tcBorders>
              <w:bottom w:val="single" w:sz="2" w:space="0" w:color="000000"/>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117" w:type="dxa"/>
            <w:tcBorders>
              <w:bottom w:val="single" w:sz="2" w:space="0" w:color="000000"/>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bottom w:val="single" w:sz="2" w:space="0" w:color="000000"/>
            </w:tcBorders>
            <w:shd w:fill="auto" w:val="clear"/>
            <w:tcMar>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14,732,104</w:t>
            </w:r>
          </w:p>
        </w:tc>
        <w:tc>
          <w:tcPr>
            <w:tcW w:w="99" w:type="dxa"/>
            <w:tcBorders>
              <w:bottom w:val="single" w:sz="2" w:space="0" w:color="000000"/>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882" w:type="dxa"/>
            <w:tcBorders>
              <w:bottom w:val="single" w:sz="2" w:space="0" w:color="000000"/>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1108" w:type="dxa"/>
            <w:tcBorders>
              <w:bottom w:val="single" w:sz="2" w:space="0" w:color="000000"/>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r>
      <w:tr>
        <w:trPr/>
        <w:tc>
          <w:tcPr>
            <w:tcW w:w="1429" w:type="dxa"/>
            <w:vMerge w:val="restart"/>
            <w:tcBorders>
              <w:top w:val="single" w:sz="2" w:space="0" w:color="F2F2F2"/>
              <w:bottom w:val="single" w:sz="2" w:space="0" w:color="F2F2F2"/>
            </w:tcBorders>
            <w:shd w:fill="F2F2F2" w:val="clear"/>
            <w:tcMar>
              <w:top w:w="45" w:type="dxa"/>
              <w:bottom w:w="30" w:type="dxa"/>
            </w:tcMar>
            <w:vAlign w:val="center"/>
          </w:tcPr>
          <w:p>
            <w:pPr>
              <w:pStyle w:val="TableContents"/>
              <w:pBdr/>
              <w:spacing w:before="0" w:after="15"/>
              <w:ind w:left="15" w:right="0" w:hanging="0"/>
              <w:rPr>
                <w:rFonts w:ascii="Arial" w:hAnsi="Arial"/>
                <w:b/>
                <w:color w:val="D31B5D"/>
                <w:sz w:val="20"/>
              </w:rPr>
            </w:pPr>
            <w:r>
              <w:rPr>
                <w:rFonts w:ascii="Arial" w:hAnsi="Arial"/>
                <w:b/>
                <w:color w:val="D31B5D"/>
                <w:sz w:val="20"/>
              </w:rPr>
              <w:t>Andrew J. Murphy, Ph.D.</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15,238</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5</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726.53</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12/16/2032</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6"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0" w:right="0" w:hanging="0"/>
              <w:rPr>
                <w:color w:val="000000"/>
              </w:rPr>
            </w:pPr>
            <w:r>
              <w:rPr>
                <w:color w:val="000000"/>
              </w:rPr>
              <w:t> </w:t>
            </w:r>
          </w:p>
        </w:tc>
        <w:tc>
          <w:tcPr>
            <w:tcW w:w="11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3,696</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11,087</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6</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644.54</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12/08/2031</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6"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0" w:right="0" w:hanging="0"/>
              <w:rPr>
                <w:color w:val="000000"/>
              </w:rPr>
            </w:pPr>
            <w:r>
              <w:rPr>
                <w:color w:val="000000"/>
              </w:rPr>
              <w:t> </w:t>
            </w:r>
          </w:p>
        </w:tc>
        <w:tc>
          <w:tcPr>
            <w:tcW w:w="11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12,500</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12,500</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7</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492.00</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12/09/2030</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6"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0" w:right="0" w:hanging="0"/>
              <w:rPr>
                <w:color w:val="000000"/>
              </w:rPr>
            </w:pPr>
            <w:r>
              <w:rPr>
                <w:color w:val="000000"/>
              </w:rPr>
              <w:t> </w:t>
            </w:r>
          </w:p>
        </w:tc>
        <w:tc>
          <w:tcPr>
            <w:tcW w:w="11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18,375</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6,125</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1</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372.46</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12/11/2029</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6"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0" w:right="0" w:hanging="0"/>
              <w:rPr>
                <w:color w:val="000000"/>
              </w:rPr>
            </w:pPr>
            <w:r>
              <w:rPr>
                <w:color w:val="000000"/>
              </w:rPr>
              <w:t> </w:t>
            </w:r>
          </w:p>
        </w:tc>
        <w:tc>
          <w:tcPr>
            <w:tcW w:w="11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25,000</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381.40</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12/12/2028</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6"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0" w:right="0" w:hanging="0"/>
              <w:rPr>
                <w:color w:val="000000"/>
              </w:rPr>
            </w:pPr>
            <w:r>
              <w:rPr>
                <w:color w:val="000000"/>
              </w:rPr>
              <w:t> </w:t>
            </w:r>
          </w:p>
        </w:tc>
        <w:tc>
          <w:tcPr>
            <w:tcW w:w="11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50,000</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378.98</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12/12/2027</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6"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0" w:right="0" w:hanging="0"/>
              <w:rPr>
                <w:color w:val="000000"/>
              </w:rPr>
            </w:pPr>
            <w:r>
              <w:rPr>
                <w:color w:val="000000"/>
              </w:rPr>
              <w:t> </w:t>
            </w:r>
          </w:p>
        </w:tc>
        <w:tc>
          <w:tcPr>
            <w:tcW w:w="11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34,000</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381.92</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12/16/2026</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6"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0" w:right="0" w:hanging="0"/>
              <w:rPr>
                <w:color w:val="000000"/>
              </w:rPr>
            </w:pPr>
            <w:r>
              <w:rPr>
                <w:color w:val="000000"/>
              </w:rPr>
              <w:t> </w:t>
            </w:r>
          </w:p>
        </w:tc>
        <w:tc>
          <w:tcPr>
            <w:tcW w:w="11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35,000</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555.67</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12/16/2025</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6"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0" w:right="0" w:hanging="0"/>
              <w:rPr>
                <w:color w:val="000000"/>
              </w:rPr>
            </w:pPr>
            <w:r>
              <w:rPr>
                <w:color w:val="000000"/>
              </w:rPr>
              <w:t> </w:t>
            </w:r>
          </w:p>
        </w:tc>
        <w:tc>
          <w:tcPr>
            <w:tcW w:w="11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40,000</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399.66</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12/16/2024</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6"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0" w:right="0" w:hanging="0"/>
              <w:rPr>
                <w:color w:val="000000"/>
              </w:rPr>
            </w:pPr>
            <w:r>
              <w:rPr>
                <w:color w:val="000000"/>
              </w:rPr>
              <w:t> </w:t>
            </w:r>
          </w:p>
        </w:tc>
        <w:tc>
          <w:tcPr>
            <w:tcW w:w="11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40,000</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270.43</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12/13/2023</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6"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0" w:right="0" w:hanging="0"/>
              <w:rPr>
                <w:color w:val="000000"/>
              </w:rPr>
            </w:pPr>
            <w:r>
              <w:rPr>
                <w:color w:val="000000"/>
              </w:rPr>
              <w:t> </w:t>
            </w:r>
          </w:p>
        </w:tc>
        <w:tc>
          <w:tcPr>
            <w:tcW w:w="11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48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 </w:t>
            </w:r>
          </w:p>
        </w:tc>
        <w:tc>
          <w:tcPr>
            <w:tcW w:w="290"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4,129</w:t>
            </w:r>
          </w:p>
        </w:tc>
        <w:tc>
          <w:tcPr>
            <w:tcW w:w="213" w:type="dxa"/>
            <w:gridSpan w:val="2"/>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8</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2,979,032</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4</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3,462</w:t>
            </w:r>
          </w:p>
        </w:tc>
        <w:tc>
          <w:tcPr>
            <w:tcW w:w="213" w:type="dxa"/>
            <w:gridSpan w:val="2"/>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9</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2,497,798</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4</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964</w:t>
            </w:r>
          </w:p>
        </w:tc>
        <w:tc>
          <w:tcPr>
            <w:tcW w:w="213" w:type="dxa"/>
            <w:gridSpan w:val="2"/>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10</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695,516</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4</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8,285</w:t>
            </w:r>
          </w:p>
        </w:tc>
        <w:tc>
          <w:tcPr>
            <w:tcW w:w="213" w:type="dxa"/>
            <w:gridSpan w:val="2"/>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11</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5,977,545</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4</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1,312</w:t>
            </w:r>
          </w:p>
        </w:tc>
        <w:tc>
          <w:tcPr>
            <w:tcW w:w="213" w:type="dxa"/>
            <w:gridSpan w:val="2"/>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12</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946,595</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4</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10,000</w:t>
            </w:r>
          </w:p>
        </w:tc>
        <w:tc>
          <w:tcPr>
            <w:tcW w:w="213" w:type="dxa"/>
            <w:gridSpan w:val="2"/>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13</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7,214,900</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4</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vMerge w:val="continue"/>
            <w:tcBorders>
              <w:top w:val="single" w:sz="2" w:space="0" w:color="F2F2F2"/>
              <w:bottom w:val="single" w:sz="2" w:space="0" w:color="F2F2F2"/>
            </w:tcBorders>
            <w:shd w:fill="F2F2F2" w:val="clear"/>
            <w:tcMar>
              <w:top w:w="45" w:type="dxa"/>
              <w:bottom w:w="30" w:type="dxa"/>
            </w:tcMar>
            <w:vAlign w:val="center"/>
          </w:tcPr>
          <w:p>
            <w:pPr>
              <w:pStyle w:val="Normal"/>
              <w:rPr/>
            </w:pPr>
            <w:r>
              <w:rPr/>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775" w:type="dxa"/>
            <w:gridSpan w:val="2"/>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color w:val="000000"/>
              </w:rPr>
            </w:pPr>
            <w:r>
              <w:rPr>
                <w:color w:val="000000"/>
              </w:rPr>
              <w:t>—</w:t>
            </w:r>
          </w:p>
        </w:tc>
        <w:tc>
          <w:tcPr>
            <w:tcW w:w="311"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6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69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915"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807"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15,000</w:t>
            </w:r>
          </w:p>
        </w:tc>
        <w:tc>
          <w:tcPr>
            <w:tcW w:w="213" w:type="dxa"/>
            <w:gridSpan w:val="2"/>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14</w:t>
            </w:r>
          </w:p>
        </w:tc>
        <w:tc>
          <w:tcPr>
            <w:tcW w:w="103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10,822,350</w:t>
            </w:r>
          </w:p>
        </w:tc>
        <w:tc>
          <w:tcPr>
            <w:tcW w:w="99"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15"/>
              <w:ind w:left="0" w:right="0" w:hanging="0"/>
              <w:rPr>
                <w:rFonts w:ascii="Arial" w:hAnsi="Arial"/>
                <w:color w:val="000000"/>
                <w:position w:val="5"/>
                <w:sz w:val="12"/>
                <w:sz w:val="15"/>
              </w:rPr>
            </w:pPr>
            <w:r>
              <w:rPr>
                <w:rFonts w:ascii="Arial" w:hAnsi="Arial"/>
                <w:color w:val="000000"/>
                <w:position w:val="5"/>
                <w:sz w:val="12"/>
                <w:sz w:val="15"/>
              </w:rPr>
              <w:t>4</w:t>
            </w:r>
          </w:p>
        </w:tc>
        <w:tc>
          <w:tcPr>
            <w:tcW w:w="8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c>
          <w:tcPr>
            <w:tcW w:w="1108"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w:t>
            </w:r>
          </w:p>
        </w:tc>
      </w:tr>
      <w:tr>
        <w:trPr/>
        <w:tc>
          <w:tcPr>
            <w:tcW w:w="1429" w:type="dxa"/>
            <w:tcBorders>
              <w:top w:val="single" w:sz="2" w:space="0" w:color="F2F2F2"/>
              <w:bottom w:val="single" w:sz="2" w:space="0" w:color="000000"/>
            </w:tcBorders>
            <w:shd w:fill="F2F2F2" w:val="clear"/>
            <w:tcMar>
              <w:top w:w="45" w:type="dxa"/>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TOTAL</w:t>
            </w:r>
          </w:p>
        </w:tc>
        <w:tc>
          <w:tcPr>
            <w:tcW w:w="968" w:type="dxa"/>
            <w:tcBorders>
              <w:top w:val="single" w:sz="2" w:space="0" w:color="F2F2F2"/>
              <w:bottom w:val="single" w:sz="2" w:space="0" w:color="000000"/>
            </w:tcBorders>
            <w:shd w:fill="F2F2F2" w:val="clear"/>
            <w:tcMar>
              <w:top w:w="45" w:type="dxa"/>
              <w:bottom w:w="30" w:type="dxa"/>
            </w:tcMar>
            <w:vAlign w:val="center"/>
          </w:tcPr>
          <w:p>
            <w:pPr>
              <w:pStyle w:val="TableContents"/>
              <w:pBdr/>
              <w:spacing w:before="0" w:after="15"/>
              <w:ind w:left="15" w:right="15" w:hanging="0"/>
              <w:jc w:val="right"/>
              <w:rPr>
                <w:rFonts w:ascii="Arial" w:hAnsi="Arial"/>
                <w:b/>
                <w:color w:val="000000"/>
                <w:sz w:val="15"/>
              </w:rPr>
            </w:pPr>
            <w:r>
              <w:rPr>
                <w:rFonts w:ascii="Arial" w:hAnsi="Arial"/>
                <w:b/>
                <w:color w:val="000000"/>
                <w:sz w:val="15"/>
              </w:rPr>
              <w:t>258,571</w:t>
            </w:r>
          </w:p>
        </w:tc>
        <w:tc>
          <w:tcPr>
            <w:tcW w:w="775" w:type="dxa"/>
            <w:gridSpan w:val="2"/>
            <w:tcBorders>
              <w:top w:val="single" w:sz="2" w:space="0" w:color="F2F2F2"/>
              <w:bottom w:val="single" w:sz="2" w:space="0" w:color="000000"/>
            </w:tcBorders>
            <w:shd w:fill="F2F2F2" w:val="clear"/>
            <w:tcMar>
              <w:top w:w="45" w:type="dxa"/>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44,950</w:t>
            </w:r>
          </w:p>
        </w:tc>
        <w:tc>
          <w:tcPr>
            <w:tcW w:w="311"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968" w:type="dxa"/>
            <w:tcBorders>
              <w:top w:val="single" w:sz="2" w:space="0" w:color="F2F2F2"/>
              <w:bottom w:val="single" w:sz="2" w:space="0" w:color="000000"/>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698" w:type="dxa"/>
            <w:tcBorders>
              <w:top w:val="single" w:sz="2" w:space="0" w:color="F2F2F2"/>
              <w:bottom w:val="single" w:sz="2" w:space="0" w:color="000000"/>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915" w:type="dxa"/>
            <w:tcBorders>
              <w:top w:val="single" w:sz="2" w:space="0" w:color="F2F2F2"/>
              <w:bottom w:val="single" w:sz="2" w:space="0" w:color="000000"/>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807" w:type="dxa"/>
            <w:tcBorders>
              <w:top w:val="single" w:sz="2" w:space="0" w:color="F2F2F2"/>
              <w:bottom w:val="single" w:sz="2" w:space="0" w:color="000000"/>
            </w:tcBorders>
            <w:shd w:fill="F2F2F2" w:val="clear"/>
            <w:tcMar>
              <w:top w:w="45" w:type="dxa"/>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43,152</w:t>
            </w:r>
          </w:p>
        </w:tc>
        <w:tc>
          <w:tcPr>
            <w:tcW w:w="96" w:type="dxa"/>
            <w:tcBorders>
              <w:top w:val="single" w:sz="2" w:space="0" w:color="F2F2F2"/>
              <w:bottom w:val="single" w:sz="2" w:space="0" w:color="000000"/>
            </w:tcBorders>
            <w:shd w:fill="F2F2F2" w:val="clear"/>
            <w:tcMar>
              <w:top w:w="45" w:type="dxa"/>
              <w:bottom w:w="30" w:type="dxa"/>
            </w:tcMar>
            <w:vAlign w:val="center"/>
          </w:tcPr>
          <w:p>
            <w:pPr>
              <w:pStyle w:val="TableContents"/>
              <w:pBdr/>
              <w:spacing w:before="0" w:after="15"/>
              <w:ind w:left="0" w:right="0" w:hanging="0"/>
              <w:rPr>
                <w:color w:val="000000"/>
              </w:rPr>
            </w:pPr>
            <w:r>
              <w:rPr>
                <w:color w:val="000000"/>
              </w:rPr>
              <w:t> </w:t>
            </w:r>
          </w:p>
        </w:tc>
        <w:tc>
          <w:tcPr>
            <w:tcW w:w="117" w:type="dxa"/>
            <w:tcBorders>
              <w:top w:val="single" w:sz="2" w:space="0" w:color="F2F2F2"/>
              <w:bottom w:val="single" w:sz="2" w:space="0" w:color="000000"/>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1032" w:type="dxa"/>
            <w:tcBorders>
              <w:top w:val="single" w:sz="2" w:space="0" w:color="F2F2F2"/>
              <w:bottom w:val="single" w:sz="2" w:space="0" w:color="000000"/>
            </w:tcBorders>
            <w:shd w:fill="F2F2F2" w:val="clear"/>
            <w:tcMar>
              <w:top w:w="45" w:type="dxa"/>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31,133,736</w:t>
            </w:r>
          </w:p>
        </w:tc>
        <w:tc>
          <w:tcPr>
            <w:tcW w:w="99" w:type="dxa"/>
            <w:tcBorders>
              <w:top w:val="single" w:sz="2" w:space="0" w:color="F2F2F2"/>
              <w:bottom w:val="single" w:sz="2" w:space="0" w:color="000000"/>
            </w:tcBorders>
            <w:shd w:fill="F2F2F2" w:val="clear"/>
            <w:tcMar>
              <w:top w:w="28" w:type="dxa"/>
              <w:bottom w:w="28" w:type="dxa"/>
            </w:tcMar>
            <w:vAlign w:val="center"/>
          </w:tcPr>
          <w:p>
            <w:pPr>
              <w:pStyle w:val="TableContents"/>
              <w:pBdr/>
              <w:spacing w:before="0" w:after="15"/>
              <w:ind w:left="0" w:right="0" w:hanging="0"/>
              <w:rPr>
                <w:color w:val="000000"/>
              </w:rPr>
            </w:pPr>
            <w:r>
              <w:rPr>
                <w:color w:val="000000"/>
              </w:rPr>
              <w:t> </w:t>
            </w:r>
          </w:p>
        </w:tc>
        <w:tc>
          <w:tcPr>
            <w:tcW w:w="882" w:type="dxa"/>
            <w:tcBorders>
              <w:top w:val="single" w:sz="2" w:space="0" w:color="F2F2F2"/>
              <w:bottom w:val="single" w:sz="2" w:space="0" w:color="000000"/>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c>
          <w:tcPr>
            <w:tcW w:w="1108" w:type="dxa"/>
            <w:tcBorders>
              <w:top w:val="single" w:sz="2" w:space="0" w:color="F2F2F2"/>
              <w:bottom w:val="single" w:sz="2" w:space="0" w:color="000000"/>
            </w:tcBorders>
            <w:shd w:fill="F2F2F2" w:val="clear"/>
            <w:tcMar>
              <w:top w:w="45" w:type="dxa"/>
              <w:bottom w:w="30" w:type="dxa"/>
            </w:tcMar>
            <w:vAlign w:val="center"/>
          </w:tcPr>
          <w:p>
            <w:pPr>
              <w:pStyle w:val="TableContents"/>
              <w:pBdr/>
              <w:spacing w:before="0" w:after="15"/>
              <w:ind w:left="15" w:right="15" w:hanging="0"/>
              <w:jc w:val="right"/>
              <w:rPr>
                <w:color w:val="000000"/>
              </w:rPr>
            </w:pPr>
            <w:r>
              <w:rPr>
                <w:color w:val="000000"/>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85"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17" descr=""/>
                          <pic:cNvPicPr>
                            <a:picLocks noChangeAspect="1" noChangeArrowheads="1"/>
                          </pic:cNvPicPr>
                        </pic:nvPicPr>
                        <pic:blipFill>
                          <a:blip r:embed="rId218"/>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82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0" w:type="dxa"/>
          <w:right w:w="0" w:type="dxa"/>
        </w:tblCellMar>
      </w:tblPr>
      <w:tblGrid>
        <w:gridCol w:w="1163"/>
        <w:gridCol w:w="972"/>
        <w:gridCol w:w="439"/>
        <w:gridCol w:w="210"/>
        <w:gridCol w:w="440"/>
        <w:gridCol w:w="972"/>
        <w:gridCol w:w="702"/>
        <w:gridCol w:w="947"/>
        <w:gridCol w:w="883"/>
        <w:gridCol w:w="122"/>
        <w:gridCol w:w="120"/>
        <w:gridCol w:w="1046"/>
        <w:gridCol w:w="157"/>
        <w:gridCol w:w="917"/>
        <w:gridCol w:w="1115"/>
      </w:tblGrid>
      <w:tr>
        <w:trPr/>
        <w:tc>
          <w:tcPr>
            <w:tcW w:w="1163"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rPr/>
            </w:pPr>
            <w:r>
              <w:rPr/>
              <w:t> </w:t>
            </w:r>
          </w:p>
        </w:tc>
        <w:tc>
          <w:tcPr>
            <w:tcW w:w="702" w:type="dxa"/>
            <w:tcBorders/>
            <w:shd w:fill="auto" w:val="clear"/>
            <w:vAlign w:val="center"/>
          </w:tcPr>
          <w:p>
            <w:pPr>
              <w:pStyle w:val="TableContents"/>
              <w:spacing w:before="0" w:after="283"/>
              <w:rPr/>
            </w:pPr>
            <w:r>
              <w:rPr/>
              <w:t> </w:t>
            </w:r>
          </w:p>
        </w:tc>
        <w:tc>
          <w:tcPr>
            <w:tcW w:w="947" w:type="dxa"/>
            <w:tcBorders/>
            <w:shd w:fill="auto" w:val="clear"/>
            <w:vAlign w:val="center"/>
          </w:tcPr>
          <w:p>
            <w:pPr>
              <w:pStyle w:val="TableContents"/>
              <w:spacing w:before="0" w:after="283"/>
              <w:rPr/>
            </w:pPr>
            <w:r>
              <w:rPr/>
              <w:t> </w:t>
            </w:r>
          </w:p>
        </w:tc>
        <w:tc>
          <w:tcPr>
            <w:tcW w:w="883"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6"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917"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r>
      <w:tr>
        <w:trPr/>
        <w:tc>
          <w:tcPr>
            <w:tcW w:w="1163"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A</w:t>
            </w:r>
          </w:p>
        </w:tc>
        <w:tc>
          <w:tcPr>
            <w:tcW w:w="972"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B</w:t>
            </w:r>
          </w:p>
        </w:tc>
        <w:tc>
          <w:tcPr>
            <w:tcW w:w="439"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C</w:t>
            </w:r>
          </w:p>
        </w:tc>
        <w:tc>
          <w:tcPr>
            <w:tcW w:w="650" w:type="dxa"/>
            <w:gridSpan w:val="2"/>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color w:val="245BA7"/>
              </w:rPr>
            </w:pPr>
            <w:r>
              <w:rPr>
                <w:color w:val="245BA7"/>
              </w:rPr>
              <w:t> </w:t>
            </w:r>
          </w:p>
        </w:tc>
        <w:tc>
          <w:tcPr>
            <w:tcW w:w="972"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D</w:t>
            </w:r>
          </w:p>
        </w:tc>
        <w:tc>
          <w:tcPr>
            <w:tcW w:w="702"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E</w:t>
            </w:r>
          </w:p>
        </w:tc>
        <w:tc>
          <w:tcPr>
            <w:tcW w:w="947"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F</w:t>
            </w:r>
          </w:p>
        </w:tc>
        <w:tc>
          <w:tcPr>
            <w:tcW w:w="1005" w:type="dxa"/>
            <w:gridSpan w:val="2"/>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G</w:t>
            </w:r>
          </w:p>
        </w:tc>
        <w:tc>
          <w:tcPr>
            <w:tcW w:w="120"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color w:val="245BA7"/>
              </w:rPr>
            </w:pPr>
            <w:r>
              <w:rPr>
                <w:color w:val="245BA7"/>
              </w:rPr>
              <w:t> </w:t>
            </w:r>
          </w:p>
        </w:tc>
        <w:tc>
          <w:tcPr>
            <w:tcW w:w="1203" w:type="dxa"/>
            <w:gridSpan w:val="2"/>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H</w:t>
            </w:r>
          </w:p>
        </w:tc>
        <w:tc>
          <w:tcPr>
            <w:tcW w:w="917"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I</w:t>
            </w:r>
          </w:p>
        </w:tc>
        <w:tc>
          <w:tcPr>
            <w:tcW w:w="1115" w:type="dxa"/>
            <w:tcBorders>
              <w:top w:val="single" w:sz="2" w:space="0" w:color="245BA7"/>
              <w:bottom w:val="single" w:sz="2" w:space="0" w:color="245BA7"/>
            </w:tcBorders>
            <w:shd w:fill="auto" w:val="clear"/>
            <w:tcMar>
              <w:top w:w="45" w:type="dxa"/>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J</w:t>
            </w:r>
          </w:p>
        </w:tc>
      </w:tr>
      <w:tr>
        <w:trPr/>
        <w:tc>
          <w:tcPr>
            <w:tcW w:w="1163" w:type="dxa"/>
            <w:tcBorders/>
            <w:shd w:fill="auto" w:val="clear"/>
            <w:vAlign w:val="center"/>
          </w:tcPr>
          <w:p>
            <w:pPr>
              <w:pStyle w:val="TableContents"/>
              <w:pBdr/>
              <w:spacing w:before="15" w:after="0"/>
              <w:ind w:left="0" w:right="0" w:hanging="0"/>
              <w:jc w:val="center"/>
              <w:rPr>
                <w:color w:val="000000"/>
              </w:rPr>
            </w:pPr>
            <w:r>
              <w:rPr>
                <w:color w:val="000000"/>
              </w:rPr>
              <w:t> </w:t>
            </w:r>
          </w:p>
        </w:tc>
        <w:tc>
          <w:tcPr>
            <w:tcW w:w="4682" w:type="dxa"/>
            <w:gridSpan w:val="7"/>
            <w:tcBorders>
              <w:bottom w:val="single" w:sz="12" w:space="0" w:color="245AA7"/>
            </w:tcBorders>
            <w:shd w:fill="auto" w:val="clear"/>
            <w:tcMar>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Option Awards</w:t>
            </w:r>
          </w:p>
        </w:tc>
        <w:tc>
          <w:tcPr>
            <w:tcW w:w="4360" w:type="dxa"/>
            <w:gridSpan w:val="7"/>
            <w:tcBorders>
              <w:bottom w:val="single" w:sz="12" w:space="0" w:color="245AA7"/>
            </w:tcBorders>
            <w:shd w:fill="auto" w:val="clear"/>
            <w:tcMar>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Stock Awards</w:t>
            </w:r>
          </w:p>
        </w:tc>
      </w:tr>
      <w:tr>
        <w:trPr/>
        <w:tc>
          <w:tcPr>
            <w:tcW w:w="1163" w:type="dxa"/>
            <w:tcBorders>
              <w:bottom w:val="single" w:sz="12" w:space="0" w:color="245AA7"/>
            </w:tcBorders>
            <w:shd w:fill="auto" w:val="clear"/>
            <w:tcMar>
              <w:bottom w:w="75" w:type="dxa"/>
            </w:tcMar>
            <w:vAlign w:val="center"/>
          </w:tcPr>
          <w:p>
            <w:pPr>
              <w:pStyle w:val="TableContents"/>
              <w:pBdr/>
              <w:spacing w:before="15" w:after="0"/>
              <w:ind w:left="15" w:right="15" w:hanging="0"/>
              <w:rPr>
                <w:rFonts w:ascii="Arial" w:hAnsi="Arial"/>
                <w:b/>
                <w:color w:val="245BA7"/>
                <w:sz w:val="15"/>
              </w:rPr>
            </w:pPr>
            <w:r>
              <w:rPr>
                <w:rFonts w:ascii="Arial" w:hAnsi="Arial"/>
                <w:b/>
                <w:color w:val="245BA7"/>
                <w:sz w:val="15"/>
              </w:rPr>
              <w:t>Name</w:t>
            </w:r>
          </w:p>
        </w:tc>
        <w:tc>
          <w:tcPr>
            <w:tcW w:w="972" w:type="dxa"/>
            <w:tcBorders>
              <w:bottom w:val="single" w:sz="12" w:space="0" w:color="245AA7"/>
            </w:tcBorders>
            <w:shd w:fill="auto" w:val="clear"/>
            <w:tcMar>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Number of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securities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underlying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unexercised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options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exercisable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w:t>
            </w:r>
          </w:p>
        </w:tc>
        <w:tc>
          <w:tcPr>
            <w:tcW w:w="1089" w:type="dxa"/>
            <w:gridSpan w:val="3"/>
            <w:tcBorders>
              <w:bottom w:val="single" w:sz="12" w:space="0" w:color="245AA7"/>
            </w:tcBorders>
            <w:shd w:fill="auto" w:val="clear"/>
            <w:tcMar>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 xml:space="preserve">Number of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securities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underlying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unexercised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options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unexercisable </w:t>
            </w:r>
          </w:p>
          <w:p>
            <w:pPr>
              <w:pStyle w:val="TableContents"/>
              <w:pBdr/>
              <w:spacing w:before="0" w:after="0"/>
              <w:ind w:left="0" w:right="0" w:hanging="0"/>
              <w:jc w:val="center"/>
              <w:rPr>
                <w:rFonts w:ascii="Arial" w:hAnsi="Arial"/>
                <w:b/>
                <w:color w:val="245BA7"/>
                <w:sz w:val="15"/>
              </w:rPr>
            </w:pPr>
            <w:r>
              <w:rPr>
                <w:rFonts w:ascii="Arial" w:hAnsi="Arial"/>
                <w:b/>
                <w:color w:val="245BA7"/>
                <w:sz w:val="15"/>
              </w:rPr>
              <w:t>(#)</w:t>
            </w:r>
          </w:p>
        </w:tc>
        <w:tc>
          <w:tcPr>
            <w:tcW w:w="972" w:type="dxa"/>
            <w:tcBorders>
              <w:bottom w:val="single" w:sz="12" w:space="0" w:color="245AA7"/>
            </w:tcBorders>
            <w:shd w:fill="auto" w:val="clear"/>
            <w:tcMar>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Equity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incentive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plan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awards: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number of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securities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underlying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unexercised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unearned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options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w:t>
            </w:r>
          </w:p>
        </w:tc>
        <w:tc>
          <w:tcPr>
            <w:tcW w:w="702" w:type="dxa"/>
            <w:tcBorders>
              <w:bottom w:val="single" w:sz="12" w:space="0" w:color="245AA7"/>
            </w:tcBorders>
            <w:shd w:fill="auto" w:val="clear"/>
            <w:tcMar>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Option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exercise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price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w:t>
            </w:r>
          </w:p>
        </w:tc>
        <w:tc>
          <w:tcPr>
            <w:tcW w:w="947" w:type="dxa"/>
            <w:tcBorders>
              <w:bottom w:val="single" w:sz="12" w:space="0" w:color="245AA7"/>
            </w:tcBorders>
            <w:shd w:fill="auto" w:val="clear"/>
            <w:tcMar>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Option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expiration date</w:t>
            </w:r>
          </w:p>
        </w:tc>
        <w:tc>
          <w:tcPr>
            <w:tcW w:w="1125" w:type="dxa"/>
            <w:gridSpan w:val="3"/>
            <w:tcBorders>
              <w:bottom w:val="single" w:sz="12" w:space="0" w:color="245AA7"/>
            </w:tcBorders>
            <w:shd w:fill="auto" w:val="clear"/>
            <w:tcMar>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 xml:space="preserve">Number of shares or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units of stock that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have not vested </w:t>
            </w:r>
          </w:p>
          <w:p>
            <w:pPr>
              <w:pStyle w:val="TableContents"/>
              <w:pBdr/>
              <w:spacing w:before="0" w:after="0"/>
              <w:ind w:left="0" w:right="0" w:hanging="0"/>
              <w:jc w:val="center"/>
              <w:rPr>
                <w:rFonts w:ascii="Arial" w:hAnsi="Arial"/>
                <w:b/>
                <w:color w:val="245BA7"/>
                <w:sz w:val="15"/>
              </w:rPr>
            </w:pPr>
            <w:r>
              <w:rPr>
                <w:rFonts w:ascii="Arial" w:hAnsi="Arial"/>
                <w:b/>
                <w:color w:val="245BA7"/>
                <w:sz w:val="15"/>
              </w:rPr>
              <w:t>(#)</w:t>
            </w:r>
          </w:p>
        </w:tc>
        <w:tc>
          <w:tcPr>
            <w:tcW w:w="1203" w:type="dxa"/>
            <w:gridSpan w:val="2"/>
            <w:tcBorders>
              <w:bottom w:val="single" w:sz="12" w:space="0" w:color="245AA7"/>
            </w:tcBorders>
            <w:shd w:fill="auto" w:val="clear"/>
            <w:tcMar>
              <w:bottom w:w="75" w:type="dxa"/>
            </w:tcMar>
            <w:vAlign w:val="center"/>
          </w:tcPr>
          <w:p>
            <w:pPr>
              <w:pStyle w:val="TableContents"/>
              <w:pBdr/>
              <w:spacing w:before="15" w:after="0"/>
              <w:ind w:left="0" w:right="0" w:hanging="0"/>
              <w:jc w:val="center"/>
              <w:rPr>
                <w:rFonts w:ascii="Arial" w:hAnsi="Arial"/>
                <w:b/>
                <w:color w:val="245BA7"/>
                <w:sz w:val="15"/>
              </w:rPr>
            </w:pPr>
            <w:r>
              <w:rPr>
                <w:rFonts w:ascii="Arial" w:hAnsi="Arial"/>
                <w:b/>
                <w:color w:val="245BA7"/>
                <w:sz w:val="15"/>
              </w:rPr>
              <w:t xml:space="preserve">Market value of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shares or units of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stock that have not </w:t>
            </w:r>
          </w:p>
          <w:p>
            <w:pPr>
              <w:pStyle w:val="TableContents"/>
              <w:pBdr/>
              <w:spacing w:before="0" w:after="15"/>
              <w:ind w:left="0" w:right="0" w:hanging="0"/>
              <w:jc w:val="center"/>
              <w:rPr>
                <w:rFonts w:ascii="Arial" w:hAnsi="Arial"/>
                <w:b/>
                <w:color w:val="245BA7"/>
                <w:sz w:val="15"/>
              </w:rPr>
            </w:pPr>
            <w:r>
              <w:rPr>
                <w:rFonts w:ascii="Arial" w:hAnsi="Arial"/>
                <w:b/>
                <w:color w:val="245BA7"/>
                <w:sz w:val="15"/>
              </w:rPr>
              <w:t xml:space="preserve">vested </w:t>
            </w:r>
          </w:p>
          <w:p>
            <w:pPr>
              <w:pStyle w:val="TableContents"/>
              <w:pBdr/>
              <w:spacing w:before="0" w:after="0"/>
              <w:ind w:left="0" w:right="0" w:hanging="0"/>
              <w:jc w:val="center"/>
              <w:rPr>
                <w:rFonts w:ascii="Arial" w:hAnsi="Arial"/>
                <w:b/>
                <w:color w:val="245BA7"/>
                <w:sz w:val="15"/>
              </w:rPr>
            </w:pPr>
            <w:r>
              <w:rPr>
                <w:rFonts w:ascii="Arial" w:hAnsi="Arial"/>
                <w:b/>
                <w:color w:val="245BA7"/>
                <w:sz w:val="15"/>
              </w:rPr>
              <w:t>($)</w:t>
            </w:r>
          </w:p>
        </w:tc>
        <w:tc>
          <w:tcPr>
            <w:tcW w:w="917" w:type="dxa"/>
            <w:tcBorders>
              <w:bottom w:val="single" w:sz="12" w:space="0" w:color="245AA7"/>
            </w:tcBorders>
            <w:shd w:fill="auto" w:val="clear"/>
            <w:tcMar>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Equity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incentive plan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awards: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number of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unearned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shares, units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or other rights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that have not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vested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w:t>
            </w:r>
          </w:p>
        </w:tc>
        <w:tc>
          <w:tcPr>
            <w:tcW w:w="1115" w:type="dxa"/>
            <w:tcBorders>
              <w:bottom w:val="single" w:sz="12" w:space="0" w:color="245AA7"/>
            </w:tcBorders>
            <w:shd w:fill="auto" w:val="clear"/>
            <w:tcMar>
              <w:bottom w:w="75" w:type="dxa"/>
            </w:tcMar>
            <w:vAlign w:val="center"/>
          </w:tcPr>
          <w:p>
            <w:pPr>
              <w:pStyle w:val="TableContents"/>
              <w:pBdr/>
              <w:spacing w:before="15" w:after="0"/>
              <w:ind w:left="15" w:right="15" w:hanging="0"/>
              <w:jc w:val="center"/>
              <w:rPr>
                <w:rFonts w:ascii="Arial" w:hAnsi="Arial"/>
                <w:b/>
                <w:color w:val="245BA7"/>
                <w:sz w:val="15"/>
              </w:rPr>
            </w:pPr>
            <w:r>
              <w:rPr>
                <w:rFonts w:ascii="Arial" w:hAnsi="Arial"/>
                <w:b/>
                <w:color w:val="245BA7"/>
                <w:sz w:val="15"/>
              </w:rPr>
              <w:t xml:space="preserve">Equity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incentive plan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awards: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market or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payout value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of unearned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shares, units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or other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rights that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have not </w:t>
            </w:r>
          </w:p>
          <w:p>
            <w:pPr>
              <w:pStyle w:val="TableContents"/>
              <w:pBdr/>
              <w:spacing w:before="0" w:after="15"/>
              <w:ind w:left="15" w:right="15" w:hanging="0"/>
              <w:jc w:val="center"/>
              <w:rPr>
                <w:rFonts w:ascii="Arial" w:hAnsi="Arial"/>
                <w:b/>
                <w:color w:val="245BA7"/>
                <w:sz w:val="15"/>
              </w:rPr>
            </w:pPr>
            <w:r>
              <w:rPr>
                <w:rFonts w:ascii="Arial" w:hAnsi="Arial"/>
                <w:b/>
                <w:color w:val="245BA7"/>
                <w:sz w:val="15"/>
              </w:rPr>
              <w:t xml:space="preserve">vested </w:t>
            </w:r>
          </w:p>
          <w:p>
            <w:pPr>
              <w:pStyle w:val="TableContents"/>
              <w:pBdr/>
              <w:spacing w:before="0" w:after="0"/>
              <w:ind w:left="15" w:right="15" w:hanging="0"/>
              <w:jc w:val="center"/>
              <w:rPr>
                <w:rFonts w:ascii="Arial" w:hAnsi="Arial"/>
                <w:b/>
                <w:color w:val="245BA7"/>
                <w:sz w:val="15"/>
              </w:rPr>
            </w:pPr>
            <w:r>
              <w:rPr>
                <w:rFonts w:ascii="Arial" w:hAnsi="Arial"/>
                <w:b/>
                <w:color w:val="245BA7"/>
                <w:sz w:val="15"/>
              </w:rPr>
              <w:t>($)</w:t>
            </w:r>
          </w:p>
        </w:tc>
      </w:tr>
      <w:tr>
        <w:trPr/>
        <w:tc>
          <w:tcPr>
            <w:tcW w:w="1163" w:type="dxa"/>
            <w:vMerge w:val="restart"/>
            <w:tcBorders/>
            <w:shd w:fill="auto" w:val="clear"/>
            <w:vAlign w:val="center"/>
          </w:tcPr>
          <w:p>
            <w:pPr>
              <w:pStyle w:val="TableContents"/>
              <w:pBdr/>
              <w:spacing w:before="0" w:after="15"/>
              <w:ind w:left="15" w:right="0" w:hanging="0"/>
              <w:rPr>
                <w:rFonts w:ascii="Arial" w:hAnsi="Arial"/>
                <w:b/>
                <w:color w:val="D31B5D"/>
                <w:sz w:val="20"/>
              </w:rPr>
            </w:pPr>
            <w:r>
              <w:rPr>
                <w:rFonts w:ascii="Arial" w:hAnsi="Arial"/>
                <w:b/>
                <w:color w:val="D31B5D"/>
                <w:sz w:val="20"/>
              </w:rPr>
              <w:t>Marion McCourt</w:t>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49"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10,971</w:t>
            </w:r>
          </w:p>
        </w:tc>
        <w:tc>
          <w:tcPr>
            <w:tcW w:w="440" w:type="dxa"/>
            <w:tcBorders>
              <w:bottom w:val="single" w:sz="2" w:space="0" w:color="575756"/>
            </w:tcBorders>
            <w:shd w:fill="auto" w:val="clear"/>
            <w:tcMar>
              <w:bottom w:w="30"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5</w:t>
            </w:r>
            <w:r>
              <w:rPr>
                <w:rFonts w:ascii="Arial" w:hAnsi="Arial"/>
                <w:color w:val="000000"/>
                <w:sz w:val="15"/>
              </w:rPr>
              <w:t> </w:t>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0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726.53</w:t>
            </w:r>
          </w:p>
        </w:tc>
        <w:tc>
          <w:tcPr>
            <w:tcW w:w="94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12/16/2032</w:t>
            </w:r>
          </w:p>
        </w:tc>
        <w:tc>
          <w:tcPr>
            <w:tcW w:w="883"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22"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120"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1046"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57"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9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163" w:type="dxa"/>
            <w:vMerge w:val="continue"/>
            <w:tcBorders/>
            <w:shd w:fill="auto" w:val="clear"/>
            <w:vAlign w:val="center"/>
          </w:tcPr>
          <w:p>
            <w:pPr>
              <w:pStyle w:val="Normal"/>
              <w:rPr/>
            </w:pPr>
            <w:r>
              <w:rPr/>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3,564</w:t>
            </w:r>
          </w:p>
        </w:tc>
        <w:tc>
          <w:tcPr>
            <w:tcW w:w="649"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10,689</w:t>
            </w:r>
          </w:p>
        </w:tc>
        <w:tc>
          <w:tcPr>
            <w:tcW w:w="440" w:type="dxa"/>
            <w:tcBorders>
              <w:bottom w:val="single" w:sz="2" w:space="0" w:color="575756"/>
            </w:tcBorders>
            <w:shd w:fill="auto" w:val="clear"/>
            <w:tcMar>
              <w:bottom w:w="30"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6</w:t>
            </w:r>
            <w:r>
              <w:rPr>
                <w:rFonts w:ascii="Arial" w:hAnsi="Arial"/>
                <w:color w:val="000000"/>
                <w:sz w:val="15"/>
              </w:rPr>
              <w:t> </w:t>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0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644.54</w:t>
            </w:r>
          </w:p>
        </w:tc>
        <w:tc>
          <w:tcPr>
            <w:tcW w:w="94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12/08/2031</w:t>
            </w:r>
          </w:p>
        </w:tc>
        <w:tc>
          <w:tcPr>
            <w:tcW w:w="883"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22"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120"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1046"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57"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9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163" w:type="dxa"/>
            <w:vMerge w:val="continue"/>
            <w:tcBorders/>
            <w:shd w:fill="auto" w:val="clear"/>
            <w:vAlign w:val="center"/>
          </w:tcPr>
          <w:p>
            <w:pPr>
              <w:pStyle w:val="Normal"/>
              <w:rPr/>
            </w:pPr>
            <w:r>
              <w:rPr/>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12,500</w:t>
            </w:r>
          </w:p>
        </w:tc>
        <w:tc>
          <w:tcPr>
            <w:tcW w:w="649"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12,500</w:t>
            </w:r>
          </w:p>
        </w:tc>
        <w:tc>
          <w:tcPr>
            <w:tcW w:w="440" w:type="dxa"/>
            <w:tcBorders>
              <w:bottom w:val="single" w:sz="2" w:space="0" w:color="575756"/>
            </w:tcBorders>
            <w:shd w:fill="auto" w:val="clear"/>
            <w:tcMar>
              <w:bottom w:w="30"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7</w:t>
            </w:r>
            <w:r>
              <w:rPr>
                <w:rFonts w:ascii="Arial" w:hAnsi="Arial"/>
                <w:color w:val="000000"/>
                <w:sz w:val="15"/>
              </w:rPr>
              <w:t> </w:t>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0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492.00</w:t>
            </w:r>
          </w:p>
        </w:tc>
        <w:tc>
          <w:tcPr>
            <w:tcW w:w="94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12/09/2030</w:t>
            </w:r>
          </w:p>
        </w:tc>
        <w:tc>
          <w:tcPr>
            <w:tcW w:w="883"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22"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120"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1046"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57"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9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163" w:type="dxa"/>
            <w:vMerge w:val="continue"/>
            <w:tcBorders/>
            <w:shd w:fill="auto" w:val="clear"/>
            <w:vAlign w:val="center"/>
          </w:tcPr>
          <w:p>
            <w:pPr>
              <w:pStyle w:val="Normal"/>
              <w:rPr/>
            </w:pPr>
            <w:r>
              <w:rPr/>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6,438</w:t>
            </w:r>
          </w:p>
        </w:tc>
        <w:tc>
          <w:tcPr>
            <w:tcW w:w="649"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3,412</w:t>
            </w:r>
          </w:p>
        </w:tc>
        <w:tc>
          <w:tcPr>
            <w:tcW w:w="440" w:type="dxa"/>
            <w:tcBorders>
              <w:bottom w:val="single" w:sz="2" w:space="0" w:color="575756"/>
            </w:tcBorders>
            <w:shd w:fill="auto" w:val="clear"/>
            <w:tcMar>
              <w:bottom w:w="30"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1</w:t>
            </w:r>
            <w:r>
              <w:rPr>
                <w:rFonts w:ascii="Arial" w:hAnsi="Arial"/>
                <w:color w:val="000000"/>
                <w:sz w:val="15"/>
              </w:rPr>
              <w:t> </w:t>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0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372.46</w:t>
            </w:r>
          </w:p>
        </w:tc>
        <w:tc>
          <w:tcPr>
            <w:tcW w:w="94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12/11/2029</w:t>
            </w:r>
          </w:p>
        </w:tc>
        <w:tc>
          <w:tcPr>
            <w:tcW w:w="883"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22"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120"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1046"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57"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9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163" w:type="dxa"/>
            <w:vMerge w:val="continue"/>
            <w:tcBorders/>
            <w:shd w:fill="auto" w:val="clear"/>
            <w:vAlign w:val="center"/>
          </w:tcPr>
          <w:p>
            <w:pPr>
              <w:pStyle w:val="Normal"/>
              <w:rPr/>
            </w:pPr>
            <w:r>
              <w:rPr/>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10,000</w:t>
            </w:r>
          </w:p>
        </w:tc>
        <w:tc>
          <w:tcPr>
            <w:tcW w:w="649"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440"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0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381.40</w:t>
            </w:r>
          </w:p>
        </w:tc>
        <w:tc>
          <w:tcPr>
            <w:tcW w:w="94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rFonts w:ascii="Arial" w:hAnsi="Arial"/>
                <w:color w:val="000000"/>
                <w:sz w:val="15"/>
              </w:rPr>
            </w:pPr>
            <w:r>
              <w:rPr>
                <w:rFonts w:ascii="Arial" w:hAnsi="Arial"/>
                <w:color w:val="000000"/>
                <w:sz w:val="15"/>
              </w:rPr>
              <w:t>12/12/2028</w:t>
            </w:r>
          </w:p>
        </w:tc>
        <w:tc>
          <w:tcPr>
            <w:tcW w:w="883"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22"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120"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1046"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157" w:type="dxa"/>
            <w:tcBorders>
              <w:bottom w:val="single" w:sz="2" w:space="0" w:color="575756"/>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9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163" w:type="dxa"/>
            <w:vMerge w:val="continue"/>
            <w:tcBorders/>
            <w:shd w:fill="auto" w:val="clear"/>
            <w:vAlign w:val="center"/>
          </w:tcPr>
          <w:p>
            <w:pPr>
              <w:pStyle w:val="Normal"/>
              <w:rPr/>
            </w:pPr>
            <w:r>
              <w:rPr/>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49"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440"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0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94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83"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 xml:space="preserve">2,973 </w:t>
            </w:r>
          </w:p>
        </w:tc>
        <w:tc>
          <w:tcPr>
            <w:tcW w:w="242" w:type="dxa"/>
            <w:gridSpan w:val="2"/>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8</w:t>
            </w:r>
            <w:r>
              <w:rPr>
                <w:rFonts w:ascii="Arial" w:hAnsi="Arial"/>
                <w:color w:val="000000"/>
                <w:sz w:val="15"/>
              </w:rPr>
              <w:t> </w:t>
            </w:r>
          </w:p>
        </w:tc>
        <w:tc>
          <w:tcPr>
            <w:tcW w:w="1046"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 xml:space="preserve">2,144,990 </w:t>
            </w:r>
          </w:p>
        </w:tc>
        <w:tc>
          <w:tcPr>
            <w:tcW w:w="157"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c>
          <w:tcPr>
            <w:tcW w:w="9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163" w:type="dxa"/>
            <w:vMerge w:val="continue"/>
            <w:tcBorders/>
            <w:shd w:fill="auto" w:val="clear"/>
            <w:vAlign w:val="center"/>
          </w:tcPr>
          <w:p>
            <w:pPr>
              <w:pStyle w:val="Normal"/>
              <w:rPr/>
            </w:pPr>
            <w:r>
              <w:rPr/>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49"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440"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0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94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83"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 xml:space="preserve">3,338 </w:t>
            </w:r>
          </w:p>
        </w:tc>
        <w:tc>
          <w:tcPr>
            <w:tcW w:w="242" w:type="dxa"/>
            <w:gridSpan w:val="2"/>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9</w:t>
            </w:r>
            <w:r>
              <w:rPr>
                <w:rFonts w:ascii="Arial" w:hAnsi="Arial"/>
                <w:color w:val="000000"/>
                <w:sz w:val="15"/>
              </w:rPr>
              <w:t> </w:t>
            </w:r>
          </w:p>
        </w:tc>
        <w:tc>
          <w:tcPr>
            <w:tcW w:w="1046"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 xml:space="preserve">2,408,334 </w:t>
            </w:r>
          </w:p>
        </w:tc>
        <w:tc>
          <w:tcPr>
            <w:tcW w:w="157"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c>
          <w:tcPr>
            <w:tcW w:w="9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163" w:type="dxa"/>
            <w:vMerge w:val="continue"/>
            <w:tcBorders/>
            <w:shd w:fill="auto" w:val="clear"/>
            <w:vAlign w:val="center"/>
          </w:tcPr>
          <w:p>
            <w:pPr>
              <w:pStyle w:val="Normal"/>
              <w:rPr/>
            </w:pPr>
            <w:r>
              <w:rPr/>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49"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440"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0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94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83"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 xml:space="preserve">537 </w:t>
            </w:r>
          </w:p>
        </w:tc>
        <w:tc>
          <w:tcPr>
            <w:tcW w:w="242" w:type="dxa"/>
            <w:gridSpan w:val="2"/>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10</w:t>
            </w:r>
            <w:r>
              <w:rPr>
                <w:rFonts w:ascii="Arial" w:hAnsi="Arial"/>
                <w:color w:val="000000"/>
                <w:sz w:val="15"/>
              </w:rPr>
              <w:t> </w:t>
            </w:r>
          </w:p>
        </w:tc>
        <w:tc>
          <w:tcPr>
            <w:tcW w:w="1046"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 xml:space="preserve">387,440 </w:t>
            </w:r>
          </w:p>
        </w:tc>
        <w:tc>
          <w:tcPr>
            <w:tcW w:w="157"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c>
          <w:tcPr>
            <w:tcW w:w="9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163" w:type="dxa"/>
            <w:vMerge w:val="continue"/>
            <w:tcBorders/>
            <w:shd w:fill="auto" w:val="clear"/>
            <w:vAlign w:val="center"/>
          </w:tcPr>
          <w:p>
            <w:pPr>
              <w:pStyle w:val="Normal"/>
              <w:rPr/>
            </w:pPr>
            <w:r>
              <w:rPr/>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49"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440"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0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94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83"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 xml:space="preserve">2,000 </w:t>
            </w:r>
          </w:p>
        </w:tc>
        <w:tc>
          <w:tcPr>
            <w:tcW w:w="242" w:type="dxa"/>
            <w:gridSpan w:val="2"/>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11</w:t>
            </w:r>
            <w:r>
              <w:rPr>
                <w:rFonts w:ascii="Arial" w:hAnsi="Arial"/>
                <w:color w:val="000000"/>
                <w:sz w:val="15"/>
              </w:rPr>
              <w:t> </w:t>
            </w:r>
          </w:p>
        </w:tc>
        <w:tc>
          <w:tcPr>
            <w:tcW w:w="1046"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 xml:space="preserve">1,442,980 </w:t>
            </w:r>
          </w:p>
        </w:tc>
        <w:tc>
          <w:tcPr>
            <w:tcW w:w="157"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c>
          <w:tcPr>
            <w:tcW w:w="9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163" w:type="dxa"/>
            <w:vMerge w:val="continue"/>
            <w:tcBorders/>
            <w:shd w:fill="auto" w:val="clear"/>
            <w:vAlign w:val="center"/>
          </w:tcPr>
          <w:p>
            <w:pPr>
              <w:pStyle w:val="Normal"/>
              <w:rPr/>
            </w:pPr>
            <w:r>
              <w:rPr/>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49"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440"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0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94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83"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 xml:space="preserve">731 </w:t>
            </w:r>
          </w:p>
        </w:tc>
        <w:tc>
          <w:tcPr>
            <w:tcW w:w="242" w:type="dxa"/>
            <w:gridSpan w:val="2"/>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12</w:t>
            </w:r>
            <w:r>
              <w:rPr>
                <w:rFonts w:ascii="Arial" w:hAnsi="Arial"/>
                <w:color w:val="000000"/>
                <w:sz w:val="15"/>
              </w:rPr>
              <w:t> </w:t>
            </w:r>
          </w:p>
        </w:tc>
        <w:tc>
          <w:tcPr>
            <w:tcW w:w="1046"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 xml:space="preserve">527,409 </w:t>
            </w:r>
          </w:p>
        </w:tc>
        <w:tc>
          <w:tcPr>
            <w:tcW w:w="157"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c>
          <w:tcPr>
            <w:tcW w:w="9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163" w:type="dxa"/>
            <w:vMerge w:val="continue"/>
            <w:tcBorders/>
            <w:shd w:fill="auto" w:val="clear"/>
            <w:vAlign w:val="center"/>
          </w:tcPr>
          <w:p>
            <w:pPr>
              <w:pStyle w:val="Normal"/>
              <w:rPr/>
            </w:pPr>
            <w:r>
              <w:rPr/>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49"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440"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0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94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83"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 xml:space="preserve">10,000 </w:t>
            </w:r>
          </w:p>
        </w:tc>
        <w:tc>
          <w:tcPr>
            <w:tcW w:w="242" w:type="dxa"/>
            <w:gridSpan w:val="2"/>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14</w:t>
            </w:r>
            <w:r>
              <w:rPr>
                <w:rFonts w:ascii="Arial" w:hAnsi="Arial"/>
                <w:color w:val="000000"/>
                <w:sz w:val="15"/>
              </w:rPr>
              <w:t> </w:t>
            </w:r>
          </w:p>
        </w:tc>
        <w:tc>
          <w:tcPr>
            <w:tcW w:w="1046"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 xml:space="preserve">7,214,900 </w:t>
            </w:r>
          </w:p>
        </w:tc>
        <w:tc>
          <w:tcPr>
            <w:tcW w:w="157"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c>
          <w:tcPr>
            <w:tcW w:w="9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163" w:type="dxa"/>
            <w:vMerge w:val="continue"/>
            <w:tcBorders/>
            <w:shd w:fill="auto" w:val="clear"/>
            <w:vAlign w:val="center"/>
          </w:tcPr>
          <w:p>
            <w:pPr>
              <w:pStyle w:val="Normal"/>
              <w:rPr/>
            </w:pPr>
            <w:r>
              <w:rPr/>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649" w:type="dxa"/>
            <w:gridSpan w:val="2"/>
            <w:tcBorders>
              <w:bottom w:val="single" w:sz="2" w:space="0" w:color="575756"/>
            </w:tcBorders>
            <w:shd w:fill="auto" w:val="clear"/>
            <w:tcMar>
              <w:bottom w:w="30" w:type="dxa"/>
            </w:tcMar>
            <w:vAlign w:val="center"/>
          </w:tcPr>
          <w:p>
            <w:pPr>
              <w:pStyle w:val="TableContents"/>
              <w:pBdr/>
              <w:spacing w:before="0" w:after="15"/>
              <w:ind w:left="15" w:right="0" w:hanging="0"/>
              <w:jc w:val="right"/>
              <w:rPr>
                <w:color w:val="000000"/>
              </w:rPr>
            </w:pPr>
            <w:r>
              <w:rPr>
                <w:color w:val="000000"/>
              </w:rPr>
              <w:t>—</w:t>
            </w:r>
          </w:p>
        </w:tc>
        <w:tc>
          <w:tcPr>
            <w:tcW w:w="440" w:type="dxa"/>
            <w:tcBorders>
              <w:bottom w:val="single" w:sz="2" w:space="0" w:color="575756"/>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97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702"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94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883"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 xml:space="preserve">2,500 </w:t>
            </w:r>
          </w:p>
        </w:tc>
        <w:tc>
          <w:tcPr>
            <w:tcW w:w="242" w:type="dxa"/>
            <w:gridSpan w:val="2"/>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15</w:t>
            </w:r>
            <w:r>
              <w:rPr>
                <w:rFonts w:ascii="Arial" w:hAnsi="Arial"/>
                <w:color w:val="000000"/>
                <w:sz w:val="15"/>
              </w:rPr>
              <w:t> </w:t>
            </w:r>
          </w:p>
        </w:tc>
        <w:tc>
          <w:tcPr>
            <w:tcW w:w="1046" w:type="dxa"/>
            <w:tcBorders>
              <w:bottom w:val="single" w:sz="2" w:space="0" w:color="575756"/>
            </w:tcBorders>
            <w:shd w:fill="auto" w:val="clear"/>
            <w:tcMar>
              <w:bottom w:w="30" w:type="dxa"/>
            </w:tcMar>
            <w:vAlign w:val="center"/>
          </w:tcPr>
          <w:p>
            <w:pPr>
              <w:pStyle w:val="TableContents"/>
              <w:pBdr/>
              <w:spacing w:before="0" w:after="15"/>
              <w:ind w:left="15" w:right="0" w:hanging="0"/>
              <w:jc w:val="right"/>
              <w:rPr>
                <w:rFonts w:ascii="Arial" w:hAnsi="Arial"/>
                <w:color w:val="000000"/>
                <w:sz w:val="15"/>
              </w:rPr>
            </w:pPr>
            <w:r>
              <w:rPr>
                <w:rFonts w:ascii="Arial" w:hAnsi="Arial"/>
                <w:color w:val="000000"/>
                <w:sz w:val="15"/>
              </w:rPr>
              <w:t xml:space="preserve">1,803,725 </w:t>
            </w:r>
          </w:p>
        </w:tc>
        <w:tc>
          <w:tcPr>
            <w:tcW w:w="157" w:type="dxa"/>
            <w:tcBorders>
              <w:bottom w:val="single" w:sz="2" w:space="0" w:color="575756"/>
            </w:tcBorders>
            <w:shd w:fill="auto" w:val="clear"/>
            <w:tcMar>
              <w:bottom w:w="28" w:type="dxa"/>
            </w:tcMar>
            <w:vAlign w:val="center"/>
          </w:tcPr>
          <w:p>
            <w:pPr>
              <w:pStyle w:val="TableContents"/>
              <w:pBdr/>
              <w:spacing w:before="0" w:after="15"/>
              <w:ind w:left="0" w:right="0" w:hanging="0"/>
              <w:rPr>
                <w:rFonts w:ascii="Arial" w:hAnsi="Arial"/>
                <w:color w:val="000000"/>
                <w:sz w:val="15"/>
              </w:rPr>
            </w:pPr>
            <w:r>
              <w:rPr>
                <w:rFonts w:ascii="Arial" w:hAnsi="Arial"/>
                <w:color w:val="000000"/>
                <w:position w:val="5"/>
                <w:sz w:val="12"/>
                <w:sz w:val="15"/>
              </w:rPr>
              <w:t>4</w:t>
            </w:r>
            <w:r>
              <w:rPr>
                <w:rFonts w:ascii="Arial" w:hAnsi="Arial"/>
                <w:color w:val="000000"/>
                <w:sz w:val="15"/>
              </w:rPr>
              <w:t> </w:t>
            </w:r>
          </w:p>
        </w:tc>
        <w:tc>
          <w:tcPr>
            <w:tcW w:w="917"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c>
          <w:tcPr>
            <w:tcW w:w="1115" w:type="dxa"/>
            <w:tcBorders>
              <w:bottom w:val="single" w:sz="2" w:space="0" w:color="575756"/>
            </w:tcBorders>
            <w:shd w:fill="auto" w:val="clear"/>
            <w:tcMar>
              <w:bottom w:w="30" w:type="dxa"/>
            </w:tcMar>
            <w:vAlign w:val="center"/>
          </w:tcPr>
          <w:p>
            <w:pPr>
              <w:pStyle w:val="TableContents"/>
              <w:pBdr/>
              <w:spacing w:before="0" w:after="15"/>
              <w:ind w:left="15" w:right="15" w:hanging="0"/>
              <w:jc w:val="right"/>
              <w:rPr>
                <w:color w:val="000000"/>
              </w:rPr>
            </w:pPr>
            <w:r>
              <w:rPr>
                <w:color w:val="000000"/>
              </w:rPr>
              <w:t>—</w:t>
            </w:r>
          </w:p>
        </w:tc>
      </w:tr>
      <w:tr>
        <w:trPr/>
        <w:tc>
          <w:tcPr>
            <w:tcW w:w="1163" w:type="dxa"/>
            <w:tcBorders>
              <w:bottom w:val="single" w:sz="2" w:space="0" w:color="000000"/>
            </w:tcBorders>
            <w:shd w:fill="auto" w:val="clear"/>
            <w:tcMar>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TOTAL</w:t>
            </w:r>
          </w:p>
        </w:tc>
        <w:tc>
          <w:tcPr>
            <w:tcW w:w="972" w:type="dxa"/>
            <w:tcBorders>
              <w:bottom w:val="single" w:sz="2" w:space="0" w:color="000000"/>
            </w:tcBorders>
            <w:shd w:fill="auto" w:val="clear"/>
            <w:tcMar>
              <w:bottom w:w="30" w:type="dxa"/>
            </w:tcMar>
            <w:vAlign w:val="center"/>
          </w:tcPr>
          <w:p>
            <w:pPr>
              <w:pStyle w:val="TableContents"/>
              <w:pBdr/>
              <w:spacing w:before="0" w:after="15"/>
              <w:ind w:left="15" w:right="15" w:hanging="0"/>
              <w:jc w:val="right"/>
              <w:rPr>
                <w:rFonts w:ascii="Arial" w:hAnsi="Arial"/>
                <w:b/>
                <w:color w:val="000000"/>
                <w:sz w:val="15"/>
              </w:rPr>
            </w:pPr>
            <w:r>
              <w:rPr>
                <w:rFonts w:ascii="Arial" w:hAnsi="Arial"/>
                <w:b/>
                <w:color w:val="000000"/>
                <w:sz w:val="15"/>
              </w:rPr>
              <w:t>32,502</w:t>
            </w:r>
          </w:p>
        </w:tc>
        <w:tc>
          <w:tcPr>
            <w:tcW w:w="649" w:type="dxa"/>
            <w:gridSpan w:val="2"/>
            <w:tcBorders>
              <w:bottom w:val="single" w:sz="2" w:space="0" w:color="000000"/>
            </w:tcBorders>
            <w:shd w:fill="auto" w:val="clear"/>
            <w:tcMar>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37,572</w:t>
            </w:r>
          </w:p>
        </w:tc>
        <w:tc>
          <w:tcPr>
            <w:tcW w:w="440" w:type="dxa"/>
            <w:tcBorders>
              <w:bottom w:val="single" w:sz="2" w:space="0" w:color="000000"/>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972" w:type="dxa"/>
            <w:tcBorders>
              <w:bottom w:val="single" w:sz="2" w:space="0" w:color="000000"/>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702" w:type="dxa"/>
            <w:tcBorders>
              <w:bottom w:val="single" w:sz="2" w:space="0" w:color="000000"/>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947" w:type="dxa"/>
            <w:tcBorders>
              <w:bottom w:val="single" w:sz="2" w:space="0" w:color="000000"/>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883" w:type="dxa"/>
            <w:tcBorders>
              <w:bottom w:val="single" w:sz="2" w:space="0" w:color="000000"/>
            </w:tcBorders>
            <w:shd w:fill="auto" w:val="clear"/>
            <w:tcMar>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22,079</w:t>
            </w:r>
          </w:p>
        </w:tc>
        <w:tc>
          <w:tcPr>
            <w:tcW w:w="122" w:type="dxa"/>
            <w:tcBorders>
              <w:bottom w:val="single" w:sz="2" w:space="0" w:color="000000"/>
            </w:tcBorders>
            <w:shd w:fill="auto" w:val="clear"/>
            <w:tcMar>
              <w:bottom w:w="30" w:type="dxa"/>
            </w:tcMar>
            <w:vAlign w:val="center"/>
          </w:tcPr>
          <w:p>
            <w:pPr>
              <w:pStyle w:val="TableContents"/>
              <w:pBdr/>
              <w:spacing w:before="0" w:after="15"/>
              <w:ind w:left="0" w:right="0" w:hanging="0"/>
              <w:rPr>
                <w:color w:val="000000"/>
              </w:rPr>
            </w:pPr>
            <w:r>
              <w:rPr>
                <w:color w:val="000000"/>
              </w:rPr>
              <w:t> </w:t>
            </w:r>
          </w:p>
        </w:tc>
        <w:tc>
          <w:tcPr>
            <w:tcW w:w="120" w:type="dxa"/>
            <w:tcBorders>
              <w:bottom w:val="single" w:sz="2" w:space="0" w:color="000000"/>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1046" w:type="dxa"/>
            <w:tcBorders>
              <w:bottom w:val="single" w:sz="2" w:space="0" w:color="000000"/>
            </w:tcBorders>
            <w:shd w:fill="auto" w:val="clear"/>
            <w:tcMar>
              <w:bottom w:w="30" w:type="dxa"/>
            </w:tcMar>
            <w:vAlign w:val="center"/>
          </w:tcPr>
          <w:p>
            <w:pPr>
              <w:pStyle w:val="TableContents"/>
              <w:pBdr/>
              <w:spacing w:before="0" w:after="15"/>
              <w:ind w:left="15" w:right="0" w:hanging="0"/>
              <w:jc w:val="right"/>
              <w:rPr>
                <w:rFonts w:ascii="Arial" w:hAnsi="Arial"/>
                <w:b/>
                <w:color w:val="000000"/>
                <w:sz w:val="15"/>
              </w:rPr>
            </w:pPr>
            <w:r>
              <w:rPr>
                <w:rFonts w:ascii="Arial" w:hAnsi="Arial"/>
                <w:b/>
                <w:color w:val="000000"/>
                <w:sz w:val="15"/>
              </w:rPr>
              <w:t>15,929,778</w:t>
            </w:r>
          </w:p>
        </w:tc>
        <w:tc>
          <w:tcPr>
            <w:tcW w:w="157" w:type="dxa"/>
            <w:tcBorders>
              <w:bottom w:val="single" w:sz="2" w:space="0" w:color="000000"/>
            </w:tcBorders>
            <w:shd w:fill="auto" w:val="clear"/>
            <w:tcMar>
              <w:bottom w:w="28" w:type="dxa"/>
            </w:tcMar>
            <w:vAlign w:val="center"/>
          </w:tcPr>
          <w:p>
            <w:pPr>
              <w:pStyle w:val="TableContents"/>
              <w:pBdr/>
              <w:spacing w:before="0" w:after="15"/>
              <w:ind w:left="0" w:right="0" w:hanging="0"/>
              <w:rPr>
                <w:color w:val="000000"/>
              </w:rPr>
            </w:pPr>
            <w:r>
              <w:rPr>
                <w:color w:val="000000"/>
              </w:rPr>
              <w:t> </w:t>
            </w:r>
          </w:p>
        </w:tc>
        <w:tc>
          <w:tcPr>
            <w:tcW w:w="917" w:type="dxa"/>
            <w:tcBorders>
              <w:bottom w:val="single" w:sz="2" w:space="0" w:color="000000"/>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c>
          <w:tcPr>
            <w:tcW w:w="1115" w:type="dxa"/>
            <w:tcBorders>
              <w:bottom w:val="single" w:sz="2" w:space="0" w:color="000000"/>
            </w:tcBorders>
            <w:shd w:fill="auto" w:val="clear"/>
            <w:tcMar>
              <w:bottom w:w="30" w:type="dxa"/>
            </w:tcMar>
            <w:vAlign w:val="center"/>
          </w:tcPr>
          <w:p>
            <w:pPr>
              <w:pStyle w:val="TableContents"/>
              <w:pBdr/>
              <w:spacing w:before="0" w:after="15"/>
              <w:ind w:left="15" w:right="15" w:hanging="0"/>
              <w:jc w:val="right"/>
              <w:rPr>
                <w:color w:val="000000"/>
              </w:rPr>
            </w:pPr>
            <w:r>
              <w:rPr>
                <w:color w:val="000000"/>
              </w:rPr>
              <w:t> </w:t>
            </w:r>
          </w:p>
        </w:tc>
      </w:tr>
    </w:tbl>
    <w:p>
      <w:pPr>
        <w:pStyle w:val="TextBody"/>
        <w:rPr>
          <w:caps w:val="false"/>
          <w:smallCaps w:val="false"/>
        </w:rPr>
      </w:pPr>
      <w:r>
        <w:rPr>
          <w:caps w:val="false"/>
          <w:smallCaps w:val="false"/>
        </w:rPr>
        <w:t> </w:t>
      </w:r>
    </w:p>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w:t>
            </w:r>
          </w:p>
          <w:p>
            <w:pPr>
              <w:pStyle w:val="TableContents"/>
              <w:pBdr/>
              <w:spacing w:before="0" w:after="0"/>
              <w:ind w:left="0" w:right="30" w:hanging="0"/>
              <w:rPr>
                <w:rFonts w:ascii="Arial" w:hAnsi="Arial"/>
                <w:color w:val="000000"/>
                <w:sz w:val="20"/>
              </w:rPr>
            </w:pPr>
            <w:r>
              <w:rPr>
                <w:rFonts w:ascii="Arial" w:hAnsi="Arial"/>
                <w:color w:val="000000"/>
                <w:sz w:val="20"/>
              </w:rPr>
              <w:t xml:space="preserve">This stock option award was granted to the NEO on December 11, 2019 and vests at a rate of 25% per year over the first four years of the option term. </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2</w:t>
            </w:r>
          </w:p>
          <w:p>
            <w:pPr>
              <w:pStyle w:val="TableContents"/>
              <w:pBdr/>
              <w:spacing w:before="0" w:after="0"/>
              <w:ind w:left="0" w:right="30" w:hanging="0"/>
              <w:rPr>
                <w:rFonts w:ascii="Arial" w:hAnsi="Arial"/>
                <w:color w:val="000000"/>
                <w:sz w:val="20"/>
              </w:rPr>
            </w:pPr>
            <w:r>
              <w:rPr>
                <w:rFonts w:ascii="Arial" w:hAnsi="Arial"/>
                <w:color w:val="000000"/>
                <w:sz w:val="20"/>
              </w:rPr>
              <w:t xml:space="preserve">This PSU award was granted to the NEO on December 31, 2020 and has a five-year performance period from the date of grant. Based on performance as of December 31, 2021 in accordance with SEC rules, the number of PSUs shown in this table assumes a target level of payout. </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3</w:t>
            </w:r>
          </w:p>
          <w:p>
            <w:pPr>
              <w:pStyle w:val="TableContents"/>
              <w:pBdr/>
              <w:spacing w:before="0" w:after="0"/>
              <w:ind w:left="0" w:right="30" w:hanging="0"/>
              <w:rPr>
                <w:rFonts w:ascii="Arial" w:hAnsi="Arial"/>
                <w:color w:val="000000"/>
                <w:sz w:val="20"/>
              </w:rPr>
            </w:pPr>
            <w:r>
              <w:rPr>
                <w:rFonts w:ascii="Arial" w:hAnsi="Arial"/>
                <w:color w:val="000000"/>
                <w:sz w:val="20"/>
              </w:rPr>
              <w:t xml:space="preserve">This PSU award was granted to the NEO on December 11, 2019 and has a five-year performance period from the date of grant. Based on performance as of December 31, 2021 in accordance with SEC rules, the number of PSUs shown in this table assumes a maximum level of payout. </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4</w:t>
            </w:r>
          </w:p>
          <w:p>
            <w:pPr>
              <w:pStyle w:val="TableContents"/>
              <w:pBdr/>
              <w:spacing w:before="0" w:after="0"/>
              <w:ind w:left="0" w:right="30" w:hanging="0"/>
              <w:rPr>
                <w:rFonts w:ascii="Arial" w:hAnsi="Arial"/>
                <w:color w:val="000000"/>
                <w:sz w:val="20"/>
              </w:rPr>
            </w:pPr>
            <w:r>
              <w:rPr>
                <w:rFonts w:ascii="Arial" w:hAnsi="Arial"/>
                <w:color w:val="000000"/>
                <w:sz w:val="20"/>
              </w:rPr>
              <w:t xml:space="preserve">Reflects the closing price of $721.49 per share of the Company’s common stock on the Nasdaq Global Select Market on December 30, 2022. </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5</w:t>
            </w:r>
          </w:p>
          <w:p>
            <w:pPr>
              <w:pStyle w:val="TableContents"/>
              <w:pBdr/>
              <w:spacing w:before="0" w:after="0"/>
              <w:ind w:left="0" w:right="30" w:hanging="0"/>
              <w:rPr>
                <w:rFonts w:ascii="Arial" w:hAnsi="Arial"/>
                <w:color w:val="000000"/>
                <w:sz w:val="20"/>
              </w:rPr>
            </w:pPr>
            <w:r>
              <w:rPr>
                <w:rFonts w:ascii="Arial" w:hAnsi="Arial"/>
                <w:color w:val="000000"/>
                <w:sz w:val="20"/>
              </w:rPr>
              <w:t xml:space="preserve">This stock option award was granted to the NEO on December 16, 2022 and vests at a rate of 25% per year over the first four years of the option term. </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6</w:t>
            </w:r>
          </w:p>
          <w:p>
            <w:pPr>
              <w:pStyle w:val="TableContents"/>
              <w:pBdr/>
              <w:spacing w:before="0" w:after="0"/>
              <w:ind w:left="0" w:right="30" w:hanging="0"/>
              <w:rPr>
                <w:rFonts w:ascii="Arial" w:hAnsi="Arial"/>
                <w:color w:val="000000"/>
                <w:sz w:val="20"/>
              </w:rPr>
            </w:pPr>
            <w:r>
              <w:rPr>
                <w:rFonts w:ascii="Arial" w:hAnsi="Arial"/>
                <w:color w:val="000000"/>
                <w:sz w:val="20"/>
              </w:rPr>
              <w:t xml:space="preserve">This stock option award was granted to the NEO on December 8, 2021 and vests at a rate of 25% per year over the first four years of the option term. </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7</w:t>
            </w:r>
          </w:p>
          <w:p>
            <w:pPr>
              <w:pStyle w:val="TableContents"/>
              <w:pBdr/>
              <w:spacing w:before="0" w:after="0"/>
              <w:ind w:left="0" w:right="30" w:hanging="0"/>
              <w:rPr>
                <w:rFonts w:ascii="Arial" w:hAnsi="Arial"/>
                <w:color w:val="000000"/>
                <w:sz w:val="20"/>
              </w:rPr>
            </w:pPr>
            <w:r>
              <w:rPr>
                <w:rFonts w:ascii="Arial" w:hAnsi="Arial"/>
                <w:color w:val="000000"/>
                <w:sz w:val="20"/>
              </w:rPr>
              <w:t xml:space="preserve">This stock option award was granted to the NEO on December 9, 2020 and vests at a rate of 25% per year over the first four years of the option term. </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8</w:t>
            </w:r>
          </w:p>
          <w:p>
            <w:pPr>
              <w:pStyle w:val="TableContents"/>
              <w:pBdr/>
              <w:spacing w:before="0" w:after="0"/>
              <w:ind w:left="0" w:right="30" w:hanging="0"/>
              <w:rPr>
                <w:rFonts w:ascii="Arial" w:hAnsi="Arial"/>
                <w:color w:val="000000"/>
                <w:sz w:val="20"/>
              </w:rPr>
            </w:pPr>
            <w:r>
              <w:rPr>
                <w:rFonts w:ascii="Arial" w:hAnsi="Arial"/>
                <w:color w:val="000000"/>
                <w:sz w:val="20"/>
              </w:rPr>
              <w:t>This RSA was granted to the NEO on December 16, 2022 and vests 50% on the second anniversary of the date of grant and 50% on the fourth anniversary of the date of grant, subject to the NEO’s continued employment.</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9</w:t>
            </w:r>
          </w:p>
          <w:p>
            <w:pPr>
              <w:pStyle w:val="TableContents"/>
              <w:pBdr/>
              <w:spacing w:before="0" w:after="0"/>
              <w:ind w:left="0" w:right="30" w:hanging="0"/>
              <w:rPr>
                <w:rFonts w:ascii="Arial" w:hAnsi="Arial"/>
                <w:color w:val="000000"/>
                <w:sz w:val="20"/>
              </w:rPr>
            </w:pPr>
            <w:r>
              <w:rPr>
                <w:rFonts w:ascii="Arial" w:hAnsi="Arial"/>
                <w:color w:val="000000"/>
                <w:sz w:val="20"/>
              </w:rPr>
              <w:t>This RSA was granted to the NEO on December 8, 2021 and vests 50% on the second anniversary of the date of grant and 50% on the fourth anniversary of the date of grant, subject to the NEO’s continued employment.</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10</w:t>
            </w:r>
          </w:p>
          <w:p>
            <w:pPr>
              <w:pStyle w:val="TableContents"/>
              <w:pBdr/>
              <w:spacing w:before="0" w:after="0"/>
              <w:ind w:left="0" w:right="30" w:hanging="0"/>
              <w:rPr>
                <w:rFonts w:ascii="Arial" w:hAnsi="Arial"/>
                <w:color w:val="000000"/>
                <w:sz w:val="20"/>
              </w:rPr>
            </w:pPr>
            <w:r>
              <w:rPr>
                <w:rFonts w:ascii="Arial" w:hAnsi="Arial"/>
                <w:color w:val="000000"/>
                <w:sz w:val="20"/>
              </w:rPr>
              <w:t>This RSA was granted to the NEO on December 9, 2020 and vests 50% on the second anniversary of the date of grant and 50% on the fourth anniversary of the date of grant, subject to the NEO’s continued employment.</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11</w:t>
            </w:r>
          </w:p>
          <w:p>
            <w:pPr>
              <w:pStyle w:val="TableContents"/>
              <w:pBdr/>
              <w:spacing w:before="0" w:after="0"/>
              <w:ind w:left="0" w:right="30" w:hanging="0"/>
              <w:rPr>
                <w:rFonts w:ascii="Arial" w:hAnsi="Arial"/>
                <w:color w:val="000000"/>
                <w:sz w:val="20"/>
              </w:rPr>
            </w:pPr>
            <w:r>
              <w:rPr>
                <w:rFonts w:ascii="Arial" w:hAnsi="Arial"/>
                <w:color w:val="000000"/>
                <w:sz w:val="20"/>
              </w:rPr>
              <w:t>This RSA was granted to the NEO on December 9, 2020 and vests 100% on the fifth anniversary of the date of grant, subject to the NEO’s continued employment.</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12</w:t>
            </w:r>
          </w:p>
          <w:p>
            <w:pPr>
              <w:pStyle w:val="TableContents"/>
              <w:pBdr/>
              <w:spacing w:before="0" w:after="0"/>
              <w:ind w:left="0" w:right="30" w:hanging="0"/>
              <w:rPr>
                <w:rFonts w:ascii="Arial" w:hAnsi="Arial"/>
                <w:color w:val="000000"/>
                <w:sz w:val="20"/>
              </w:rPr>
            </w:pPr>
            <w:r>
              <w:rPr>
                <w:rFonts w:ascii="Arial" w:hAnsi="Arial"/>
                <w:color w:val="000000"/>
                <w:sz w:val="20"/>
              </w:rPr>
              <w:t>This RSA was granted to the NEO on December 11, 2019. The amount shown in this table consists of the remaining 50% of the RSA that will vest on the fourth anniversary of the date of grant, subject to the NEO’s continued employment.</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13</w:t>
            </w:r>
          </w:p>
          <w:p>
            <w:pPr>
              <w:pStyle w:val="TableContents"/>
              <w:pBdr/>
              <w:spacing w:before="0" w:after="0"/>
              <w:ind w:left="0" w:right="30" w:hanging="0"/>
              <w:rPr>
                <w:rFonts w:ascii="Arial" w:hAnsi="Arial"/>
                <w:color w:val="000000"/>
                <w:sz w:val="20"/>
              </w:rPr>
            </w:pPr>
            <w:r>
              <w:rPr>
                <w:rFonts w:ascii="Arial" w:hAnsi="Arial"/>
                <w:color w:val="000000"/>
                <w:sz w:val="20"/>
              </w:rPr>
              <w:t>This RSA was granted to the NEO on December 11, 2019 and vests 100% on the fourth anniversary of the date of grant, subject to the NEO’s continued employment.</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14</w:t>
            </w:r>
          </w:p>
          <w:p>
            <w:pPr>
              <w:pStyle w:val="TableContents"/>
              <w:pBdr/>
              <w:spacing w:before="0" w:after="0"/>
              <w:ind w:left="0" w:right="30" w:hanging="0"/>
              <w:rPr>
                <w:rFonts w:ascii="Arial" w:hAnsi="Arial"/>
                <w:color w:val="000000"/>
                <w:sz w:val="20"/>
              </w:rPr>
            </w:pPr>
            <w:r>
              <w:rPr>
                <w:rFonts w:ascii="Arial" w:hAnsi="Arial"/>
                <w:color w:val="000000"/>
                <w:sz w:val="20"/>
              </w:rPr>
              <w:t>This RSA was granted to the NEO on December 12, 2018 and vests 100% on the fifth anniversary of the date of grant, subject to the NEO’s continued employment.</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15</w:t>
            </w:r>
          </w:p>
          <w:p>
            <w:pPr>
              <w:pStyle w:val="TableContents"/>
              <w:pBdr/>
              <w:spacing w:before="0" w:after="0"/>
              <w:ind w:left="0" w:right="30" w:hanging="0"/>
              <w:rPr>
                <w:rFonts w:ascii="Arial" w:hAnsi="Arial"/>
                <w:color w:val="000000"/>
                <w:sz w:val="20"/>
              </w:rPr>
            </w:pPr>
            <w:r>
              <w:rPr>
                <w:rFonts w:ascii="Arial" w:hAnsi="Arial"/>
                <w:color w:val="000000"/>
                <w:sz w:val="20"/>
              </w:rPr>
              <w:t>This RSA was granted to the NEO on February 12, 2018 and vests 100% on the fifth anniversary of the date of grant, subject to the NEO’s continued employment.</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86"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18" descr=""/>
                          <pic:cNvPicPr>
                            <a:picLocks noChangeAspect="1" noChangeArrowheads="1"/>
                          </pic:cNvPicPr>
                        </pic:nvPicPr>
                        <pic:blipFill>
                          <a:blip r:embed="rId219"/>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83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3"/>
        <w:pBdr/>
        <w:spacing w:before="0" w:after="150"/>
        <w:ind w:left="0" w:right="0" w:hanging="0"/>
        <w:rPr>
          <w:rFonts w:ascii="Arial" w:hAnsi="Arial"/>
          <w:b/>
          <w:i w:val="false"/>
          <w:caps w:val="false"/>
          <w:smallCaps w:val="false"/>
          <w:color w:val="D31B5D"/>
          <w:sz w:val="30"/>
        </w:rPr>
      </w:pPr>
      <w:bookmarkStart w:id="152" w:name="new_id-143"/>
      <w:bookmarkEnd w:id="152"/>
      <w:r>
        <w:rPr>
          <w:rFonts w:ascii="Arial" w:hAnsi="Arial"/>
          <w:b/>
          <w:i w:val="false"/>
          <w:caps w:val="false"/>
          <w:smallCaps w:val="false"/>
          <w:color w:val="D31B5D"/>
          <w:sz w:val="30"/>
        </w:rPr>
        <w:t xml:space="preserve">2022 OPTION EXERCISES AND STOCK VESTED </w:t>
      </w:r>
    </w:p>
    <w:p>
      <w:pPr>
        <w:pStyle w:val="TextBody"/>
        <w:pBdr/>
        <w:spacing w:before="0" w:after="210"/>
        <w:ind w:left="0" w:right="0" w:hanging="0"/>
        <w:rPr>
          <w:rFonts w:ascii="Arial" w:hAnsi="Arial"/>
          <w:color w:val="000000"/>
          <w:sz w:val="21"/>
        </w:rPr>
      </w:pPr>
      <w:r>
        <w:rPr>
          <w:rFonts w:ascii="Arial" w:hAnsi="Arial"/>
          <w:color w:val="000000"/>
          <w:sz w:val="21"/>
        </w:rPr>
        <w:t xml:space="preserve">The following table and explanatory footnotes provide information with regard to amounts realized by our NEOs during 2022 as a result of the exercise of stock options or the vesting of RSAs. </w:t>
      </w:r>
    </w:p>
    <w:tbl>
      <w:tblPr>
        <w:tblW w:w="10205" w:type="dxa"/>
        <w:jc w:val="left"/>
        <w:tblInd w:w="0" w:type="dxa"/>
        <w:tblCellMar>
          <w:top w:w="28" w:type="dxa"/>
          <w:left w:w="28" w:type="dxa"/>
          <w:bottom w:w="28" w:type="dxa"/>
          <w:right w:w="28" w:type="dxa"/>
        </w:tblCellMar>
      </w:tblPr>
      <w:tblGrid>
        <w:gridCol w:w="3591"/>
        <w:gridCol w:w="1661"/>
        <w:gridCol w:w="1709"/>
        <w:gridCol w:w="261"/>
        <w:gridCol w:w="1575"/>
        <w:gridCol w:w="1408"/>
      </w:tblGrid>
      <w:tr>
        <w:trPr/>
        <w:tc>
          <w:tcPr>
            <w:tcW w:w="3591" w:type="dxa"/>
            <w:tcBorders/>
            <w:shd w:fill="auto" w:val="clear"/>
            <w:vAlign w:val="center"/>
          </w:tcPr>
          <w:p>
            <w:pPr>
              <w:pStyle w:val="TableContents"/>
              <w:pBdr/>
              <w:spacing w:before="15" w:after="0"/>
              <w:ind w:left="0" w:right="0" w:hanging="0"/>
              <w:jc w:val="center"/>
              <w:rPr>
                <w:color w:val="000000"/>
              </w:rPr>
            </w:pPr>
            <w:r>
              <w:rPr>
                <w:color w:val="000000"/>
              </w:rPr>
              <w:t> </w:t>
            </w:r>
          </w:p>
        </w:tc>
        <w:tc>
          <w:tcPr>
            <w:tcW w:w="3370" w:type="dxa"/>
            <w:gridSpan w:val="2"/>
            <w:tcBorders>
              <w:bottom w:val="single" w:sz="12" w:space="0" w:color="245A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Option awards </w:t>
            </w:r>
          </w:p>
        </w:tc>
        <w:tc>
          <w:tcPr>
            <w:tcW w:w="261" w:type="dxa"/>
            <w:tcBorders/>
            <w:shd w:fill="auto" w:val="clear"/>
            <w:vAlign w:val="center"/>
          </w:tcPr>
          <w:p>
            <w:pPr>
              <w:pStyle w:val="TableContents"/>
              <w:pBdr/>
              <w:spacing w:before="15" w:after="0"/>
              <w:ind w:left="0" w:right="0" w:hanging="0"/>
              <w:jc w:val="center"/>
              <w:rPr>
                <w:color w:val="000000"/>
              </w:rPr>
            </w:pPr>
            <w:r>
              <w:rPr>
                <w:color w:val="000000"/>
              </w:rPr>
              <w:t> </w:t>
            </w:r>
          </w:p>
        </w:tc>
        <w:tc>
          <w:tcPr>
            <w:tcW w:w="2983" w:type="dxa"/>
            <w:gridSpan w:val="2"/>
            <w:tcBorders>
              <w:bottom w:val="single" w:sz="12" w:space="0" w:color="245A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Stock awards </w:t>
            </w:r>
          </w:p>
        </w:tc>
      </w:tr>
      <w:tr>
        <w:trPr/>
        <w:tc>
          <w:tcPr>
            <w:tcW w:w="3591" w:type="dxa"/>
            <w:tcBorders>
              <w:bottom w:val="single" w:sz="12" w:space="0" w:color="245AA7"/>
            </w:tcBorders>
            <w:shd w:fill="auto" w:val="clear"/>
            <w:tcMar>
              <w:top w:w="0" w:type="dxa"/>
              <w:left w:w="0" w:type="dxa"/>
              <w:bottom w:w="75" w:type="dxa"/>
              <w:right w:w="0" w:type="dxa"/>
            </w:tcMar>
            <w:vAlign w:val="center"/>
          </w:tcPr>
          <w:p>
            <w:pPr>
              <w:pStyle w:val="TableContents"/>
              <w:pBdr/>
              <w:spacing w:before="15" w:after="0"/>
              <w:ind w:left="15" w:right="15" w:hanging="0"/>
              <w:rPr>
                <w:rFonts w:ascii="Arial" w:hAnsi="Arial"/>
                <w:b/>
                <w:color w:val="245BA7"/>
                <w:sz w:val="18"/>
              </w:rPr>
            </w:pPr>
            <w:r>
              <w:rPr>
                <w:rFonts w:ascii="Arial" w:hAnsi="Arial"/>
                <w:b/>
                <w:color w:val="245BA7"/>
                <w:sz w:val="18"/>
              </w:rPr>
              <w:t>Name</w:t>
            </w:r>
          </w:p>
          <w:p>
            <w:pPr>
              <w:pStyle w:val="TableContents"/>
              <w:pBdr/>
              <w:spacing w:before="0" w:after="0"/>
              <w:ind w:left="15" w:right="15" w:hanging="0"/>
              <w:rPr>
                <w:rFonts w:ascii="Arial" w:hAnsi="Arial"/>
                <w:b/>
                <w:color w:val="245BA7"/>
                <w:sz w:val="18"/>
              </w:rPr>
            </w:pPr>
            <w:r>
              <w:rPr>
                <w:rFonts w:ascii="Arial" w:hAnsi="Arial"/>
                <w:b/>
                <w:color w:val="245BA7"/>
                <w:sz w:val="18"/>
              </w:rPr>
              <w:t>(a)</w:t>
            </w:r>
          </w:p>
        </w:tc>
        <w:tc>
          <w:tcPr>
            <w:tcW w:w="1661" w:type="dxa"/>
            <w:tcBorders>
              <w:bottom w:val="single" w:sz="12" w:space="0" w:color="245A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Number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shares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acquired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on exercise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(b)</w:t>
            </w:r>
          </w:p>
        </w:tc>
        <w:tc>
          <w:tcPr>
            <w:tcW w:w="1709" w:type="dxa"/>
            <w:tcBorders>
              <w:bottom w:val="single" w:sz="12" w:space="0" w:color="245A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Value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realized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on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exercise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w:t>
            </w:r>
            <w:r>
              <w:rPr>
                <w:rFonts w:ascii="Arial" w:hAnsi="Arial"/>
                <w:b/>
                <w:color w:val="245BA7"/>
                <w:position w:val="6"/>
                <w:sz w:val="14"/>
                <w:sz w:val="18"/>
              </w:rPr>
              <w:t>1</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r>
              <w:rPr>
                <w:rFonts w:ascii="Arial" w:hAnsi="Arial"/>
                <w:b/>
                <w:color w:val="245BA7"/>
                <w:position w:val="6"/>
                <w:sz w:val="14"/>
                <w:sz w:val="18"/>
              </w:rPr>
              <w:t xml:space="preserve"> </w:t>
            </w:r>
            <w:r>
              <w:rPr>
                <w:rFonts w:ascii="Arial" w:hAnsi="Arial"/>
                <w:b/>
                <w:color w:val="245BA7"/>
                <w:sz w:val="18"/>
              </w:rPr>
              <w:t>c)</w:t>
            </w:r>
          </w:p>
        </w:tc>
        <w:tc>
          <w:tcPr>
            <w:tcW w:w="261" w:type="dxa"/>
            <w:tcBorders>
              <w:bottom w:val="single" w:sz="12" w:space="0" w:color="245AA7"/>
            </w:tcBorders>
            <w:shd w:fill="auto" w:val="clear"/>
            <w:tcMar>
              <w:top w:w="0" w:type="dxa"/>
              <w:left w:w="0" w:type="dxa"/>
              <w:bottom w:w="75" w:type="dxa"/>
              <w:right w:w="0" w:type="dxa"/>
            </w:tcMar>
            <w:vAlign w:val="center"/>
          </w:tcPr>
          <w:p>
            <w:pPr>
              <w:pStyle w:val="TableContents"/>
              <w:pBdr/>
              <w:spacing w:before="15" w:after="0"/>
              <w:ind w:left="15" w:right="15" w:hanging="0"/>
              <w:jc w:val="center"/>
              <w:rPr>
                <w:color w:val="245BA7"/>
              </w:rPr>
            </w:pPr>
            <w:r>
              <w:rPr>
                <w:color w:val="245BA7"/>
              </w:rPr>
              <w:t> </w:t>
            </w:r>
          </w:p>
        </w:tc>
        <w:tc>
          <w:tcPr>
            <w:tcW w:w="1575" w:type="dxa"/>
            <w:tcBorders>
              <w:bottom w:val="single" w:sz="12" w:space="0" w:color="245A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Number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shares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acquired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on vesting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(d)</w:t>
            </w:r>
          </w:p>
        </w:tc>
        <w:tc>
          <w:tcPr>
            <w:tcW w:w="1408" w:type="dxa"/>
            <w:tcBorders>
              <w:bottom w:val="single" w:sz="12" w:space="0" w:color="245A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Value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realized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on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vesting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w:t>
            </w:r>
            <w:r>
              <w:rPr>
                <w:rFonts w:ascii="Arial" w:hAnsi="Arial"/>
                <w:b/>
                <w:color w:val="245BA7"/>
                <w:position w:val="6"/>
                <w:sz w:val="14"/>
                <w:sz w:val="18"/>
              </w:rPr>
              <w:t>2</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(e)</w:t>
            </w:r>
          </w:p>
        </w:tc>
      </w:tr>
      <w:tr>
        <w:trPr/>
        <w:tc>
          <w:tcPr>
            <w:tcW w:w="3591"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Leonard S. Schleifer, M.D., Ph.D.</w:t>
            </w:r>
          </w:p>
        </w:tc>
        <w:tc>
          <w:tcPr>
            <w:tcW w:w="1661"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w:t>
            </w:r>
          </w:p>
        </w:tc>
        <w:tc>
          <w:tcPr>
            <w:tcW w:w="1709"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w:t>
            </w:r>
          </w:p>
        </w:tc>
        <w:tc>
          <w:tcPr>
            <w:tcW w:w="261"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 </w:t>
            </w:r>
          </w:p>
        </w:tc>
        <w:tc>
          <w:tcPr>
            <w:tcW w:w="1575"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w:t>
            </w:r>
          </w:p>
        </w:tc>
        <w:tc>
          <w:tcPr>
            <w:tcW w:w="1408"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w:t>
            </w:r>
          </w:p>
        </w:tc>
      </w:tr>
      <w:tr>
        <w:trPr/>
        <w:tc>
          <w:tcPr>
            <w:tcW w:w="3591" w:type="dxa"/>
            <w:tcBorders>
              <w:top w:val="single" w:sz="2" w:space="0" w:color="F2F2F2"/>
              <w:left w:val="single" w:sz="2" w:space="0" w:color="F2F2F2"/>
              <w:bottom w:val="single" w:sz="2" w:space="0" w:color="575756"/>
              <w:right w:val="single" w:sz="2" w:space="0" w:color="F2F2F2"/>
            </w:tcBorders>
            <w:shd w:fill="F2F2F2" w:val="clear"/>
            <w:tcMar>
              <w:top w:w="45" w:type="dxa"/>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George D. Yancopoulos, M.D., Ph.D.</w:t>
            </w:r>
          </w:p>
        </w:tc>
        <w:tc>
          <w:tcPr>
            <w:tcW w:w="1661" w:type="dxa"/>
            <w:tcBorders>
              <w:top w:val="single" w:sz="2" w:space="0" w:color="F2F2F2"/>
              <w:left w:val="single" w:sz="2" w:space="0" w:color="F2F2F2"/>
              <w:bottom w:val="single" w:sz="2" w:space="0" w:color="575756"/>
              <w:right w:val="single" w:sz="2" w:space="0" w:color="F2F2F2"/>
            </w:tcBorders>
            <w:shd w:fill="F2F2F2" w:val="clear"/>
            <w:tcMar>
              <w:top w:w="90" w:type="dxa"/>
              <w:left w:w="300" w:type="dxa"/>
              <w:bottom w:w="45" w:type="dxa"/>
            </w:tcMar>
            <w:vAlign w:val="center"/>
          </w:tcPr>
          <w:p>
            <w:pPr>
              <w:pStyle w:val="TableContents"/>
              <w:pBdr/>
              <w:spacing w:before="0" w:after="45"/>
              <w:ind w:left="15" w:right="15" w:hanging="0"/>
              <w:jc w:val="right"/>
              <w:rPr>
                <w:color w:val="000000"/>
              </w:rPr>
            </w:pPr>
            <w:r>
              <w:rPr>
                <w:color w:val="000000"/>
              </w:rPr>
              <w:t>—</w:t>
            </w:r>
          </w:p>
        </w:tc>
        <w:tc>
          <w:tcPr>
            <w:tcW w:w="1709" w:type="dxa"/>
            <w:tcBorders>
              <w:top w:val="single" w:sz="2" w:space="0" w:color="F2F2F2"/>
              <w:left w:val="single" w:sz="2" w:space="0" w:color="F2F2F2"/>
              <w:bottom w:val="single" w:sz="2" w:space="0" w:color="575756"/>
              <w:right w:val="single" w:sz="2" w:space="0" w:color="F2F2F2"/>
            </w:tcBorders>
            <w:shd w:fill="F2F2F2" w:val="clear"/>
            <w:tcMar>
              <w:top w:w="90" w:type="dxa"/>
              <w:left w:w="300" w:type="dxa"/>
              <w:bottom w:w="45" w:type="dxa"/>
            </w:tcMar>
            <w:vAlign w:val="center"/>
          </w:tcPr>
          <w:p>
            <w:pPr>
              <w:pStyle w:val="TableContents"/>
              <w:pBdr/>
              <w:spacing w:before="0" w:after="45"/>
              <w:ind w:left="15" w:right="15" w:hanging="0"/>
              <w:jc w:val="right"/>
              <w:rPr>
                <w:color w:val="000000"/>
              </w:rPr>
            </w:pPr>
            <w:r>
              <w:rPr>
                <w:color w:val="000000"/>
              </w:rPr>
              <w:t>—</w:t>
            </w:r>
          </w:p>
        </w:tc>
        <w:tc>
          <w:tcPr>
            <w:tcW w:w="261"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 </w:t>
            </w:r>
          </w:p>
        </w:tc>
        <w:tc>
          <w:tcPr>
            <w:tcW w:w="1575" w:type="dxa"/>
            <w:tcBorders>
              <w:top w:val="single" w:sz="2" w:space="0" w:color="F2F2F2"/>
              <w:left w:val="single" w:sz="2" w:space="0" w:color="F2F2F2"/>
              <w:bottom w:val="single" w:sz="2" w:space="0" w:color="575756"/>
              <w:right w:val="single" w:sz="2" w:space="0" w:color="F2F2F2"/>
            </w:tcBorders>
            <w:shd w:fill="F2F2F2" w:val="clear"/>
            <w:tcMar>
              <w:top w:w="90" w:type="dxa"/>
              <w:left w:w="300" w:type="dxa"/>
              <w:bottom w:w="45" w:type="dxa"/>
            </w:tcMar>
            <w:vAlign w:val="center"/>
          </w:tcPr>
          <w:p>
            <w:pPr>
              <w:pStyle w:val="TableContents"/>
              <w:pBdr/>
              <w:spacing w:before="0" w:after="45"/>
              <w:ind w:left="15" w:right="15" w:hanging="0"/>
              <w:jc w:val="right"/>
              <w:rPr>
                <w:color w:val="000000"/>
              </w:rPr>
            </w:pPr>
            <w:r>
              <w:rPr>
                <w:color w:val="000000"/>
              </w:rPr>
              <w:t>—</w:t>
            </w:r>
          </w:p>
        </w:tc>
        <w:tc>
          <w:tcPr>
            <w:tcW w:w="1408" w:type="dxa"/>
            <w:tcBorders>
              <w:top w:val="single" w:sz="2" w:space="0" w:color="F2F2F2"/>
              <w:left w:val="single" w:sz="2" w:space="0" w:color="F2F2F2"/>
              <w:bottom w:val="single" w:sz="2" w:space="0" w:color="575756"/>
              <w:right w:val="single" w:sz="2" w:space="0" w:color="F2F2F2"/>
            </w:tcBorders>
            <w:shd w:fill="F2F2F2" w:val="clear"/>
            <w:tcMar>
              <w:top w:w="90" w:type="dxa"/>
              <w:left w:w="300" w:type="dxa"/>
              <w:bottom w:w="45" w:type="dxa"/>
            </w:tcMar>
            <w:vAlign w:val="center"/>
          </w:tcPr>
          <w:p>
            <w:pPr>
              <w:pStyle w:val="TableContents"/>
              <w:pBdr/>
              <w:spacing w:before="0" w:after="45"/>
              <w:ind w:left="15" w:right="15" w:hanging="0"/>
              <w:jc w:val="right"/>
              <w:rPr>
                <w:color w:val="000000"/>
              </w:rPr>
            </w:pPr>
            <w:r>
              <w:rPr>
                <w:color w:val="000000"/>
              </w:rPr>
              <w:t>—</w:t>
            </w:r>
          </w:p>
        </w:tc>
      </w:tr>
      <w:tr>
        <w:trPr/>
        <w:tc>
          <w:tcPr>
            <w:tcW w:w="3591"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Robert E. Landry</w:t>
            </w:r>
          </w:p>
        </w:tc>
        <w:tc>
          <w:tcPr>
            <w:tcW w:w="1661"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35,265</w:t>
            </w:r>
          </w:p>
        </w:tc>
        <w:tc>
          <w:tcPr>
            <w:tcW w:w="1709"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11,097,488</w:t>
            </w:r>
          </w:p>
        </w:tc>
        <w:tc>
          <w:tcPr>
            <w:tcW w:w="261"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 </w:t>
            </w:r>
          </w:p>
        </w:tc>
        <w:tc>
          <w:tcPr>
            <w:tcW w:w="1575"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965</w:t>
            </w:r>
          </w:p>
        </w:tc>
        <w:tc>
          <w:tcPr>
            <w:tcW w:w="1408"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726,915</w:t>
            </w:r>
          </w:p>
        </w:tc>
      </w:tr>
      <w:tr>
        <w:trPr/>
        <w:tc>
          <w:tcPr>
            <w:tcW w:w="3591" w:type="dxa"/>
            <w:tcBorders>
              <w:top w:val="single" w:sz="2" w:space="0" w:color="F2F2F2"/>
              <w:left w:val="single" w:sz="2" w:space="0" w:color="F2F2F2"/>
              <w:bottom w:val="single" w:sz="2" w:space="0" w:color="575756"/>
              <w:right w:val="single" w:sz="2" w:space="0" w:color="F2F2F2"/>
            </w:tcBorders>
            <w:shd w:fill="F2F2F2" w:val="clear"/>
            <w:tcMar>
              <w:top w:w="45" w:type="dxa"/>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Daniel P. Van Plew</w:t>
            </w:r>
          </w:p>
        </w:tc>
        <w:tc>
          <w:tcPr>
            <w:tcW w:w="1661" w:type="dxa"/>
            <w:tcBorders>
              <w:top w:val="single" w:sz="2" w:space="0" w:color="F2F2F2"/>
              <w:left w:val="single" w:sz="2" w:space="0" w:color="F2F2F2"/>
              <w:bottom w:val="single" w:sz="2" w:space="0" w:color="575756"/>
              <w:right w:val="single" w:sz="2" w:space="0" w:color="F2F2F2"/>
            </w:tcBorders>
            <w:shd w:fill="F2F2F2" w:val="clear"/>
            <w:tcMar>
              <w:top w:w="90" w:type="dxa"/>
              <w:left w:w="30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164,000</w:t>
            </w:r>
          </w:p>
        </w:tc>
        <w:tc>
          <w:tcPr>
            <w:tcW w:w="1709" w:type="dxa"/>
            <w:tcBorders>
              <w:top w:val="single" w:sz="2" w:space="0" w:color="F2F2F2"/>
              <w:left w:val="single" w:sz="2" w:space="0" w:color="F2F2F2"/>
              <w:bottom w:val="single" w:sz="2" w:space="0" w:color="575756"/>
              <w:right w:val="single" w:sz="2" w:space="0" w:color="F2F2F2"/>
            </w:tcBorders>
            <w:shd w:fill="F2F2F2" w:val="clear"/>
            <w:tcMar>
              <w:top w:w="90" w:type="dxa"/>
              <w:left w:w="30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45,282,380</w:t>
            </w:r>
          </w:p>
        </w:tc>
        <w:tc>
          <w:tcPr>
            <w:tcW w:w="261"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 </w:t>
            </w:r>
          </w:p>
        </w:tc>
        <w:tc>
          <w:tcPr>
            <w:tcW w:w="1575" w:type="dxa"/>
            <w:tcBorders>
              <w:top w:val="single" w:sz="2" w:space="0" w:color="F2F2F2"/>
              <w:left w:val="single" w:sz="2" w:space="0" w:color="F2F2F2"/>
              <w:bottom w:val="single" w:sz="2" w:space="0" w:color="575756"/>
              <w:right w:val="single" w:sz="2" w:space="0" w:color="F2F2F2"/>
            </w:tcBorders>
            <w:shd w:fill="F2F2F2" w:val="clear"/>
            <w:tcMar>
              <w:top w:w="90" w:type="dxa"/>
              <w:left w:w="30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965</w:t>
            </w:r>
          </w:p>
        </w:tc>
        <w:tc>
          <w:tcPr>
            <w:tcW w:w="1408" w:type="dxa"/>
            <w:tcBorders>
              <w:top w:val="single" w:sz="2" w:space="0" w:color="F2F2F2"/>
              <w:left w:val="single" w:sz="2" w:space="0" w:color="F2F2F2"/>
              <w:bottom w:val="single" w:sz="2" w:space="0" w:color="575756"/>
              <w:right w:val="single" w:sz="2" w:space="0" w:color="F2F2F2"/>
            </w:tcBorders>
            <w:shd w:fill="F2F2F2" w:val="clear"/>
            <w:tcMar>
              <w:top w:w="90" w:type="dxa"/>
              <w:left w:w="30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726,915</w:t>
            </w:r>
          </w:p>
        </w:tc>
      </w:tr>
      <w:tr>
        <w:trPr/>
        <w:tc>
          <w:tcPr>
            <w:tcW w:w="3591"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Andrew J. Murphy, Ph.D.</w:t>
            </w:r>
          </w:p>
        </w:tc>
        <w:tc>
          <w:tcPr>
            <w:tcW w:w="1661"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40,000</w:t>
            </w:r>
          </w:p>
        </w:tc>
        <w:tc>
          <w:tcPr>
            <w:tcW w:w="1709"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19,388,300</w:t>
            </w:r>
          </w:p>
        </w:tc>
        <w:tc>
          <w:tcPr>
            <w:tcW w:w="261"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 </w:t>
            </w:r>
          </w:p>
        </w:tc>
        <w:tc>
          <w:tcPr>
            <w:tcW w:w="1575"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965</w:t>
            </w:r>
          </w:p>
        </w:tc>
        <w:tc>
          <w:tcPr>
            <w:tcW w:w="1408"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726,915</w:t>
            </w:r>
          </w:p>
        </w:tc>
      </w:tr>
      <w:tr>
        <w:trPr/>
        <w:tc>
          <w:tcPr>
            <w:tcW w:w="3591" w:type="dxa"/>
            <w:tcBorders>
              <w:top w:val="single" w:sz="2" w:space="0" w:color="F2F2F2"/>
              <w:left w:val="single" w:sz="2" w:space="0" w:color="F2F2F2"/>
              <w:bottom w:val="single" w:sz="2" w:space="0" w:color="245BA7"/>
              <w:right w:val="single" w:sz="2" w:space="0" w:color="F2F2F2"/>
            </w:tcBorders>
            <w:shd w:fill="F2F2F2" w:val="clear"/>
            <w:tcMar>
              <w:top w:w="45" w:type="dxa"/>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Marion McCourt</w:t>
            </w:r>
          </w:p>
        </w:tc>
        <w:tc>
          <w:tcPr>
            <w:tcW w:w="1661" w:type="dxa"/>
            <w:tcBorders>
              <w:top w:val="single" w:sz="2" w:space="0" w:color="F2F2F2"/>
              <w:left w:val="single" w:sz="2" w:space="0" w:color="F2F2F2"/>
              <w:bottom w:val="single" w:sz="2" w:space="0" w:color="245BA7"/>
              <w:right w:val="single" w:sz="2" w:space="0" w:color="F2F2F2"/>
            </w:tcBorders>
            <w:shd w:fill="F2F2F2" w:val="clear"/>
            <w:tcMar>
              <w:top w:w="90" w:type="dxa"/>
              <w:left w:w="30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13,800</w:t>
            </w:r>
          </w:p>
        </w:tc>
        <w:tc>
          <w:tcPr>
            <w:tcW w:w="1709" w:type="dxa"/>
            <w:tcBorders>
              <w:top w:val="single" w:sz="2" w:space="0" w:color="F2F2F2"/>
              <w:left w:val="single" w:sz="2" w:space="0" w:color="F2F2F2"/>
              <w:bottom w:val="single" w:sz="2" w:space="0" w:color="245BA7"/>
              <w:right w:val="single" w:sz="2" w:space="0" w:color="F2F2F2"/>
            </w:tcBorders>
            <w:shd w:fill="F2F2F2" w:val="clear"/>
            <w:tcMar>
              <w:top w:w="90" w:type="dxa"/>
              <w:left w:w="30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4,246,309</w:t>
            </w:r>
          </w:p>
        </w:tc>
        <w:tc>
          <w:tcPr>
            <w:tcW w:w="261" w:type="dxa"/>
            <w:tcBorders>
              <w:top w:val="single" w:sz="2" w:space="0" w:color="F2F2F2"/>
              <w:left w:val="single" w:sz="2" w:space="0" w:color="F2F2F2"/>
              <w:bottom w:val="single" w:sz="2" w:space="0" w:color="245BA7"/>
              <w:right w:val="single" w:sz="2" w:space="0" w:color="F2F2F2"/>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 </w:t>
            </w:r>
          </w:p>
        </w:tc>
        <w:tc>
          <w:tcPr>
            <w:tcW w:w="1575" w:type="dxa"/>
            <w:tcBorders>
              <w:top w:val="single" w:sz="2" w:space="0" w:color="F2F2F2"/>
              <w:left w:val="single" w:sz="2" w:space="0" w:color="F2F2F2"/>
              <w:bottom w:val="single" w:sz="2" w:space="0" w:color="245BA7"/>
              <w:right w:val="single" w:sz="2" w:space="0" w:color="F2F2F2"/>
            </w:tcBorders>
            <w:shd w:fill="F2F2F2" w:val="clear"/>
            <w:tcMar>
              <w:top w:w="90" w:type="dxa"/>
              <w:left w:w="30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538</w:t>
            </w:r>
          </w:p>
        </w:tc>
        <w:tc>
          <w:tcPr>
            <w:tcW w:w="1408" w:type="dxa"/>
            <w:tcBorders>
              <w:top w:val="single" w:sz="2" w:space="0" w:color="F2F2F2"/>
              <w:left w:val="single" w:sz="2" w:space="0" w:color="F2F2F2"/>
              <w:bottom w:val="single" w:sz="2" w:space="0" w:color="245BA7"/>
              <w:right w:val="single" w:sz="2" w:space="0" w:color="F2F2F2"/>
            </w:tcBorders>
            <w:shd w:fill="F2F2F2" w:val="clear"/>
            <w:tcMar>
              <w:top w:w="90" w:type="dxa"/>
              <w:left w:w="30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405,265</w:t>
            </w:r>
          </w:p>
        </w:tc>
      </w:tr>
      <w:tr>
        <w:trPr/>
        <w:tc>
          <w:tcPr>
            <w:tcW w:w="10205" w:type="dxa"/>
            <w:gridSpan w:val="6"/>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w:t>
            </w:r>
          </w:p>
          <w:p>
            <w:pPr>
              <w:pStyle w:val="TableContents"/>
              <w:pBdr/>
              <w:spacing w:before="0" w:after="0"/>
              <w:ind w:left="0" w:right="30" w:hanging="0"/>
              <w:rPr>
                <w:rFonts w:ascii="Arial" w:hAnsi="Arial"/>
                <w:color w:val="000000"/>
                <w:sz w:val="20"/>
              </w:rPr>
            </w:pPr>
            <w:r>
              <w:rPr>
                <w:rFonts w:ascii="Arial" w:hAnsi="Arial"/>
                <w:color w:val="000000"/>
                <w:sz w:val="20"/>
              </w:rPr>
              <w:t xml:space="preserve">Amounts reflect the difference between the exercise price of the option(s) and, as applicable (depending on the manner of exercise), the average of the high and low sales price per share of the Company’s common stock on the Nasdaq Global Select Market on the exercise date(s) or the market price at which the relevant options were exercised on the exercise date(s). </w:t>
            </w:r>
          </w:p>
          <w:p>
            <w:pPr>
              <w:pStyle w:val="TableContents"/>
              <w:spacing w:before="0" w:after="0"/>
              <w:ind w:left="0" w:right="30" w:hanging="0"/>
              <w:rPr>
                <w:rFonts w:ascii="Arial" w:hAnsi="Arial"/>
                <w:color w:val="245BA7"/>
                <w:sz w:val="20"/>
              </w:rPr>
            </w:pPr>
            <w:r>
              <w:rPr>
                <w:rFonts w:ascii="Arial" w:hAnsi="Arial"/>
                <w:color w:val="245BA7"/>
                <w:sz w:val="20"/>
              </w:rPr>
              <w:t>2</w:t>
            </w:r>
          </w:p>
          <w:p>
            <w:pPr>
              <w:pStyle w:val="TableContents"/>
              <w:pBdr/>
              <w:spacing w:before="0" w:after="0"/>
              <w:ind w:left="0" w:right="30" w:hanging="0"/>
              <w:rPr>
                <w:rFonts w:ascii="Arial" w:hAnsi="Arial"/>
                <w:color w:val="000000"/>
                <w:sz w:val="20"/>
              </w:rPr>
            </w:pPr>
            <w:r>
              <w:rPr>
                <w:rFonts w:ascii="Arial" w:hAnsi="Arial"/>
                <w:color w:val="000000"/>
                <w:sz w:val="20"/>
              </w:rPr>
              <w:t xml:space="preserve">Amount reflects the average of the high and low sales price per share of the Company’s common stock on the Nasdaq Global Select Market on the vesting date. </w:t>
            </w:r>
          </w:p>
        </w:tc>
      </w:tr>
    </w:tbl>
    <w:p>
      <w:pPr>
        <w:pStyle w:val="Heading3"/>
        <w:pBdr/>
        <w:spacing w:before="0" w:after="150"/>
        <w:ind w:left="0" w:right="0" w:hanging="0"/>
        <w:rPr>
          <w:rFonts w:ascii="Arial" w:hAnsi="Arial"/>
          <w:b/>
          <w:i w:val="false"/>
          <w:caps w:val="false"/>
          <w:smallCaps w:val="false"/>
          <w:color w:val="D31B5D"/>
          <w:sz w:val="30"/>
        </w:rPr>
      </w:pPr>
      <w:bookmarkStart w:id="153" w:name="new_id-144"/>
      <w:bookmarkEnd w:id="153"/>
      <w:r>
        <w:rPr>
          <w:rFonts w:ascii="Arial" w:hAnsi="Arial"/>
          <w:b/>
          <w:i w:val="false"/>
          <w:caps w:val="false"/>
          <w:smallCaps w:val="false"/>
          <w:color w:val="D31B5D"/>
          <w:sz w:val="30"/>
        </w:rPr>
        <w:t xml:space="preserve">POST-EMPLOYMENT COMPENSATION </w:t>
      </w:r>
    </w:p>
    <w:p>
      <w:pPr>
        <w:pStyle w:val="TextBody"/>
        <w:pBdr/>
        <w:spacing w:before="0" w:after="210"/>
        <w:ind w:left="0" w:right="0" w:hanging="0"/>
        <w:rPr>
          <w:rFonts w:ascii="Arial" w:hAnsi="Arial"/>
          <w:color w:val="000000"/>
          <w:sz w:val="21"/>
        </w:rPr>
      </w:pPr>
      <w:r>
        <w:rPr>
          <w:rFonts w:ascii="Arial" w:hAnsi="Arial"/>
          <w:color w:val="000000"/>
          <w:sz w:val="21"/>
        </w:rPr>
        <w:t xml:space="preserve">As discussed in “Compensation Dashboard—Additional Compensation Information—Potential Severance Payments,” our NEOs are entitled to certain severance benefits upon the voluntary or involuntary termination of their employment. We provide additional information regarding the severance benefits available to our NEOs in the tables set out below in this subsection. For our CEO, the table shows the amounts payable under his employment agreement upon his involuntary or not-for-cause termination, termination in connection with a corporate change of control, and in the event of his disability or death. For the other NEOs, the table shows their post-termination compensation arrangements under our change in control severance plan upon an involuntary or not-for-cause termination in connection with a corporate change of control. </w:t>
      </w:r>
    </w:p>
    <w:p>
      <w:pPr>
        <w:pStyle w:val="Heading4"/>
        <w:pBdr/>
        <w:spacing w:before="0" w:after="150"/>
        <w:ind w:left="0" w:right="0" w:hanging="0"/>
        <w:rPr>
          <w:rFonts w:ascii="Arial" w:hAnsi="Arial"/>
          <w:b/>
          <w:i w:val="false"/>
          <w:caps w:val="false"/>
          <w:smallCaps w:val="false"/>
          <w:color w:val="245BA7"/>
          <w:sz w:val="24"/>
        </w:rPr>
      </w:pPr>
      <w:bookmarkStart w:id="154" w:name="new_id-145"/>
      <w:bookmarkEnd w:id="154"/>
      <w:r>
        <w:rPr>
          <w:rFonts w:ascii="Arial" w:hAnsi="Arial"/>
          <w:b/>
          <w:i w:val="false"/>
          <w:caps w:val="false"/>
          <w:smallCaps w:val="false"/>
          <w:color w:val="245BA7"/>
          <w:sz w:val="24"/>
        </w:rPr>
        <w:t xml:space="preserve">Leonard S. Schleifer, M.D., Ph.D., Employment Agreement </w:t>
      </w:r>
    </w:p>
    <w:p>
      <w:pPr>
        <w:pStyle w:val="TextBody"/>
        <w:pBdr/>
        <w:spacing w:before="0" w:after="0"/>
        <w:ind w:left="0" w:right="0" w:hanging="0"/>
        <w:rPr>
          <w:rFonts w:ascii="Arial" w:hAnsi="Arial"/>
          <w:color w:val="000000"/>
          <w:sz w:val="21"/>
        </w:rPr>
      </w:pPr>
      <w:r>
        <w:rPr>
          <w:rFonts w:ascii="Arial" w:hAnsi="Arial"/>
          <w:color w:val="000000"/>
          <w:sz w:val="21"/>
        </w:rPr>
        <w:t xml:space="preserve">We entered into an employment agreement with our CEO,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(“Section 409A”). Pursuant to this agreement, we agreed that in the event that Dr. Schleifer’s employment is terminated by us other than for cause (as defined in the employment agreement) or is terminated by Dr. Schleifer for good reason (as defined in the employment agreement to include specified acts of constructive termination (which Dr. Schleifer has agreed will not include the election of Dr. Yancopoulos as Co-Chair of the Board), together called an “involuntary termination”), we will pay Dr. Schleifer an amount equal to 125% of the sum of his base salary plus his average cash incentive paid over the prior three years. This amount will be paid in a lump-sum severance payment. In addition, we will continue to provide Dr. Schleifer and his dependents medical, dental, and life insurance benefits for 18 months. Subject to the discussion in the following paragraph, in the event that Dr. Schleifer’s employment terminates for any reason other than for cause, (i) all of his unvested stock options will continue to vest in accordance with the terms of the applicable award grant and he will be entitled to exercise the stock options throughout their original term, which is generally ten years from the date of grant, and (ii) all of his unvested PSUs from the 2019 grant will remain outstanding, and vesting and forfeiture shall be determined in the manner set forth in the applicable award agreement, without regard to such termination of employment. The treatment of Dr. Schleifer’s unvested PSUs from the 2020 grant upon certain termination events is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87"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19" descr=""/>
                          <pic:cNvPicPr>
                            <a:picLocks noChangeAspect="1" noChangeArrowheads="1"/>
                          </pic:cNvPicPr>
                        </pic:nvPicPr>
                        <pic:blipFill>
                          <a:blip r:embed="rId220"/>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84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governed by the terms of the 2020 PSU award agreement, notwithstanding any provision to the contrary in his employment agreement. The terms of the 2020 PSU award agreement provide that (i) in the case of a termination of employment due to death or disability, the PSUs remain outstanding and may be earned during their term (and, to the extent earned, are not subject to the three-year mandatory deferral and holding period (the “Holding Period”)); (ii) in the case of a termination by the Company without cause or a departure by Dr. Schleifer for good reason (each as defined in his employment agreement), earnout is measured as of termination and all PSUs earned as of that date vest and remain subject to the Holding Period; and (iii) in the case of a change in control, earnout is measured as of the date of the change in control (using the applicable transaction price as the ending stock price), and all PSUs earned as of that date vest with no Holding Period and any unearned PSUs are forfeited immediately.</w:t>
      </w:r>
    </w:p>
    <w:p>
      <w:pPr>
        <w:pStyle w:val="TextBody"/>
        <w:pBdr/>
        <w:spacing w:before="0" w:after="210"/>
        <w:ind w:left="0" w:right="0" w:hanging="0"/>
        <w:rPr>
          <w:rFonts w:ascii="Arial" w:hAnsi="Arial"/>
          <w:color w:val="000000"/>
          <w:sz w:val="21"/>
        </w:rPr>
      </w:pPr>
      <w:r>
        <w:rPr>
          <w:rFonts w:ascii="Arial" w:hAnsi="Arial"/>
          <w:color w:val="000000"/>
          <w:sz w:val="21"/>
        </w:rPr>
        <w:t xml:space="preserve">Upon an involuntary termination (i.e., a termination by the Company without cause or by Dr. Schleifer for good reason, each as defined in the employment agreement) within three years after a change of control of the Company or within three months prior to such a change of control, we will pay Dr. Schleifer an amount equal to three times the sum of his annual base salary plus his average cash incentive over the prior three years. This amount will be paid in a lump-sum severance payment. In addition, we will continue to provide Dr. Schleifer and his dependents medical, dental, and life insurance benefits for 36 months. Upon such an involuntary termination in connection with a change of control, Dr. Schleifer’s outstanding stock options will vest immediately and remain exercisable throughout their original term, which is generally ten years from the date of grant. In addition, pursuant to the terms of his 2019 PSU award agreement, any such PSUs that vest upon a change of control (as a result of performance exceeding the relevant TSR goal for the period from the grant date to the date of the change of control) will become deliverable to Dr. Schleifer upon the earlier of (x) the five-year anniversary of the grant date or (y) a termination of Dr. Schleifer’s employment by the Company without cause or by Dr. Schleifer for good reason, in each case within two years after such a change of control. Pursuant to the terms of his 2020 PSU award agreement, any such PSUs that vest upon a change of control as discussed above will be immediately deliverable to Dr. Schleifer (with no Holding Period).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10%, in which case such benefits and payments will be reduced accordingly. </w:t>
      </w:r>
    </w:p>
    <w:p>
      <w:pPr>
        <w:pStyle w:val="TextBody"/>
        <w:pBdr/>
        <w:spacing w:before="0" w:after="210"/>
        <w:ind w:left="0" w:right="0" w:hanging="0"/>
        <w:rPr>
          <w:rFonts w:ascii="Arial" w:hAnsi="Arial"/>
          <w:color w:val="000000"/>
          <w:sz w:val="21"/>
        </w:rPr>
      </w:pPr>
      <w:r>
        <w:rPr>
          <w:rFonts w:ascii="Arial" w:hAnsi="Arial"/>
          <w:color w:val="000000"/>
          <w:sz w:val="21"/>
        </w:rPr>
        <w:t>The following table reflects the potential payments to our CEO under his employment agreement assuming a termination effective December 31, 2022 under different scenarios (including following a change of control), as well as upon death or disability. The information in the table below is based on the assumptions set forth in the footnotes to the table; actual values and amounts may differ from those presented below.</w:t>
      </w:r>
    </w:p>
    <w:p>
      <w:pPr>
        <w:pStyle w:val="Heading4"/>
        <w:pBdr/>
        <w:spacing w:before="0" w:after="150"/>
        <w:ind w:left="0" w:right="0" w:hanging="0"/>
        <w:rPr>
          <w:rFonts w:ascii="Arial" w:hAnsi="Arial"/>
          <w:b/>
          <w:i w:val="false"/>
          <w:caps w:val="false"/>
          <w:smallCaps w:val="false"/>
          <w:color w:val="D31B5D"/>
          <w:sz w:val="24"/>
        </w:rPr>
      </w:pPr>
      <w:bookmarkStart w:id="155" w:name="new_id-146"/>
      <w:bookmarkEnd w:id="155"/>
      <w:r>
        <w:rPr>
          <w:rFonts w:ascii="Arial" w:hAnsi="Arial"/>
          <w:b/>
          <w:i w:val="false"/>
          <w:caps w:val="false"/>
          <w:smallCaps w:val="false"/>
          <w:color w:val="D31B5D"/>
          <w:sz w:val="24"/>
        </w:rPr>
        <w:t xml:space="preserve">Potential Severance Payments under Dr. Schleifer’s Employment Agreement </w:t>
      </w:r>
    </w:p>
    <w:tbl>
      <w:tblPr>
        <w:tblW w:w="10205" w:type="dxa"/>
        <w:jc w:val="left"/>
        <w:tblInd w:w="0" w:type="dxa"/>
        <w:tblCellMar>
          <w:top w:w="0" w:type="dxa"/>
          <w:left w:w="0" w:type="dxa"/>
          <w:bottom w:w="75" w:type="dxa"/>
          <w:right w:w="0" w:type="dxa"/>
        </w:tblCellMar>
      </w:tblPr>
      <w:tblGrid>
        <w:gridCol w:w="1582"/>
        <w:gridCol w:w="1108"/>
        <w:gridCol w:w="128"/>
        <w:gridCol w:w="956"/>
        <w:gridCol w:w="275"/>
        <w:gridCol w:w="947"/>
        <w:gridCol w:w="847"/>
        <w:gridCol w:w="243"/>
        <w:gridCol w:w="1299"/>
        <w:gridCol w:w="244"/>
        <w:gridCol w:w="1031"/>
        <w:gridCol w:w="1299"/>
        <w:gridCol w:w="246"/>
      </w:tblGrid>
      <w:tr>
        <w:trPr/>
        <w:tc>
          <w:tcPr>
            <w:tcW w:w="1582" w:type="dxa"/>
            <w:tcBorders>
              <w:bottom w:val="single" w:sz="12" w:space="0" w:color="245AA7"/>
            </w:tcBorders>
            <w:shd w:fill="auto" w:val="clear"/>
            <w:vAlign w:val="center"/>
          </w:tcPr>
          <w:p>
            <w:pPr>
              <w:pStyle w:val="TableContents"/>
              <w:pBdr/>
              <w:spacing w:before="15" w:after="0"/>
              <w:ind w:left="15" w:right="15" w:hanging="0"/>
              <w:rPr>
                <w:color w:val="245BA7"/>
              </w:rPr>
            </w:pPr>
            <w:r>
              <w:rPr>
                <w:color w:val="245BA7"/>
              </w:rPr>
              <w:t> </w:t>
            </w:r>
          </w:p>
        </w:tc>
        <w:tc>
          <w:tcPr>
            <w:tcW w:w="1236" w:type="dxa"/>
            <w:gridSpan w:val="2"/>
            <w:tcBorders>
              <w:bottom w:val="single" w:sz="12" w:space="0" w:color="245A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 xml:space="preserve">Cash Severance </w:t>
            </w:r>
          </w:p>
          <w:p>
            <w:pPr>
              <w:pStyle w:val="TableContents"/>
              <w:pBdr/>
              <w:spacing w:before="0" w:after="0"/>
              <w:ind w:left="0" w:right="0" w:hanging="0"/>
              <w:jc w:val="center"/>
              <w:rPr>
                <w:rFonts w:ascii="Arial" w:hAnsi="Arial"/>
                <w:b/>
                <w:color w:val="245BA7"/>
                <w:sz w:val="18"/>
              </w:rPr>
            </w:pPr>
            <w:r>
              <w:rPr>
                <w:rFonts w:ascii="Arial" w:hAnsi="Arial"/>
                <w:b/>
                <w:color w:val="245BA7"/>
                <w:sz w:val="18"/>
              </w:rPr>
              <w:t>($)</w:t>
            </w:r>
          </w:p>
        </w:tc>
        <w:tc>
          <w:tcPr>
            <w:tcW w:w="1231" w:type="dxa"/>
            <w:gridSpan w:val="2"/>
            <w:tcBorders>
              <w:bottom w:val="single" w:sz="12" w:space="0" w:color="245A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 xml:space="preserve">Benefits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Continuation </w:t>
            </w:r>
          </w:p>
          <w:p>
            <w:pPr>
              <w:pStyle w:val="TableContents"/>
              <w:pBdr/>
              <w:spacing w:before="0" w:after="0"/>
              <w:ind w:left="0" w:right="0" w:hanging="0"/>
              <w:jc w:val="center"/>
              <w:rPr>
                <w:rFonts w:ascii="Arial" w:hAnsi="Arial"/>
                <w:b/>
                <w:color w:val="245BA7"/>
                <w:sz w:val="18"/>
              </w:rPr>
            </w:pPr>
            <w:r>
              <w:rPr>
                <w:rFonts w:ascii="Arial" w:hAnsi="Arial"/>
                <w:b/>
                <w:color w:val="245BA7"/>
                <w:sz w:val="18"/>
              </w:rPr>
              <w:t>($)</w:t>
            </w:r>
          </w:p>
        </w:tc>
        <w:tc>
          <w:tcPr>
            <w:tcW w:w="947" w:type="dxa"/>
            <w:tcBorders>
              <w:bottom w:val="single" w:sz="12" w:space="0" w:color="245A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Death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Benefits</w:t>
            </w:r>
            <w:r>
              <w:rPr>
                <w:rFonts w:ascii="Arial" w:hAnsi="Arial"/>
                <w:b/>
                <w:color w:val="245BA7"/>
                <w:position w:val="6"/>
                <w:sz w:val="14"/>
                <w:sz w:val="18"/>
              </w:rPr>
              <w:t xml:space="preserve">4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1090" w:type="dxa"/>
            <w:gridSpan w:val="2"/>
            <w:tcBorders>
              <w:bottom w:val="single" w:sz="12" w:space="0" w:color="245A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 xml:space="preserve">Disability Benefits </w:t>
            </w:r>
          </w:p>
          <w:p>
            <w:pPr>
              <w:pStyle w:val="TableContents"/>
              <w:pBdr/>
              <w:spacing w:before="0" w:after="0"/>
              <w:ind w:left="0" w:right="0" w:hanging="0"/>
              <w:jc w:val="center"/>
              <w:rPr>
                <w:rFonts w:ascii="Arial" w:hAnsi="Arial"/>
                <w:b/>
                <w:color w:val="245BA7"/>
                <w:sz w:val="18"/>
              </w:rPr>
            </w:pPr>
            <w:r>
              <w:rPr>
                <w:rFonts w:ascii="Arial" w:hAnsi="Arial"/>
                <w:b/>
                <w:color w:val="245BA7"/>
                <w:sz w:val="18"/>
              </w:rPr>
              <w:t>($)</w:t>
            </w:r>
          </w:p>
        </w:tc>
        <w:tc>
          <w:tcPr>
            <w:tcW w:w="1543" w:type="dxa"/>
            <w:gridSpan w:val="2"/>
            <w:tcBorders>
              <w:bottom w:val="single" w:sz="12" w:space="0" w:color="245A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 xml:space="preserve">Value of Accelerated Stock </w:t>
            </w:r>
          </w:p>
          <w:p>
            <w:pPr>
              <w:pStyle w:val="TableContents"/>
              <w:pBdr/>
              <w:spacing w:before="0" w:after="15"/>
              <w:ind w:left="0" w:right="0" w:hanging="0"/>
              <w:jc w:val="center"/>
              <w:rPr>
                <w:rFonts w:ascii="Arial" w:hAnsi="Arial"/>
                <w:b/>
                <w:color w:val="245BA7"/>
                <w:sz w:val="18"/>
              </w:rPr>
            </w:pPr>
            <w:r>
              <w:rPr>
                <w:rFonts w:ascii="Arial" w:hAnsi="Arial"/>
                <w:b/>
                <w:color w:val="245BA7"/>
                <w:sz w:val="18"/>
              </w:rPr>
              <w:t xml:space="preserve">Options/PSUs </w:t>
            </w:r>
          </w:p>
          <w:p>
            <w:pPr>
              <w:pStyle w:val="TableContents"/>
              <w:pBdr/>
              <w:spacing w:before="0" w:after="0"/>
              <w:ind w:left="0" w:right="0" w:hanging="0"/>
              <w:jc w:val="center"/>
              <w:rPr>
                <w:rFonts w:ascii="Arial" w:hAnsi="Arial"/>
                <w:b/>
                <w:color w:val="245BA7"/>
                <w:sz w:val="18"/>
              </w:rPr>
            </w:pPr>
            <w:r>
              <w:rPr>
                <w:rFonts w:ascii="Arial" w:hAnsi="Arial"/>
                <w:b/>
                <w:color w:val="245BA7"/>
                <w:sz w:val="18"/>
              </w:rPr>
              <w:t>($)</w:t>
            </w:r>
          </w:p>
        </w:tc>
        <w:tc>
          <w:tcPr>
            <w:tcW w:w="1031" w:type="dxa"/>
            <w:tcBorders>
              <w:bottom w:val="single" w:sz="12" w:space="0" w:color="245A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Cutback/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Gross-up</w:t>
            </w:r>
            <w:r>
              <w:rPr>
                <w:rFonts w:ascii="Arial" w:hAnsi="Arial"/>
                <w:b/>
                <w:color w:val="245BA7"/>
                <w:position w:val="6"/>
                <w:sz w:val="14"/>
                <w:sz w:val="18"/>
              </w:rPr>
              <w:t xml:space="preserve">6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1545" w:type="dxa"/>
            <w:gridSpan w:val="2"/>
            <w:tcBorders>
              <w:bottom w:val="single" w:sz="12" w:space="0" w:color="245A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 xml:space="preserve">Total Amount </w:t>
            </w:r>
          </w:p>
          <w:p>
            <w:pPr>
              <w:pStyle w:val="TableContents"/>
              <w:pBdr/>
              <w:spacing w:before="0" w:after="0"/>
              <w:ind w:left="0" w:right="0" w:hanging="0"/>
              <w:jc w:val="center"/>
              <w:rPr>
                <w:rFonts w:ascii="Arial" w:hAnsi="Arial"/>
                <w:b/>
                <w:color w:val="245BA7"/>
                <w:sz w:val="18"/>
              </w:rPr>
            </w:pPr>
            <w:r>
              <w:rPr>
                <w:rFonts w:ascii="Arial" w:hAnsi="Arial"/>
                <w:b/>
                <w:color w:val="245BA7"/>
                <w:sz w:val="18"/>
              </w:rPr>
              <w:t>($)</w:t>
            </w:r>
          </w:p>
        </w:tc>
      </w:tr>
      <w:tr>
        <w:trPr/>
        <w:tc>
          <w:tcPr>
            <w:tcW w:w="1582"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Involuntary Termination Following a Change of Control</w:t>
            </w:r>
            <w:r>
              <w:rPr>
                <w:rFonts w:ascii="Arial" w:hAnsi="Arial"/>
                <w:color w:val="000000"/>
                <w:position w:val="6"/>
                <w:sz w:val="14"/>
                <w:sz w:val="18"/>
              </w:rPr>
              <w:t>1</w:t>
            </w:r>
          </w:p>
        </w:tc>
        <w:tc>
          <w:tcPr>
            <w:tcW w:w="1108"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16,091,445</w:t>
            </w:r>
          </w:p>
        </w:tc>
        <w:tc>
          <w:tcPr>
            <w:tcW w:w="128" w:type="dxa"/>
            <w:tcBorders>
              <w:bottom w:val="single" w:sz="2" w:space="0" w:color="575756"/>
            </w:tcBorders>
            <w:shd w:fill="auto" w:val="clear"/>
            <w:tcMar>
              <w:bottom w:w="28"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2</w:t>
            </w:r>
          </w:p>
        </w:tc>
        <w:tc>
          <w:tcPr>
            <w:tcW w:w="956"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 xml:space="preserve">299,767 </w:t>
            </w:r>
          </w:p>
        </w:tc>
        <w:tc>
          <w:tcPr>
            <w:tcW w:w="275" w:type="dxa"/>
            <w:tcBorders>
              <w:bottom w:val="single" w:sz="2" w:space="0" w:color="575756"/>
            </w:tcBorders>
            <w:shd w:fill="auto" w:val="clear"/>
            <w:tcMar>
              <w:bottom w:w="28"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3</w:t>
            </w:r>
          </w:p>
        </w:tc>
        <w:tc>
          <w:tcPr>
            <w:tcW w:w="947"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xml:space="preserve">— </w:t>
            </w:r>
          </w:p>
        </w:tc>
        <w:tc>
          <w:tcPr>
            <w:tcW w:w="847"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color w:val="000000"/>
              </w:rPr>
            </w:pPr>
            <w:r>
              <w:rPr>
                <w:color w:val="000000"/>
              </w:rPr>
              <w:t xml:space="preserve">— </w:t>
            </w:r>
          </w:p>
        </w:tc>
        <w:tc>
          <w:tcPr>
            <w:tcW w:w="243"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299"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 xml:space="preserve">167,557,088 </w:t>
            </w:r>
          </w:p>
        </w:tc>
        <w:tc>
          <w:tcPr>
            <w:tcW w:w="244" w:type="dxa"/>
            <w:tcBorders>
              <w:bottom w:val="single" w:sz="2" w:space="0" w:color="575756"/>
            </w:tcBorders>
            <w:shd w:fill="auto" w:val="clear"/>
            <w:tcMar>
              <w:bottom w:w="28"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5</w:t>
            </w:r>
          </w:p>
        </w:tc>
        <w:tc>
          <w:tcPr>
            <w:tcW w:w="103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xml:space="preserve">— </w:t>
            </w:r>
          </w:p>
        </w:tc>
        <w:tc>
          <w:tcPr>
            <w:tcW w:w="1299"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$183,948,300</w:t>
            </w:r>
          </w:p>
        </w:tc>
        <w:tc>
          <w:tcPr>
            <w:tcW w:w="246" w:type="dxa"/>
            <w:tcBorders>
              <w:bottom w:val="single" w:sz="2" w:space="0" w:color="575756"/>
            </w:tcBorders>
            <w:shd w:fill="auto" w:val="clear"/>
            <w:tcMar>
              <w:bottom w:w="28" w:type="dxa"/>
            </w:tcMar>
            <w:vAlign w:val="center"/>
          </w:tcPr>
          <w:p>
            <w:pPr>
              <w:pStyle w:val="TableContents"/>
              <w:pBdr/>
              <w:spacing w:before="0" w:after="45"/>
              <w:ind w:left="0" w:right="0" w:hanging="0"/>
              <w:rPr>
                <w:color w:val="000000"/>
              </w:rPr>
            </w:pPr>
            <w:r>
              <w:rPr>
                <w:color w:val="000000"/>
              </w:rPr>
              <w:t> </w:t>
            </w:r>
          </w:p>
        </w:tc>
      </w:tr>
      <w:tr>
        <w:trPr/>
        <w:tc>
          <w:tcPr>
            <w:tcW w:w="1582" w:type="dxa"/>
            <w:tcBorders>
              <w:top w:val="single" w:sz="2" w:space="0" w:color="F2F2F2"/>
              <w:bottom w:val="single" w:sz="2" w:space="0" w:color="575756"/>
            </w:tcBorders>
            <w:shd w:fill="F2F2F2" w:val="clear"/>
            <w:tcMar>
              <w:top w:w="45" w:type="dxa"/>
              <w:bottom w:w="30"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Involuntary Termination</w:t>
            </w:r>
          </w:p>
        </w:tc>
        <w:tc>
          <w:tcPr>
            <w:tcW w:w="1108"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6,704,769</w:t>
            </w:r>
          </w:p>
        </w:tc>
        <w:tc>
          <w:tcPr>
            <w:tcW w:w="128"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7</w:t>
            </w:r>
          </w:p>
        </w:tc>
        <w:tc>
          <w:tcPr>
            <w:tcW w:w="956"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144,872</w:t>
            </w:r>
          </w:p>
        </w:tc>
        <w:tc>
          <w:tcPr>
            <w:tcW w:w="275"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8</w:t>
            </w:r>
          </w:p>
        </w:tc>
        <w:tc>
          <w:tcPr>
            <w:tcW w:w="947"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 xml:space="preserve">— </w:t>
            </w:r>
          </w:p>
        </w:tc>
        <w:tc>
          <w:tcPr>
            <w:tcW w:w="847"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color w:val="000000"/>
              </w:rPr>
            </w:pPr>
            <w:r>
              <w:rPr>
                <w:color w:val="000000"/>
              </w:rPr>
              <w:t xml:space="preserve">— </w:t>
            </w:r>
          </w:p>
        </w:tc>
        <w:tc>
          <w:tcPr>
            <w:tcW w:w="243"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0" w:right="0" w:hanging="0"/>
              <w:rPr>
                <w:color w:val="000000"/>
              </w:rPr>
            </w:pPr>
            <w:r>
              <w:rPr>
                <w:color w:val="000000"/>
              </w:rPr>
              <w:t> </w:t>
            </w:r>
          </w:p>
        </w:tc>
        <w:tc>
          <w:tcPr>
            <w:tcW w:w="1299"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 xml:space="preserve">150,956,631 </w:t>
            </w:r>
          </w:p>
        </w:tc>
        <w:tc>
          <w:tcPr>
            <w:tcW w:w="244"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9</w:t>
            </w:r>
          </w:p>
        </w:tc>
        <w:tc>
          <w:tcPr>
            <w:tcW w:w="1031"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 xml:space="preserve">— </w:t>
            </w:r>
          </w:p>
        </w:tc>
        <w:tc>
          <w:tcPr>
            <w:tcW w:w="1299" w:type="dxa"/>
            <w:tcBorders>
              <w:top w:val="single" w:sz="2" w:space="0" w:color="F2F2F2"/>
              <w:bottom w:val="single" w:sz="2" w:space="0" w:color="575756"/>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 xml:space="preserve">$157,806,272 </w:t>
            </w:r>
          </w:p>
        </w:tc>
        <w:tc>
          <w:tcPr>
            <w:tcW w:w="246" w:type="dxa"/>
            <w:tcBorders>
              <w:top w:val="single" w:sz="2" w:space="0" w:color="F2F2F2"/>
              <w:bottom w:val="single" w:sz="2" w:space="0" w:color="575756"/>
            </w:tcBorders>
            <w:shd w:fill="F2F2F2" w:val="clear"/>
            <w:tcMar>
              <w:top w:w="28" w:type="dxa"/>
              <w:bottom w:w="28" w:type="dxa"/>
            </w:tcMar>
            <w:vAlign w:val="center"/>
          </w:tcPr>
          <w:p>
            <w:pPr>
              <w:pStyle w:val="TableContents"/>
              <w:pBdr/>
              <w:spacing w:before="0" w:after="45"/>
              <w:ind w:left="0" w:right="0" w:hanging="0"/>
              <w:rPr>
                <w:color w:val="000000"/>
              </w:rPr>
            </w:pPr>
            <w:r>
              <w:rPr>
                <w:color w:val="000000"/>
              </w:rPr>
              <w:t> </w:t>
            </w:r>
          </w:p>
        </w:tc>
      </w:tr>
      <w:tr>
        <w:trPr/>
        <w:tc>
          <w:tcPr>
            <w:tcW w:w="1582"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Death</w:t>
            </w:r>
          </w:p>
        </w:tc>
        <w:tc>
          <w:tcPr>
            <w:tcW w:w="1108"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color w:val="000000"/>
              </w:rPr>
            </w:pPr>
            <w:r>
              <w:rPr>
                <w:color w:val="000000"/>
              </w:rPr>
              <w:t xml:space="preserve">— </w:t>
            </w:r>
          </w:p>
        </w:tc>
        <w:tc>
          <w:tcPr>
            <w:tcW w:w="128" w:type="dxa"/>
            <w:tcBorders>
              <w:bottom w:val="single" w:sz="2" w:space="0" w:color="575756"/>
            </w:tcBorders>
            <w:shd w:fill="auto" w:val="clear"/>
            <w:tcMar>
              <w:bottom w:w="28" w:type="dxa"/>
            </w:tcMar>
            <w:vAlign w:val="center"/>
          </w:tcPr>
          <w:p>
            <w:pPr>
              <w:pStyle w:val="TableContents"/>
              <w:pBdr/>
              <w:spacing w:before="0" w:after="45"/>
              <w:ind w:left="0" w:right="0" w:hanging="0"/>
              <w:rPr>
                <w:color w:val="000000"/>
              </w:rPr>
            </w:pPr>
            <w:r>
              <w:rPr>
                <w:color w:val="000000"/>
              </w:rPr>
              <w:t> </w:t>
            </w:r>
          </w:p>
        </w:tc>
        <w:tc>
          <w:tcPr>
            <w:tcW w:w="956"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 xml:space="preserve">113,786 </w:t>
            </w:r>
          </w:p>
        </w:tc>
        <w:tc>
          <w:tcPr>
            <w:tcW w:w="275" w:type="dxa"/>
            <w:tcBorders>
              <w:bottom w:val="single" w:sz="2" w:space="0" w:color="575756"/>
            </w:tcBorders>
            <w:shd w:fill="auto" w:val="clear"/>
            <w:tcMar>
              <w:bottom w:w="28"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10</w:t>
            </w:r>
          </w:p>
        </w:tc>
        <w:tc>
          <w:tcPr>
            <w:tcW w:w="947"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xml:space="preserve">— </w:t>
            </w:r>
          </w:p>
        </w:tc>
        <w:tc>
          <w:tcPr>
            <w:tcW w:w="847"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color w:val="000000"/>
              </w:rPr>
            </w:pPr>
            <w:r>
              <w:rPr>
                <w:color w:val="000000"/>
              </w:rPr>
              <w:t xml:space="preserve">— </w:t>
            </w:r>
          </w:p>
        </w:tc>
        <w:tc>
          <w:tcPr>
            <w:tcW w:w="243" w:type="dxa"/>
            <w:tcBorders>
              <w:bottom w:val="single" w:sz="2" w:space="0" w:color="575756"/>
            </w:tcBorders>
            <w:shd w:fill="auto" w:val="clear"/>
            <w:tcMar>
              <w:bottom w:w="45" w:type="dxa"/>
            </w:tcMar>
            <w:vAlign w:val="center"/>
          </w:tcPr>
          <w:p>
            <w:pPr>
              <w:pStyle w:val="TableContents"/>
              <w:pBdr/>
              <w:spacing w:before="0" w:after="45"/>
              <w:ind w:left="0" w:right="0" w:hanging="0"/>
              <w:rPr>
                <w:color w:val="000000"/>
              </w:rPr>
            </w:pPr>
            <w:r>
              <w:rPr>
                <w:color w:val="000000"/>
              </w:rPr>
              <w:t> </w:t>
            </w:r>
          </w:p>
        </w:tc>
        <w:tc>
          <w:tcPr>
            <w:tcW w:w="1299"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color w:val="000000"/>
              </w:rPr>
            </w:pPr>
            <w:r>
              <w:rPr>
                <w:color w:val="000000"/>
              </w:rPr>
              <w:t xml:space="preserve">— </w:t>
            </w:r>
          </w:p>
        </w:tc>
        <w:tc>
          <w:tcPr>
            <w:tcW w:w="244" w:type="dxa"/>
            <w:tcBorders>
              <w:bottom w:val="single" w:sz="2" w:space="0" w:color="575756"/>
            </w:tcBorders>
            <w:shd w:fill="auto" w:val="clear"/>
            <w:tcMar>
              <w:bottom w:w="28"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11</w:t>
            </w:r>
          </w:p>
        </w:tc>
        <w:tc>
          <w:tcPr>
            <w:tcW w:w="103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xml:space="preserve">— </w:t>
            </w:r>
          </w:p>
        </w:tc>
        <w:tc>
          <w:tcPr>
            <w:tcW w:w="1299" w:type="dxa"/>
            <w:tcBorders>
              <w:bottom w:val="single" w:sz="2" w:space="0" w:color="575756"/>
            </w:tcBorders>
            <w:shd w:fill="auto" w:val="clear"/>
            <w:tcMar>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$113,786</w:t>
            </w:r>
          </w:p>
        </w:tc>
        <w:tc>
          <w:tcPr>
            <w:tcW w:w="246" w:type="dxa"/>
            <w:tcBorders>
              <w:bottom w:val="single" w:sz="2" w:space="0" w:color="575756"/>
            </w:tcBorders>
            <w:shd w:fill="auto" w:val="clear"/>
            <w:tcMar>
              <w:bottom w:w="28"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11</w:t>
            </w:r>
          </w:p>
        </w:tc>
      </w:tr>
      <w:tr>
        <w:trPr/>
        <w:tc>
          <w:tcPr>
            <w:tcW w:w="1582" w:type="dxa"/>
            <w:tcBorders>
              <w:top w:val="single" w:sz="2" w:space="0" w:color="F2F2F2"/>
              <w:bottom w:val="single" w:sz="2" w:space="0" w:color="245BA7"/>
            </w:tcBorders>
            <w:shd w:fill="F2F2F2" w:val="clear"/>
            <w:tcMar>
              <w:top w:w="45" w:type="dxa"/>
              <w:bottom w:w="30"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Disability</w:t>
            </w:r>
          </w:p>
        </w:tc>
        <w:tc>
          <w:tcPr>
            <w:tcW w:w="1108"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0" w:hanging="0"/>
              <w:jc w:val="right"/>
              <w:rPr>
                <w:color w:val="000000"/>
              </w:rPr>
            </w:pPr>
            <w:r>
              <w:rPr>
                <w:color w:val="000000"/>
              </w:rPr>
              <w:t xml:space="preserve">— </w:t>
            </w:r>
          </w:p>
        </w:tc>
        <w:tc>
          <w:tcPr>
            <w:tcW w:w="128"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45"/>
              <w:ind w:left="0" w:right="0" w:hanging="0"/>
              <w:rPr>
                <w:color w:val="000000"/>
              </w:rPr>
            </w:pPr>
            <w:r>
              <w:rPr>
                <w:color w:val="000000"/>
              </w:rPr>
              <w:t> </w:t>
            </w:r>
          </w:p>
        </w:tc>
        <w:tc>
          <w:tcPr>
            <w:tcW w:w="956"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 xml:space="preserve">144,872 </w:t>
            </w:r>
          </w:p>
        </w:tc>
        <w:tc>
          <w:tcPr>
            <w:tcW w:w="275"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8</w:t>
            </w:r>
          </w:p>
        </w:tc>
        <w:tc>
          <w:tcPr>
            <w:tcW w:w="947"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 xml:space="preserve">— </w:t>
            </w:r>
          </w:p>
        </w:tc>
        <w:tc>
          <w:tcPr>
            <w:tcW w:w="847"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951,297</w:t>
            </w:r>
          </w:p>
        </w:tc>
        <w:tc>
          <w:tcPr>
            <w:tcW w:w="243" w:type="dxa"/>
            <w:tcBorders>
              <w:top w:val="single" w:sz="2" w:space="0" w:color="F2F2F2"/>
              <w:bottom w:val="single" w:sz="2" w:space="0" w:color="245BA7"/>
            </w:tcBorders>
            <w:shd w:fill="F2F2F2" w:val="clear"/>
            <w:tcMar>
              <w:top w:w="28" w:type="dxa"/>
              <w:bottom w:w="45"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12</w:t>
            </w:r>
          </w:p>
        </w:tc>
        <w:tc>
          <w:tcPr>
            <w:tcW w:w="1299"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0" w:hanging="0"/>
              <w:jc w:val="right"/>
              <w:rPr>
                <w:color w:val="000000"/>
              </w:rPr>
            </w:pPr>
            <w:r>
              <w:rPr>
                <w:color w:val="000000"/>
              </w:rPr>
              <w:t xml:space="preserve">— </w:t>
            </w:r>
          </w:p>
        </w:tc>
        <w:tc>
          <w:tcPr>
            <w:tcW w:w="244"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45"/>
              <w:ind w:left="0" w:right="0" w:hanging="0"/>
              <w:rPr>
                <w:rFonts w:ascii="Arial" w:hAnsi="Arial"/>
                <w:color w:val="000000"/>
                <w:position w:val="6"/>
                <w:sz w:val="14"/>
                <w:sz w:val="18"/>
              </w:rPr>
            </w:pPr>
            <w:r>
              <w:rPr>
                <w:rFonts w:ascii="Arial" w:hAnsi="Arial"/>
                <w:color w:val="000000"/>
                <w:position w:val="6"/>
                <w:sz w:val="14"/>
                <w:sz w:val="18"/>
              </w:rPr>
              <w:t>13</w:t>
            </w:r>
          </w:p>
        </w:tc>
        <w:tc>
          <w:tcPr>
            <w:tcW w:w="1031"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 xml:space="preserve">— </w:t>
            </w:r>
          </w:p>
        </w:tc>
        <w:tc>
          <w:tcPr>
            <w:tcW w:w="1299" w:type="dxa"/>
            <w:tcBorders>
              <w:top w:val="single" w:sz="2" w:space="0" w:color="F2F2F2"/>
              <w:bottom w:val="single" w:sz="2" w:space="0" w:color="245BA7"/>
            </w:tcBorders>
            <w:shd w:fill="F2F2F2" w:val="clear"/>
            <w:tcMar>
              <w:top w:w="90" w:type="dxa"/>
              <w:bottom w:w="45" w:type="dxa"/>
            </w:tcMar>
            <w:vAlign w:val="center"/>
          </w:tcPr>
          <w:p>
            <w:pPr>
              <w:pStyle w:val="TableContents"/>
              <w:pBdr/>
              <w:spacing w:before="0" w:after="45"/>
              <w:ind w:left="15" w:right="0" w:hanging="0"/>
              <w:jc w:val="right"/>
              <w:rPr>
                <w:rFonts w:ascii="Arial" w:hAnsi="Arial"/>
                <w:color w:val="000000"/>
                <w:sz w:val="18"/>
              </w:rPr>
            </w:pPr>
            <w:r>
              <w:rPr>
                <w:rFonts w:ascii="Arial" w:hAnsi="Arial"/>
                <w:color w:val="000000"/>
                <w:sz w:val="18"/>
              </w:rPr>
              <w:t>$1,096,169</w:t>
            </w:r>
          </w:p>
        </w:tc>
        <w:tc>
          <w:tcPr>
            <w:tcW w:w="246" w:type="dxa"/>
            <w:tcBorders>
              <w:top w:val="single" w:sz="2" w:space="0" w:color="F2F2F2"/>
              <w:bottom w:val="single" w:sz="2" w:space="0" w:color="245BA7"/>
            </w:tcBorders>
            <w:shd w:fill="F2F2F2" w:val="clear"/>
            <w:tcMar>
              <w:top w:w="28" w:type="dxa"/>
              <w:bottom w:w="28" w:type="dxa"/>
            </w:tcMar>
            <w:vAlign w:val="center"/>
          </w:tcPr>
          <w:p>
            <w:pPr>
              <w:pStyle w:val="TableContents"/>
              <w:pBdr/>
              <w:spacing w:before="0" w:after="45"/>
              <w:ind w:left="0" w:right="0" w:hanging="0"/>
              <w:rPr>
                <w:color w:val="000000"/>
              </w:rPr>
            </w:pPr>
            <w:r>
              <w:rPr>
                <w:color w:val="000000"/>
              </w:rPr>
              <w:t> </w:t>
            </w:r>
          </w:p>
        </w:tc>
      </w:tr>
      <w:tr>
        <w:trPr/>
        <w:tc>
          <w:tcPr>
            <w:tcW w:w="10205" w:type="dxa"/>
            <w:gridSpan w:val="13"/>
            <w:tcBorders/>
            <w:shd w:fill="auto" w:val="clear"/>
            <w:tcMar>
              <w:bottom w:w="0" w:type="dxa"/>
            </w:tcMar>
            <w:vAlign w:val="center"/>
          </w:tcPr>
          <w:p>
            <w:pPr>
              <w:pStyle w:val="TableContents"/>
              <w:spacing w:before="0" w:after="0"/>
              <w:ind w:left="0" w:right="30" w:hanging="0"/>
              <w:rPr>
                <w:rFonts w:ascii="Arial" w:hAnsi="Arial"/>
                <w:color w:val="245BA7"/>
                <w:sz w:val="20"/>
              </w:rPr>
            </w:pPr>
            <w:r>
              <w:rPr>
                <w:rFonts w:ascii="Arial" w:hAnsi="Arial"/>
                <w:color w:val="245BA7"/>
                <w:sz w:val="20"/>
              </w:rPr>
              <w:t>1</w:t>
            </w:r>
          </w:p>
          <w:p>
            <w:pPr>
              <w:pStyle w:val="TableContents"/>
              <w:pBdr/>
              <w:spacing w:before="0" w:after="0"/>
              <w:ind w:left="0" w:right="30" w:hanging="0"/>
              <w:rPr>
                <w:rFonts w:ascii="Arial" w:hAnsi="Arial"/>
                <w:color w:val="000000"/>
                <w:sz w:val="20"/>
              </w:rPr>
            </w:pPr>
            <w:r>
              <w:rPr>
                <w:rFonts w:ascii="Arial" w:hAnsi="Arial"/>
                <w:color w:val="000000"/>
                <w:sz w:val="20"/>
              </w:rPr>
              <w:t>For purposes of these calculations, (i) we used Dr. Schleifer’s 2022 base salary and the annual cash incentives paid to Dr. Schleifer for performance in 2019, 2020, and 2021, respectively; (ii) we assumed that Dr. Schleifer received his annual cash incentive that was earned in 2022 and paid in 2023 (described in the Summary Compensation Table above); (iii) we took into consideration, for purposes of determining whether Dr. Schleifer was entitled to receive a gross-up payment under the terms of his employment agreement, the fact that Dr. Schleifer’s stock options continue to vest according to their original vesting schedule following a voluntary or involuntary termination (other than in connection with a change of control); (iv) we assumed a 6.7% annual increase in medical premiums, 4% annual increase in dental premiums, and no increase in annual disability or life insurance premiums; (v) we assumed that the medical and dental insurance benefits received in 2023, 2024, and 2025 would be taxable and that Dr. Schleifer would be eligible for a tax gross-up for these benefits under the terms of his employment agreement; (vi) although Dr. Schleifer’s employment agreement provides for restrictive covenants, including a six-month non-compete obligation, no specific value has been ascribed to these covenants solely for purposes of assessing excise tax liabilities and potential cutbacks; and (vii) although certain payments to Dr. Schleifer would be subject to potential delays upon separation of service under Section 409A, we did not attempt to determine which, if any, payments would be delayed or revise the values to reflect any such delay.</w:t>
            </w:r>
          </w:p>
        </w:tc>
      </w:tr>
    </w:tbl>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88"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20" descr=""/>
                          <pic:cNvPicPr>
                            <a:picLocks noChangeAspect="1" noChangeArrowheads="1"/>
                          </pic:cNvPicPr>
                        </pic:nvPicPr>
                        <pic:blipFill>
                          <a:blip r:embed="rId221"/>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85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2</w:t>
            </w:r>
          </w:p>
          <w:p>
            <w:pPr>
              <w:pStyle w:val="TableContents"/>
              <w:pBdr/>
              <w:spacing w:before="0" w:after="0"/>
              <w:ind w:left="0" w:right="30" w:hanging="0"/>
              <w:rPr>
                <w:rFonts w:ascii="Arial" w:hAnsi="Arial"/>
                <w:color w:val="000000"/>
                <w:sz w:val="20"/>
              </w:rPr>
            </w:pPr>
            <w:r>
              <w:rPr>
                <w:rFonts w:ascii="Arial" w:hAnsi="Arial"/>
                <w:color w:val="000000"/>
                <w:sz w:val="20"/>
              </w:rPr>
              <w:t xml:space="preserve">Equal to three times the sum of (a) Dr. Schleifer’s 2022 base salary and (b) the average annual cash incentive paid to Dr. Schleifer for performance in the three completed years prior to the termination date. For purposes of this calculation, we used Dr. Schleifer’s annual cash incentives for performance in 2019, 2020, and 2021. </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3</w:t>
            </w:r>
          </w:p>
          <w:p>
            <w:pPr>
              <w:pStyle w:val="TableContents"/>
              <w:pBdr/>
              <w:spacing w:before="0" w:after="0"/>
              <w:ind w:left="0" w:right="30" w:hanging="0"/>
              <w:rPr>
                <w:rFonts w:ascii="Arial" w:hAnsi="Arial"/>
                <w:color w:val="000000"/>
                <w:sz w:val="20"/>
              </w:rPr>
            </w:pPr>
            <w:r>
              <w:rPr>
                <w:rFonts w:ascii="Arial" w:hAnsi="Arial"/>
                <w:color w:val="000000"/>
                <w:sz w:val="20"/>
              </w:rPr>
              <w:t xml:space="preserve">Equal to the estimated cost of providing Dr. Schleifer and his dependents medical, dental, and life insurance benefits for 36 months. </w:t>
            </w:r>
          </w:p>
        </w:tc>
      </w:tr>
    </w:tbl>
    <w:tbl>
      <w:tblPr>
        <w:tblW w:w="9391" w:type="dxa"/>
        <w:jc w:val="left"/>
        <w:tblInd w:w="0" w:type="dxa"/>
        <w:tblCellMar>
          <w:top w:w="28" w:type="dxa"/>
          <w:left w:w="28" w:type="dxa"/>
          <w:bottom w:w="28" w:type="dxa"/>
          <w:right w:w="28" w:type="dxa"/>
        </w:tblCellMar>
      </w:tblPr>
      <w:tblGrid>
        <w:gridCol w:w="9391"/>
      </w:tblGrid>
      <w:tr>
        <w:trPr/>
        <w:tc>
          <w:tcPr>
            <w:tcW w:w="9391"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4</w:t>
            </w:r>
          </w:p>
          <w:p>
            <w:pPr>
              <w:pStyle w:val="TableContents"/>
              <w:pBdr/>
              <w:spacing w:before="0" w:after="0"/>
              <w:ind w:left="0" w:right="30" w:hanging="0"/>
              <w:rPr>
                <w:rFonts w:ascii="Arial" w:hAnsi="Arial"/>
                <w:color w:val="000000"/>
                <w:sz w:val="20"/>
              </w:rPr>
            </w:pPr>
            <w:r>
              <w:rPr>
                <w:rFonts w:ascii="Arial" w:hAnsi="Arial"/>
                <w:color w:val="000000"/>
                <w:sz w:val="20"/>
              </w:rPr>
              <w:t xml:space="preserve">We maintain $1 million of term life insurance covering Dr. Schleifer payable to his designated beneficiary. </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5</w:t>
            </w:r>
          </w:p>
          <w:p>
            <w:pPr>
              <w:pStyle w:val="TableContents"/>
              <w:pBdr/>
              <w:spacing w:before="0" w:after="0"/>
              <w:ind w:left="0" w:right="30" w:hanging="0"/>
              <w:rPr>
                <w:rFonts w:ascii="Arial" w:hAnsi="Arial"/>
                <w:color w:val="000000"/>
                <w:sz w:val="20"/>
              </w:rPr>
            </w:pPr>
            <w:r>
              <w:rPr>
                <w:rFonts w:ascii="Arial" w:hAnsi="Arial"/>
                <w:color w:val="000000"/>
                <w:sz w:val="20"/>
              </w:rPr>
              <w:t xml:space="preserve">Equal to the sum of (a) the aggregate amount of the differences between the exercise prices of Dr. Schleifer’s accelerated stock options and the closing sales price per share of the Company’s common stock on the Nasdaq Global Select Market on December 30, 2022, the last business day of 2022, of $721.49 and (b) the value of 25,155 PSUs from his 2019 grant and 197,253 PSUs from his 2020 grant that would have been earned had the applicable vesting determination been made on December 31, 2022 in respect of performance for the period from the date of grant to December 31, 2022. In the case of the 2020 PSUs, this calculation assumes a change of control transaction price equal to the closing sales price per share of the Company’s common stock on the Nasdaq Global Select Market on December 30, 2022. </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6</w:t>
            </w:r>
          </w:p>
          <w:p>
            <w:pPr>
              <w:pStyle w:val="TableContents"/>
              <w:pBdr/>
              <w:spacing w:before="0" w:after="0"/>
              <w:ind w:left="0" w:right="30" w:hanging="0"/>
              <w:rPr>
                <w:rFonts w:ascii="Arial" w:hAnsi="Arial"/>
                <w:color w:val="000000"/>
                <w:sz w:val="20"/>
              </w:rPr>
            </w:pPr>
            <w:r>
              <w:rPr>
                <w:rFonts w:ascii="Arial" w:hAnsi="Arial"/>
                <w:color w:val="000000"/>
                <w:sz w:val="20"/>
              </w:rPr>
              <w:t>Under Dr. Schleifer’s employment agreement, if payments due in connection with a change of control are subject to excise taxes under Section 280G of the Internal Revenue Code, we will cut back the payments if the excise tax can be eliminated by reducing his cash severance payments and benefits by less than 10%. Otherwise, we will pay him an additional “gross up” amount so that his after-tax benefits are the same as though no excise tax had been applied. We have determined that Dr. Schleifer would not have been subject to excise taxes if he had been terminated on December 31, 2022 as a result of a change of control.</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7</w:t>
            </w:r>
          </w:p>
          <w:p>
            <w:pPr>
              <w:pStyle w:val="TableContents"/>
              <w:pBdr/>
              <w:spacing w:before="0" w:after="0"/>
              <w:ind w:left="0" w:right="30" w:hanging="0"/>
              <w:rPr>
                <w:rFonts w:ascii="Arial" w:hAnsi="Arial"/>
                <w:color w:val="000000"/>
                <w:sz w:val="20"/>
              </w:rPr>
            </w:pPr>
            <w:r>
              <w:rPr>
                <w:rFonts w:ascii="Arial" w:hAnsi="Arial"/>
                <w:color w:val="000000"/>
                <w:sz w:val="20"/>
              </w:rPr>
              <w:t xml:space="preserve">Equal to 1.25 times the sum of (a) Dr. Schleifer’s 2022 base salary and (b) the average annual cash incentive paid to Dr. Schleifer for performance in the three completed years prior to the termination date. For purposes of this calculation, we used Dr. Schleifer’s year-end cash incentive awards for performance in 2019, 2020, and 2021. </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8</w:t>
            </w:r>
          </w:p>
          <w:p>
            <w:pPr>
              <w:pStyle w:val="TableContents"/>
              <w:pBdr/>
              <w:spacing w:before="0" w:after="0"/>
              <w:ind w:left="0" w:right="30" w:hanging="0"/>
              <w:rPr>
                <w:rFonts w:ascii="Arial" w:hAnsi="Arial"/>
                <w:color w:val="000000"/>
                <w:sz w:val="20"/>
              </w:rPr>
            </w:pPr>
            <w:r>
              <w:rPr>
                <w:rFonts w:ascii="Arial" w:hAnsi="Arial"/>
                <w:color w:val="000000"/>
                <w:sz w:val="20"/>
              </w:rPr>
              <w:t>Equal to the estimated cost of providing Dr. Schleifer and his dependents medical, dental, and life insurance benefits for 18 months.</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9</w:t>
            </w:r>
          </w:p>
          <w:p>
            <w:pPr>
              <w:pStyle w:val="TableContents"/>
              <w:pBdr/>
              <w:spacing w:before="0" w:after="0"/>
              <w:ind w:left="0" w:right="30" w:hanging="0"/>
              <w:rPr>
                <w:rFonts w:ascii="Arial" w:hAnsi="Arial"/>
                <w:color w:val="000000"/>
                <w:sz w:val="20"/>
              </w:rPr>
            </w:pPr>
            <w:r>
              <w:rPr>
                <w:rFonts w:ascii="Arial" w:hAnsi="Arial"/>
                <w:color w:val="000000"/>
                <w:sz w:val="20"/>
              </w:rPr>
              <w:t>Equal to the value of 209,229 PSUs from Dr. Schleifer’s 2020 grant that would have been earned had a vesting determination been made on December 31, 2022 in respect of performance for the period from the date of grant to December 31, 2022 (and disregarding that PSUs not earned as of such termination date would have 12 additional months to be earned under the terms of the applicable award agreement). In addition, under such a scenario (i) all of Dr. Schleifer’s unvested stock options would continue to vest in accordance with the terms of the applicable award grant and he would be entitled to exercise all of his stock options throughout the remainder of their original term, and (ii) all of his unvested PSUs from the 2019 grant would remain outstanding (with vesting and forfeiture determined in the manner set forth in the applicable award agreement).</w:t>
            </w:r>
          </w:p>
        </w:tc>
      </w:tr>
    </w:tbl>
    <w:tbl>
      <w:tblPr>
        <w:tblW w:w="9781" w:type="dxa"/>
        <w:jc w:val="left"/>
        <w:tblInd w:w="0" w:type="dxa"/>
        <w:tblCellMar>
          <w:top w:w="28" w:type="dxa"/>
          <w:left w:w="28" w:type="dxa"/>
          <w:bottom w:w="28" w:type="dxa"/>
          <w:right w:w="28" w:type="dxa"/>
        </w:tblCellMar>
      </w:tblPr>
      <w:tblGrid>
        <w:gridCol w:w="9781"/>
      </w:tblGrid>
      <w:tr>
        <w:trPr/>
        <w:tc>
          <w:tcPr>
            <w:tcW w:w="9781"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10</w:t>
            </w:r>
          </w:p>
          <w:p>
            <w:pPr>
              <w:pStyle w:val="TableContents"/>
              <w:pBdr/>
              <w:spacing w:before="0" w:after="0"/>
              <w:ind w:left="0" w:right="30" w:hanging="0"/>
              <w:rPr>
                <w:rFonts w:ascii="Arial" w:hAnsi="Arial"/>
                <w:color w:val="000000"/>
                <w:sz w:val="20"/>
              </w:rPr>
            </w:pPr>
            <w:r>
              <w:rPr>
                <w:rFonts w:ascii="Arial" w:hAnsi="Arial"/>
                <w:color w:val="000000"/>
                <w:sz w:val="20"/>
              </w:rPr>
              <w:t>Equal to the estimated cost of providing Dr. Schleifer’s dependents medical and dental benefits for 18 months.</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11</w:t>
            </w:r>
          </w:p>
          <w:p>
            <w:pPr>
              <w:pStyle w:val="TableContents"/>
              <w:pBdr/>
              <w:spacing w:before="0" w:after="0"/>
              <w:ind w:left="0" w:right="30" w:hanging="0"/>
              <w:rPr>
                <w:rFonts w:ascii="Arial" w:hAnsi="Arial"/>
                <w:color w:val="000000"/>
                <w:sz w:val="20"/>
              </w:rPr>
            </w:pPr>
            <w:r>
              <w:rPr>
                <w:rFonts w:ascii="Arial" w:hAnsi="Arial"/>
                <w:color w:val="000000"/>
                <w:sz w:val="20"/>
              </w:rPr>
              <w:t>As discussed in “Compensation Dashboard—Additional Compensation Information—Potential Severance Payments,” unvested stock options held by any employee (including Dr. Schleifer) become immediately exercisable upon his or her death. The value of such accelerated stock options would have been $7,091,941. In addition, any PSUs held by Dr. Schleifer will remain outstanding upon his death, and any vesting or forfeiture of such PSUs will be determined following the completion of the applicable performance period as it otherwise would have been determined if he remained employed by the Company for the duration of such performance period.</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12</w:t>
            </w:r>
          </w:p>
          <w:p>
            <w:pPr>
              <w:pStyle w:val="TableContents"/>
              <w:pBdr/>
              <w:spacing w:before="0" w:after="0"/>
              <w:ind w:left="0" w:right="30" w:hanging="0"/>
              <w:rPr>
                <w:rFonts w:ascii="Arial" w:hAnsi="Arial"/>
                <w:color w:val="000000"/>
                <w:sz w:val="20"/>
              </w:rPr>
            </w:pPr>
            <w:r>
              <w:rPr>
                <w:rFonts w:ascii="Arial" w:hAnsi="Arial"/>
                <w:color w:val="000000"/>
                <w:sz w:val="20"/>
              </w:rPr>
              <w:t xml:space="preserve">Represents 35% of Dr. Schleifer’s 2022 salary over a period of 18 months. We have assumed long-term disability coverage exists pursuant to Dr. Schleifer’s employment agreement for the remaining 65% of Dr. Schleifer’s salary. </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13</w:t>
            </w:r>
          </w:p>
          <w:p>
            <w:pPr>
              <w:pStyle w:val="TableContents"/>
              <w:pBdr/>
              <w:spacing w:before="0" w:after="0"/>
              <w:ind w:left="0" w:right="30" w:hanging="0"/>
              <w:rPr>
                <w:rFonts w:ascii="Arial" w:hAnsi="Arial"/>
                <w:color w:val="000000"/>
                <w:sz w:val="20"/>
              </w:rPr>
            </w:pPr>
            <w:r>
              <w:rPr>
                <w:rFonts w:ascii="Arial" w:hAnsi="Arial"/>
                <w:color w:val="000000"/>
                <w:sz w:val="20"/>
              </w:rPr>
              <w:t>In the case of a termination of Dr. Schleifer’s employment due to disability, (i) all of his unvested stock options would continue to vest in accordance with the terms of the applicable award grant and he would be entitled to exercise the stock options throughout their original term, and (ii) any PSUs held by Dr. Schleifer would remain outstanding (with vesting and forfeiture determined in the manner set forth in the applicable award agreement).</w:t>
            </w:r>
          </w:p>
        </w:tc>
      </w:tr>
    </w:tbl>
    <w:p>
      <w:pPr>
        <w:pStyle w:val="TextBody"/>
        <w:pBdr/>
        <w:spacing w:before="0" w:after="150"/>
        <w:ind w:left="0" w:right="0" w:hanging="0"/>
        <w:rPr>
          <w:color w:val="245BA7"/>
        </w:rPr>
      </w:pPr>
      <w:r>
        <w:rPr>
          <w:color w:val="245BA7"/>
        </w:rPr>
        <w:t> </w:t>
      </w:r>
    </w:p>
    <w:p>
      <w:pPr>
        <w:pStyle w:val="Heading4"/>
        <w:pBdr/>
        <w:spacing w:before="0" w:after="150"/>
        <w:ind w:left="0" w:right="0" w:hanging="0"/>
        <w:rPr>
          <w:rFonts w:ascii="Arial" w:hAnsi="Arial"/>
          <w:b/>
          <w:i w:val="false"/>
          <w:caps w:val="false"/>
          <w:smallCaps w:val="false"/>
          <w:color w:val="245BA7"/>
          <w:sz w:val="24"/>
        </w:rPr>
      </w:pPr>
      <w:bookmarkStart w:id="156" w:name="new_id-147"/>
      <w:bookmarkEnd w:id="156"/>
      <w:r>
        <w:rPr>
          <w:rFonts w:ascii="Arial" w:hAnsi="Arial"/>
          <w:b/>
          <w:i w:val="false"/>
          <w:caps w:val="false"/>
          <w:smallCaps w:val="false"/>
          <w:color w:val="245BA7"/>
          <w:sz w:val="24"/>
        </w:rPr>
        <w:t xml:space="preserve">Change in Control Severance Plan </w:t>
      </w:r>
    </w:p>
    <w:p>
      <w:pPr>
        <w:pStyle w:val="TextBody"/>
        <w:pBdr/>
        <w:spacing w:before="0" w:after="210"/>
        <w:ind w:left="0" w:right="0" w:hanging="0"/>
        <w:rPr>
          <w:rFonts w:ascii="Arial" w:hAnsi="Arial"/>
          <w:color w:val="000000"/>
          <w:sz w:val="21"/>
        </w:rPr>
      </w:pPr>
      <w:r>
        <w:rPr>
          <w:rFonts w:ascii="Arial" w:hAnsi="Arial"/>
          <w:color w:val="000000"/>
          <w:sz w:val="21"/>
        </w:rPr>
        <w:t xml:space="preserve">Each of the NEOs, other than our CEO,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in control severance plan was amended and restated to bring it into compliance with Section 409A. </w:t>
      </w:r>
    </w:p>
    <w:p>
      <w:pPr>
        <w:pStyle w:val="TextBody"/>
        <w:pBdr/>
        <w:spacing w:before="0" w:after="0"/>
        <w:ind w:left="0" w:right="0" w:hanging="0"/>
        <w:rPr>
          <w:rFonts w:ascii="Arial" w:hAnsi="Arial"/>
          <w:color w:val="000000"/>
          <w:sz w:val="21"/>
        </w:rPr>
      </w:pPr>
      <w:r>
        <w:rPr>
          <w:rFonts w:ascii="Arial" w:hAnsi="Arial"/>
          <w:color w:val="000000"/>
          <w:sz w:val="21"/>
        </w:rPr>
        <w:t xml:space="preserve">Under the plan, each participant is entitled to receive a cash severance payment in an amount equal to one, or, in designated cases, including with respect to the NEOs other than Dr. Schleifer, two times the sum of the participant’s annual base salary and his or her average annual cash incentive over the prior three years if, within two years after or 180 days before a change in control, either the participant resigns his or her employment for Good Reason (as defined in the plan) or the participant’s employment is terminated by the Company for any reason other than Cause (as defined in the plan). This amount will be paid in a lump-sum severance payment. A participant so terminated is also entitled to receive a pro-rata annual cash incentive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89"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21" descr=""/>
                          <pic:cNvPicPr>
                            <a:picLocks noChangeAspect="1" noChangeArrowheads="1"/>
                          </pic:cNvPicPr>
                        </pic:nvPicPr>
                        <pic:blipFill>
                          <a:blip r:embed="rId222"/>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86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 xml:space="preserve">In the event that a plan participant resigns his or her employment for Good Reason (which generally conforms to the definition in Section 409A), or the participant’s employment is terminated by the Company for any reason other than Cause, in either case within two years after or 180 days before a change in control, then, unless otherwise provided in an award agreement,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30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 </w:t>
      </w:r>
    </w:p>
    <w:p>
      <w:pPr>
        <w:pStyle w:val="TextBody"/>
        <w:pBdr/>
        <w:spacing w:before="0" w:after="210"/>
        <w:ind w:left="0" w:right="0" w:hanging="0"/>
        <w:rPr>
          <w:rFonts w:ascii="Arial" w:hAnsi="Arial"/>
          <w:color w:val="000000"/>
          <w:sz w:val="21"/>
        </w:rPr>
      </w:pPr>
      <w:r>
        <w:rPr>
          <w:rFonts w:ascii="Arial" w:hAnsi="Arial"/>
          <w:color w:val="000000"/>
          <w:sz w:val="21"/>
        </w:rPr>
        <w:t xml:space="preserve">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 </w:t>
      </w:r>
    </w:p>
    <w:p>
      <w:pPr>
        <w:pStyle w:val="TextBody"/>
        <w:pBdr/>
        <w:spacing w:before="0" w:after="210"/>
        <w:ind w:left="0" w:right="0" w:hanging="0"/>
        <w:rPr>
          <w:rFonts w:ascii="Arial" w:hAnsi="Arial"/>
          <w:color w:val="000000"/>
          <w:sz w:val="21"/>
        </w:rPr>
      </w:pPr>
      <w:r>
        <w:rPr>
          <w:rFonts w:ascii="Arial" w:hAnsi="Arial"/>
          <w:color w:val="000000"/>
          <w:sz w:val="21"/>
        </w:rPr>
        <w:t xml:space="preserve">The following table shows the potential payments to our NEOs (other than our CEO), upon their hypothetical termination (other than for Cause) or resignation for Good Reason, in the two years following, or the 180 days prior to, a change in control. The information in the table below assumes an effective termination or resignation date of December 31, 2022 and is further based on the assumptions set forth in the footnotes to the table; actual values and amounts may differ from those presented below. </w:t>
      </w:r>
    </w:p>
    <w:p>
      <w:pPr>
        <w:pStyle w:val="Heading4"/>
        <w:pBdr/>
        <w:spacing w:before="0" w:after="150"/>
        <w:ind w:left="0" w:right="0" w:hanging="0"/>
        <w:rPr>
          <w:rFonts w:ascii="Arial" w:hAnsi="Arial"/>
          <w:b/>
          <w:i w:val="false"/>
          <w:caps w:val="false"/>
          <w:smallCaps w:val="false"/>
          <w:color w:val="D31B5D"/>
          <w:sz w:val="24"/>
        </w:rPr>
      </w:pPr>
      <w:bookmarkStart w:id="157" w:name="new_id-148"/>
      <w:bookmarkEnd w:id="157"/>
      <w:r>
        <w:rPr>
          <w:rFonts w:ascii="Arial" w:hAnsi="Arial"/>
          <w:b/>
          <w:i w:val="false"/>
          <w:caps w:val="false"/>
          <w:smallCaps w:val="false"/>
          <w:color w:val="D31B5D"/>
          <w:sz w:val="24"/>
        </w:rPr>
        <w:t xml:space="preserve">Potential Payments under Change in Control Severance Plan </w:t>
      </w:r>
    </w:p>
    <w:tbl>
      <w:tblPr>
        <w:tblW w:w="10205" w:type="dxa"/>
        <w:jc w:val="left"/>
        <w:tblInd w:w="0" w:type="dxa"/>
        <w:tblCellMar>
          <w:top w:w="0" w:type="dxa"/>
          <w:left w:w="0" w:type="dxa"/>
          <w:bottom w:w="75" w:type="dxa"/>
          <w:right w:w="0" w:type="dxa"/>
        </w:tblCellMar>
      </w:tblPr>
      <w:tblGrid>
        <w:gridCol w:w="2252"/>
        <w:gridCol w:w="1647"/>
        <w:gridCol w:w="1685"/>
        <w:gridCol w:w="1771"/>
        <w:gridCol w:w="1219"/>
        <w:gridCol w:w="1631"/>
      </w:tblGrid>
      <w:tr>
        <w:trPr/>
        <w:tc>
          <w:tcPr>
            <w:tcW w:w="2252" w:type="dxa"/>
            <w:tcBorders>
              <w:bottom w:val="single" w:sz="12" w:space="0" w:color="245AA7"/>
            </w:tcBorders>
            <w:shd w:fill="auto" w:val="clear"/>
            <w:vAlign w:val="center"/>
          </w:tcPr>
          <w:p>
            <w:pPr>
              <w:pStyle w:val="TableContents"/>
              <w:pBdr/>
              <w:spacing w:before="15" w:after="0"/>
              <w:ind w:left="15" w:right="15" w:hanging="0"/>
              <w:rPr>
                <w:color w:val="245BA7"/>
              </w:rPr>
            </w:pPr>
            <w:r>
              <w:rPr>
                <w:color w:val="245BA7"/>
              </w:rPr>
              <w:t> </w:t>
            </w:r>
          </w:p>
        </w:tc>
        <w:tc>
          <w:tcPr>
            <w:tcW w:w="1647" w:type="dxa"/>
            <w:tcBorders>
              <w:bottom w:val="single" w:sz="12" w:space="0" w:color="245A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Cash Severance</w:t>
            </w:r>
            <w:r>
              <w:rPr>
                <w:rFonts w:ascii="Arial" w:hAnsi="Arial"/>
                <w:b/>
                <w:color w:val="245BA7"/>
                <w:position w:val="6"/>
                <w:sz w:val="14"/>
                <w:sz w:val="18"/>
              </w:rPr>
              <w:t>1</w:t>
            </w:r>
            <w:r>
              <w:rPr>
                <w:rFonts w:ascii="Arial" w:hAnsi="Arial"/>
                <w:b/>
                <w:color w:val="245BA7"/>
                <w:sz w:val="18"/>
              </w:rPr>
              <w:t xml:space="preserve">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1685" w:type="dxa"/>
            <w:tcBorders>
              <w:bottom w:val="single" w:sz="12" w:space="0" w:color="245A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Benefits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Continuation</w:t>
            </w:r>
            <w:r>
              <w:rPr>
                <w:rFonts w:ascii="Arial" w:hAnsi="Arial"/>
                <w:b/>
                <w:color w:val="245BA7"/>
                <w:position w:val="6"/>
                <w:sz w:val="14"/>
                <w:sz w:val="18"/>
              </w:rPr>
              <w:t xml:space="preserve">2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1771" w:type="dxa"/>
            <w:tcBorders>
              <w:bottom w:val="single" w:sz="12" w:space="0" w:color="245A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Value of Accelerated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Stock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Options/RSAs/PSUs</w:t>
            </w:r>
            <w:r>
              <w:rPr>
                <w:rFonts w:ascii="Arial" w:hAnsi="Arial"/>
                <w:b/>
                <w:color w:val="245BA7"/>
                <w:position w:val="6"/>
                <w:sz w:val="14"/>
                <w:sz w:val="18"/>
              </w:rPr>
              <w:t xml:space="preserve">3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1219" w:type="dxa"/>
            <w:tcBorders>
              <w:bottom w:val="single" w:sz="12" w:space="0" w:color="245A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Cutback</w:t>
            </w:r>
            <w:r>
              <w:rPr>
                <w:rFonts w:ascii="Arial" w:hAnsi="Arial"/>
                <w:b/>
                <w:color w:val="245BA7"/>
                <w:position w:val="6"/>
                <w:sz w:val="14"/>
                <w:sz w:val="18"/>
              </w:rPr>
              <w:t xml:space="preserve">4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1631" w:type="dxa"/>
            <w:tcBorders>
              <w:bottom w:val="single" w:sz="12" w:space="0" w:color="245A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Total Amount</w:t>
            </w:r>
            <w:r>
              <w:rPr>
                <w:rFonts w:ascii="Arial" w:hAnsi="Arial"/>
                <w:b/>
                <w:color w:val="245BA7"/>
                <w:position w:val="6"/>
                <w:sz w:val="14"/>
                <w:sz w:val="18"/>
              </w:rPr>
              <w:t xml:space="preserve">5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r>
      <w:tr>
        <w:trPr/>
        <w:tc>
          <w:tcPr>
            <w:tcW w:w="2252"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 xml:space="preserve">George D. Yancopoulos, M.D., Ph.D. </w:t>
            </w:r>
          </w:p>
        </w:tc>
        <w:tc>
          <w:tcPr>
            <w:tcW w:w="1647"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 xml:space="preserve">10,046,313 </w:t>
            </w:r>
          </w:p>
        </w:tc>
        <w:tc>
          <w:tcPr>
            <w:tcW w:w="1685"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 xml:space="preserve">91,417 </w:t>
            </w:r>
          </w:p>
        </w:tc>
        <w:tc>
          <w:tcPr>
            <w:tcW w:w="177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167,557,088</w:t>
            </w:r>
          </w:p>
        </w:tc>
        <w:tc>
          <w:tcPr>
            <w:tcW w:w="1219"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w:t>
            </w:r>
          </w:p>
        </w:tc>
        <w:tc>
          <w:tcPr>
            <w:tcW w:w="163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 xml:space="preserve">177,694,818 </w:t>
            </w:r>
          </w:p>
        </w:tc>
      </w:tr>
      <w:tr>
        <w:trPr/>
        <w:tc>
          <w:tcPr>
            <w:tcW w:w="2252" w:type="dxa"/>
            <w:tcBorders>
              <w:top w:val="single" w:sz="2" w:space="0" w:color="F2F2F2"/>
              <w:left w:val="single" w:sz="2" w:space="0" w:color="F2F2F2"/>
              <w:bottom w:val="single" w:sz="2" w:space="0" w:color="575756"/>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 xml:space="preserve">Robert E. Landry </w:t>
            </w:r>
          </w:p>
        </w:tc>
        <w:tc>
          <w:tcPr>
            <w:tcW w:w="1647"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3,571,499</w:t>
            </w:r>
          </w:p>
        </w:tc>
        <w:tc>
          <w:tcPr>
            <w:tcW w:w="168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 xml:space="preserve">157,431 </w:t>
            </w:r>
          </w:p>
        </w:tc>
        <w:tc>
          <w:tcPr>
            <w:tcW w:w="177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25,319,238</w:t>
            </w:r>
          </w:p>
        </w:tc>
        <w:tc>
          <w:tcPr>
            <w:tcW w:w="1219"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w:t>
            </w:r>
          </w:p>
        </w:tc>
        <w:tc>
          <w:tcPr>
            <w:tcW w:w="163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29,048,168</w:t>
            </w:r>
          </w:p>
        </w:tc>
      </w:tr>
      <w:tr>
        <w:trPr/>
        <w:tc>
          <w:tcPr>
            <w:tcW w:w="2252"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color w:val="000000"/>
                <w:sz w:val="18"/>
              </w:rPr>
            </w:pPr>
            <w:r>
              <w:rPr>
                <w:rFonts w:ascii="Arial" w:hAnsi="Arial"/>
                <w:b/>
                <w:color w:val="D31B5D"/>
                <w:sz w:val="18"/>
              </w:rPr>
              <w:t>Daniel P. Van Plew</w:t>
            </w:r>
            <w:r>
              <w:rPr>
                <w:rFonts w:ascii="Arial" w:hAnsi="Arial"/>
                <w:color w:val="000000"/>
                <w:sz w:val="18"/>
              </w:rPr>
              <w:t xml:space="preserve"> </w:t>
            </w:r>
          </w:p>
        </w:tc>
        <w:tc>
          <w:tcPr>
            <w:tcW w:w="1647"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3,552,483</w:t>
            </w:r>
          </w:p>
        </w:tc>
        <w:tc>
          <w:tcPr>
            <w:tcW w:w="1685"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151,638</w:t>
            </w:r>
          </w:p>
        </w:tc>
        <w:tc>
          <w:tcPr>
            <w:tcW w:w="177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20,229,298</w:t>
            </w:r>
          </w:p>
        </w:tc>
        <w:tc>
          <w:tcPr>
            <w:tcW w:w="1219"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w:t>
            </w:r>
          </w:p>
        </w:tc>
        <w:tc>
          <w:tcPr>
            <w:tcW w:w="163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23,933,419</w:t>
            </w:r>
          </w:p>
        </w:tc>
      </w:tr>
      <w:tr>
        <w:trPr/>
        <w:tc>
          <w:tcPr>
            <w:tcW w:w="2252" w:type="dxa"/>
            <w:tcBorders>
              <w:top w:val="single" w:sz="2" w:space="0" w:color="F2F2F2"/>
              <w:left w:val="single" w:sz="2" w:space="0" w:color="F2F2F2"/>
              <w:bottom w:val="single" w:sz="2" w:space="0" w:color="575756"/>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Andrew J. Murphy, Ph.D.</w:t>
            </w:r>
          </w:p>
        </w:tc>
        <w:tc>
          <w:tcPr>
            <w:tcW w:w="1647"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3,082,373</w:t>
            </w:r>
          </w:p>
        </w:tc>
        <w:tc>
          <w:tcPr>
            <w:tcW w:w="168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104,698</w:t>
            </w:r>
          </w:p>
        </w:tc>
        <w:tc>
          <w:tcPr>
            <w:tcW w:w="177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36,993,315</w:t>
            </w:r>
          </w:p>
        </w:tc>
        <w:tc>
          <w:tcPr>
            <w:tcW w:w="1219"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w:t>
            </w:r>
          </w:p>
        </w:tc>
        <w:tc>
          <w:tcPr>
            <w:tcW w:w="163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40,180,386</w:t>
            </w:r>
          </w:p>
        </w:tc>
      </w:tr>
      <w:tr>
        <w:trPr/>
        <w:tc>
          <w:tcPr>
            <w:tcW w:w="2252" w:type="dxa"/>
            <w:tcBorders>
              <w:bottom w:val="single" w:sz="2" w:space="0" w:color="245BA7"/>
            </w:tcBorders>
            <w:shd w:fill="auto" w:val="clear"/>
            <w:tcMar>
              <w:bottom w:w="30" w:type="dxa"/>
            </w:tcMar>
            <w:vAlign w:val="center"/>
          </w:tcPr>
          <w:p>
            <w:pPr>
              <w:pStyle w:val="TableContents"/>
              <w:pBdr/>
              <w:spacing w:before="0" w:after="45"/>
              <w:ind w:left="15" w:right="0" w:hanging="0"/>
              <w:rPr>
                <w:rFonts w:ascii="Arial" w:hAnsi="Arial"/>
                <w:b/>
                <w:color w:val="D31B5D"/>
                <w:sz w:val="18"/>
              </w:rPr>
            </w:pPr>
            <w:r>
              <w:rPr>
                <w:rFonts w:ascii="Arial" w:hAnsi="Arial"/>
                <w:b/>
                <w:color w:val="D31B5D"/>
                <w:sz w:val="18"/>
              </w:rPr>
              <w:t>Marion McCourt</w:t>
            </w:r>
          </w:p>
        </w:tc>
        <w:tc>
          <w:tcPr>
            <w:tcW w:w="1647" w:type="dxa"/>
            <w:tcBorders>
              <w:bottom w:val="single" w:sz="2" w:space="0" w:color="245BA7"/>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2,801,941</w:t>
            </w:r>
          </w:p>
        </w:tc>
        <w:tc>
          <w:tcPr>
            <w:tcW w:w="1685" w:type="dxa"/>
            <w:tcBorders>
              <w:bottom w:val="single" w:sz="2" w:space="0" w:color="245BA7"/>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57,325</w:t>
            </w:r>
          </w:p>
        </w:tc>
        <w:tc>
          <w:tcPr>
            <w:tcW w:w="1771" w:type="dxa"/>
            <w:tcBorders>
              <w:bottom w:val="single" w:sz="2" w:space="0" w:color="245BA7"/>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20,811,812</w:t>
            </w:r>
          </w:p>
        </w:tc>
        <w:tc>
          <w:tcPr>
            <w:tcW w:w="1219" w:type="dxa"/>
            <w:tcBorders>
              <w:bottom w:val="single" w:sz="2" w:space="0" w:color="245BA7"/>
            </w:tcBorders>
            <w:shd w:fill="auto" w:val="clear"/>
            <w:tcMar>
              <w:bottom w:w="45" w:type="dxa"/>
            </w:tcMar>
            <w:vAlign w:val="center"/>
          </w:tcPr>
          <w:p>
            <w:pPr>
              <w:pStyle w:val="TableContents"/>
              <w:pBdr/>
              <w:spacing w:before="0" w:after="45"/>
              <w:ind w:left="15" w:right="15" w:hanging="0"/>
              <w:jc w:val="right"/>
              <w:rPr>
                <w:color w:val="000000"/>
              </w:rPr>
            </w:pPr>
            <w:r>
              <w:rPr>
                <w:color w:val="000000"/>
              </w:rPr>
              <w:t>—</w:t>
            </w:r>
          </w:p>
        </w:tc>
        <w:tc>
          <w:tcPr>
            <w:tcW w:w="1631" w:type="dxa"/>
            <w:tcBorders>
              <w:bottom w:val="single" w:sz="2" w:space="0" w:color="245BA7"/>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23,671,078</w:t>
            </w:r>
          </w:p>
        </w:tc>
      </w:tr>
      <w:tr>
        <w:trPr/>
        <w:tc>
          <w:tcPr>
            <w:tcW w:w="10205" w:type="dxa"/>
            <w:gridSpan w:val="6"/>
            <w:tcBorders/>
            <w:shd w:fill="auto" w:val="clear"/>
            <w:tcMar>
              <w:top w:w="28" w:type="dxa"/>
              <w:left w:w="28" w:type="dxa"/>
              <w:bottom w:w="28" w:type="dxa"/>
              <w:right w:w="28" w:type="dxa"/>
            </w:tcMar>
            <w:vAlign w:val="center"/>
          </w:tcPr>
          <w:p>
            <w:pPr>
              <w:pStyle w:val="TableContents"/>
              <w:spacing w:before="0" w:after="0"/>
              <w:ind w:left="0" w:right="30" w:hanging="0"/>
              <w:rPr>
                <w:rFonts w:ascii="Arial" w:hAnsi="Arial"/>
                <w:color w:val="245BA7"/>
                <w:sz w:val="20"/>
              </w:rPr>
            </w:pPr>
            <w:r>
              <w:rPr>
                <w:rFonts w:ascii="Arial" w:hAnsi="Arial"/>
                <w:color w:val="245BA7"/>
                <w:sz w:val="20"/>
              </w:rPr>
              <w:t>1</w:t>
            </w:r>
          </w:p>
          <w:p>
            <w:pPr>
              <w:pStyle w:val="TableContents"/>
              <w:pBdr/>
              <w:spacing w:before="0" w:after="0"/>
              <w:ind w:left="0" w:right="30" w:hanging="0"/>
              <w:rPr>
                <w:rFonts w:ascii="Arial" w:hAnsi="Arial"/>
                <w:color w:val="000000"/>
                <w:sz w:val="20"/>
              </w:rPr>
            </w:pPr>
            <w:r>
              <w:rPr>
                <w:rFonts w:ascii="Arial" w:hAnsi="Arial"/>
                <w:color w:val="000000"/>
                <w:sz w:val="20"/>
              </w:rPr>
              <w:t xml:space="preserve">Equal to two times the sum of (a) the NEO’s 2022 base salary and (b) the average annual cash incentives paid to the NEO over the prior three years. </w:t>
            </w:r>
          </w:p>
          <w:p>
            <w:pPr>
              <w:pStyle w:val="TableContents"/>
              <w:spacing w:before="0" w:after="0"/>
              <w:ind w:left="0" w:right="30" w:hanging="0"/>
              <w:rPr>
                <w:rFonts w:ascii="Arial" w:hAnsi="Arial"/>
                <w:color w:val="245BA7"/>
                <w:sz w:val="20"/>
              </w:rPr>
            </w:pPr>
            <w:r>
              <w:rPr>
                <w:rFonts w:ascii="Arial" w:hAnsi="Arial"/>
                <w:color w:val="245BA7"/>
                <w:sz w:val="20"/>
              </w:rPr>
              <w:t>2</w:t>
            </w:r>
          </w:p>
          <w:p>
            <w:pPr>
              <w:pStyle w:val="TableContents"/>
              <w:pBdr/>
              <w:spacing w:before="0" w:after="0"/>
              <w:ind w:left="0" w:right="30" w:hanging="0"/>
              <w:rPr>
                <w:rFonts w:ascii="Arial" w:hAnsi="Arial"/>
                <w:color w:val="000000"/>
                <w:sz w:val="20"/>
              </w:rPr>
            </w:pPr>
            <w:r>
              <w:rPr>
                <w:rFonts w:ascii="Arial" w:hAnsi="Arial"/>
                <w:color w:val="000000"/>
                <w:sz w:val="20"/>
              </w:rPr>
              <w:t xml:space="preserve">Equal to the estimated cost of providing each NEO and his dependents medical, dental, vision, disability, and life insurance coverage for 24 months, plus the estimated cost of providing each NEO tax and financial planning advisory services for 24 months. </w:t>
            </w:r>
          </w:p>
          <w:p>
            <w:pPr>
              <w:pStyle w:val="TableContents"/>
              <w:spacing w:before="0" w:after="0"/>
              <w:ind w:left="0" w:right="30" w:hanging="0"/>
              <w:rPr>
                <w:rFonts w:ascii="Arial" w:hAnsi="Arial"/>
                <w:color w:val="245BA7"/>
                <w:sz w:val="20"/>
              </w:rPr>
            </w:pPr>
            <w:r>
              <w:rPr>
                <w:rFonts w:ascii="Arial" w:hAnsi="Arial"/>
                <w:color w:val="245BA7"/>
                <w:sz w:val="20"/>
              </w:rPr>
              <w:t>3</w:t>
            </w:r>
          </w:p>
          <w:p>
            <w:pPr>
              <w:pStyle w:val="TableContents"/>
              <w:pBdr/>
              <w:spacing w:before="0" w:after="0"/>
              <w:ind w:left="0" w:right="30" w:hanging="0"/>
              <w:rPr>
                <w:rFonts w:ascii="Arial" w:hAnsi="Arial"/>
                <w:color w:val="000000"/>
                <w:sz w:val="20"/>
              </w:rPr>
            </w:pPr>
            <w:r>
              <w:rPr>
                <w:rFonts w:ascii="Arial" w:hAnsi="Arial"/>
                <w:color w:val="000000"/>
                <w:sz w:val="20"/>
              </w:rPr>
              <w:t>For stock options, equal to the aggregate amount of the differences between the exercise prices of each NEO’s accelerated “in-the-money” stock options and the closing sales price per share of the Company’s common stock on the Nasdaq Global Select Market on December 30, 2022, of $721.49. In the case of Messrs. Landry and Van Plew, Dr. Murphy, and Ms. McCourt, the amounts also include the value as of December 30, 2022 of accelerated RSAs. In the case of Dr. Yancopoulos, the amount includes the value of 25,155 PSUs from his 2019 grant and 197,253 PSUs from his 2020 grant that would have been earned had the applicable vesting determination been made on December 31, 2022 in respect of performance for the period from the date of grant to December 31, 2022. In the case of the 2020 PSUs, this calculation assumes a change of control transaction price equal to the closing sales price per share of the Company’s common stock on the Nasdaq Global Select Market on December 30, 2022.</w:t>
            </w:r>
          </w:p>
          <w:p>
            <w:pPr>
              <w:pStyle w:val="TableContents"/>
              <w:spacing w:before="0" w:after="0"/>
              <w:ind w:left="0" w:right="30" w:hanging="0"/>
              <w:rPr>
                <w:rFonts w:ascii="Arial" w:hAnsi="Arial"/>
                <w:color w:val="245BA7"/>
                <w:sz w:val="20"/>
              </w:rPr>
            </w:pPr>
            <w:r>
              <w:rPr>
                <w:rFonts w:ascii="Arial" w:hAnsi="Arial"/>
                <w:color w:val="245BA7"/>
                <w:sz w:val="20"/>
              </w:rPr>
              <w:t>4</w:t>
            </w:r>
          </w:p>
          <w:p>
            <w:pPr>
              <w:pStyle w:val="TableContents"/>
              <w:pBdr/>
              <w:spacing w:before="0" w:after="0"/>
              <w:ind w:left="0" w:right="30" w:hanging="0"/>
              <w:rPr>
                <w:rFonts w:ascii="Arial" w:hAnsi="Arial"/>
                <w:color w:val="000000"/>
                <w:sz w:val="20"/>
              </w:rPr>
            </w:pPr>
            <w:r>
              <w:rPr>
                <w:rFonts w:ascii="Arial" w:hAnsi="Arial"/>
                <w:color w:val="000000"/>
                <w:sz w:val="20"/>
              </w:rPr>
              <w:t>We have determined (using the assumptions outlined in footnote 5) that none of the NEOs listed in the table above would have been subject to any cutbacks or excise taxes if terminated on December 31, 2022.</w:t>
            </w:r>
          </w:p>
          <w:p>
            <w:pPr>
              <w:pStyle w:val="TableContents"/>
              <w:spacing w:before="0" w:after="0"/>
              <w:ind w:left="0" w:right="30" w:hanging="0"/>
              <w:rPr>
                <w:rFonts w:ascii="Arial" w:hAnsi="Arial"/>
                <w:color w:val="245BA7"/>
                <w:sz w:val="20"/>
              </w:rPr>
            </w:pPr>
            <w:r>
              <w:rPr>
                <w:rFonts w:ascii="Arial" w:hAnsi="Arial"/>
                <w:color w:val="245BA7"/>
                <w:sz w:val="20"/>
              </w:rPr>
              <w:t>5</w:t>
            </w:r>
          </w:p>
          <w:p>
            <w:pPr>
              <w:pStyle w:val="TableContents"/>
              <w:pBdr/>
              <w:spacing w:before="0" w:after="0"/>
              <w:ind w:left="0" w:right="30" w:hanging="0"/>
              <w:rPr>
                <w:rFonts w:ascii="Arial" w:hAnsi="Arial"/>
                <w:color w:val="000000"/>
                <w:sz w:val="20"/>
              </w:rPr>
            </w:pPr>
            <w:r>
              <w:rPr>
                <w:rFonts w:ascii="Arial" w:hAnsi="Arial"/>
                <w:color w:val="000000"/>
                <w:sz w:val="20"/>
              </w:rPr>
              <w:t xml:space="preserve">For purposes of these calculations, (i) we used base salaries as of December 31, 2022, and annual cash incentives paid to the NEOs for performance in 2019, 2020, and 2021, respectively; (ii) we assumed that each NEO received his annual cash incentive that was earned in 2022 and paid in 2023 (described in the Summary Compensation Table above); (iii) we took into consideration, for purposes of determining whether each NEO was subject to a reduction under the terms of the change in control severance plan, the fact that each NEO’s equity awards may vest in full or in part following a change in control (parachute payments for time vesting stock options and restricted stock were valued using Internal Revenue Code Treas. Reg. Section 1.28G-1 Q&amp;A 24(c)); (iv) we assumed a 6.7% annual increase in medical premiums, 4% annual increase in dental and vision premiums, and no increase in disability or life insurance premiums or employer cost of tax and financial planning advisory services for 2023 and 2024; (v) we assumed that the medical insurance benefits received in 2023 and 2024 would be taxable and that the NEOs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for purposes of assessing excise tax liabilities and potential cutbacks; and (vii) although certain payments to the NEOs would be subject to potential delays upon separation of service under Section 409A, we did not attempt to determine which, if any, payments would be delayed or revise the values to reflect any such delay.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90"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22" descr=""/>
                          <pic:cNvPicPr>
                            <a:picLocks noChangeAspect="1" noChangeArrowheads="1"/>
                          </pic:cNvPicPr>
                        </pic:nvPicPr>
                        <pic:blipFill>
                          <a:blip r:embed="rId223"/>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87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2"/>
        <w:pBdr/>
        <w:spacing w:before="0" w:after="195"/>
        <w:ind w:left="0" w:right="0" w:hanging="0"/>
        <w:rPr>
          <w:rFonts w:ascii="Arial" w:hAnsi="Arial"/>
          <w:b/>
          <w:i w:val="false"/>
          <w:caps w:val="false"/>
          <w:smallCaps w:val="false"/>
          <w:color w:val="245BA7"/>
          <w:sz w:val="47"/>
        </w:rPr>
      </w:pPr>
      <w:bookmarkStart w:id="158" w:name="new_id-149"/>
      <w:bookmarkEnd w:id="158"/>
      <w:r>
        <w:rPr>
          <w:rFonts w:ascii="Arial" w:hAnsi="Arial"/>
          <w:b/>
          <w:i w:val="false"/>
          <w:caps w:val="false"/>
          <w:smallCaps w:val="false"/>
          <w:color w:val="245BA7"/>
          <w:sz w:val="47"/>
        </w:rPr>
        <w:t xml:space="preserve">ADDITIONAL COMPENSATION INFORMATION </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59" w:name="new_id-150"/>
      <w:bookmarkEnd w:id="159"/>
      <w:r>
        <w:rPr>
          <w:rFonts w:ascii="Arial" w:hAnsi="Arial"/>
          <w:b/>
          <w:i w:val="false"/>
          <w:caps w:val="false"/>
          <w:smallCaps w:val="false"/>
          <w:color w:val="D31B5D"/>
          <w:sz w:val="30"/>
          <w:bdr w:val="single" w:sz="12" w:space="2" w:color="245BA7"/>
        </w:rPr>
        <w:t xml:space="preserve">ANNUAL CASH INCENTIVES </w:t>
      </w:r>
    </w:p>
    <w:p>
      <w:pPr>
        <w:pStyle w:val="TextBody"/>
        <w:pBdr/>
        <w:spacing w:before="0" w:after="210"/>
        <w:ind w:left="0" w:right="0" w:hanging="0"/>
        <w:rPr>
          <w:rFonts w:ascii="Arial" w:hAnsi="Arial"/>
          <w:color w:val="000000"/>
          <w:sz w:val="21"/>
        </w:rPr>
      </w:pPr>
      <w:r>
        <w:rPr>
          <w:rFonts w:ascii="Arial" w:hAnsi="Arial"/>
          <w:color w:val="000000"/>
          <w:sz w:val="21"/>
        </w:rPr>
        <w:t>In 2016, we adopted our Cash Incentive Bonus Plan for purposes of allowing our annual cash incentives to qualify as performance-based compensation under Section 162(m) of the Internal Revenue Code and permitting us to deduct cash incentive compensation that might otherwise not be deductible by reason of Section 162(m) (as then in effect). Although the Tax Cuts and Jobs Act eliminated the performance-based compensation exception for compensation paid in 2018 and beyond (as discussed under “Compensation Processes—Tax Implications” above), we have continued to use the Cash Incentive Bonus Plan for annual cash incentives because we believe it furthers our compensation philosophy and objectives regardless of tax treatment. For 2022 annual cash incentives for the NEOs, in March 2022 the Compensation Committee set up a cash incentive pool under the Cash Incentive Bonus Plan; specified maximum allocations of such pool to the NEOs and certain other senior executives; and established a R&amp;D-related performance goal consisting of (i) the submission of one or more Investigational New Drug Applications, Biologics License Applications, or supplemental Biologics License Applications with the FDA (or its equivalent outside the United States) or (ii) the approval of any regulatory filing of the type described in clause (i) by the FDA or the applicable regulatory authority outside the United States. In November 2022, the Compensation Committee determined that Regeneron’s performance in 2022 exceeded the established goal, thus enabling the funding of the cash incentive pool. The Compensation Committee then exercised “negative discretion” (as permitted under the Plan) to reduce the respective allocations of such pool for each NEO. In exercising negative discretion for the NEOs, the Compensation Committee determined that their annual cash incentives should be set consistent with the Company’s historical practice of using a formula that utilizes their respective cash incentive targets, a corporate performance component, and, if applicable, an individual performance component, as described below.</w:t>
      </w:r>
    </w:p>
    <w:p>
      <w:pPr>
        <w:pStyle w:val="TextBody"/>
        <w:pBdr/>
        <w:spacing w:before="0" w:after="210"/>
        <w:ind w:left="0" w:right="0" w:hanging="0"/>
        <w:rPr>
          <w:rFonts w:ascii="Arial" w:hAnsi="Arial"/>
          <w:color w:val="000000"/>
          <w:sz w:val="21"/>
        </w:rPr>
      </w:pPr>
      <w:r>
        <w:rPr>
          <w:rFonts w:ascii="Arial" w:hAnsi="Arial"/>
          <w:color w:val="000000"/>
          <w:sz w:val="21"/>
        </w:rPr>
        <w:t>The targets for the 2022 annual cash incentives for the NEOs were set as percentages of their respective base salaries as follows: Dr. Schleifer—120%; Dr. Yancopoulos—120%; Mr. Landry—65%; Mr. Van Plew—65%; Dr. Murphy—65%; and Ms. McCourt—65%.</w:t>
      </w:r>
    </w:p>
    <w:p>
      <w:pPr>
        <w:pStyle w:val="TextBody"/>
        <w:pBdr/>
        <w:spacing w:before="0" w:after="210"/>
        <w:ind w:left="0" w:right="0" w:hanging="0"/>
        <w:rPr>
          <w:rFonts w:ascii="Arial" w:hAnsi="Arial"/>
          <w:color w:val="000000"/>
          <w:sz w:val="21"/>
        </w:rPr>
      </w:pPr>
      <w:r>
        <w:rPr>
          <w:rFonts w:ascii="Arial" w:hAnsi="Arial"/>
          <w:color w:val="000000"/>
          <w:sz w:val="21"/>
        </w:rPr>
        <w:t>For 2022, Dr. Schleifer’s cash incentive target was set approximately at the median of the Peer Group.  In determining the cash incentive target for Dr. Yancopoulos, the Compensation Committee took into consideration the importance of his scientific leadership as President &amp; CSO and the significant contributions he has made to the success of the Company and, specifically, to the discovery and development of the Company’s commercial products, its pipeline of internally developed product candidates, and its platform technologies. The Compensation Committee determined that there were no meaningful comparative data for Dr. Yancopoulos relating to similarly situated executives and that his cash incentive target for 2022 would be set to equal Dr. Schleifer’s.  In determining the cash incentive targets for 2022 for Messrs. Landry and Van Plew, Dr. Murphy, and Ms. McCourt, the Compensation Committee took into consideration the compensation of similarly situated executive officers at companies in the Peer Group. </w:t>
      </w:r>
    </w:p>
    <w:p>
      <w:pPr>
        <w:pStyle w:val="TextBody"/>
        <w:pBdr/>
        <w:spacing w:before="0" w:after="210"/>
        <w:ind w:left="0" w:right="0" w:hanging="0"/>
        <w:rPr>
          <w:rFonts w:ascii="Arial" w:hAnsi="Arial"/>
          <w:color w:val="000000"/>
          <w:sz w:val="21"/>
        </w:rPr>
      </w:pPr>
      <w:r>
        <w:rPr>
          <w:rFonts w:ascii="Arial" w:hAnsi="Arial"/>
          <w:color w:val="000000"/>
          <w:sz w:val="21"/>
        </w:rPr>
        <w:t>The cash incentives were determined through the use of both an individual and a Company performance component with a range of 0 to 1.5 for the personal performance multiplier and a range of 0 to 2.0 for the Company performance multiplier, depending upon performance during the year. Both the personal performance multiplier and the Company performance multiplier were determined by the Compensation Committee for each NEO based on the Committee’s assessment of the Company’s performance relative to the general corporate goals described below and, in the case of each of Messrs. Landry and Van Plew, Dr. Murphy, and Ms. McCourt, the NEO’s personal performance during the year.</w:t>
      </w:r>
    </w:p>
    <w:p>
      <w:pPr>
        <w:pStyle w:val="TextBody"/>
        <w:pBdr/>
        <w:spacing w:before="0" w:after="210"/>
        <w:ind w:left="0" w:right="0" w:hanging="0"/>
        <w:rPr>
          <w:rFonts w:ascii="Arial" w:hAnsi="Arial"/>
          <w:color w:val="000000"/>
          <w:sz w:val="21"/>
        </w:rPr>
      </w:pPr>
      <w:r>
        <w:rPr>
          <w:rFonts w:ascii="Arial" w:hAnsi="Arial"/>
          <w:color w:val="000000"/>
          <w:sz w:val="21"/>
        </w:rPr>
        <w:t xml:space="preserve">With respect to 2022, the Compensation Committee approved a personal performance multiplier of 1.5 for each of Messrs. Landry and Van Plew and Dr. Murphy and a personal performance multiplier of 1.4 for Ms. McCourt. The personal performance component accounted for 40% of these NEOs’ cash incentives. The Company component was based on a Company performance multiplier that was determined based on the Company’s overall corporate performance (as described below) in 2022, including against 2022 milestone goals that were presented to the board of directors in January 2022. This Company performance component accounted for 60% of the cash incentives awarded to Messrs. Landry and Van Plew, Dr. Murphy, and Ms. McCourt. In the case of Drs. Schleifer and Yancopoulos, the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91"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23" descr=""/>
                          <pic:cNvPicPr>
                            <a:picLocks noChangeAspect="1" noChangeArrowheads="1"/>
                          </pic:cNvPicPr>
                        </pic:nvPicPr>
                        <pic:blipFill>
                          <a:blip r:embed="rId224"/>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88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Compensation Committee focused exclusively on overall Company performance in 2022 (as described above) when determining their cash incentives and did not utilize a personal performance multiplier.</w:t>
      </w:r>
    </w:p>
    <w:p>
      <w:pPr>
        <w:pStyle w:val="TextBody"/>
        <w:pBdr/>
        <w:spacing w:before="0" w:after="210"/>
        <w:ind w:left="0" w:right="0" w:hanging="0"/>
        <w:rPr>
          <w:rFonts w:ascii="Arial" w:hAnsi="Arial"/>
          <w:color w:val="000000"/>
          <w:sz w:val="21"/>
        </w:rPr>
      </w:pPr>
      <w:r>
        <w:rPr>
          <w:rFonts w:ascii="Arial" w:hAnsi="Arial"/>
          <w:color w:val="000000"/>
          <w:sz w:val="21"/>
        </w:rPr>
        <w:t>In determining the annual cash incentive for Mr. Landry, the Compensation Committee gave special consideration to Mr. Landry’s leadership of and accomplishments in the Company’s accounting, finance, and tax functions and across his other responsibilities, including the successful execution of the Company’s capital allocation priorities in 2022 through investment in R&amp;D capabilities, pursuit and funding of business development opportunities, and the return of cash to our shareholders through share buybacks. In the case of Mr. Van Plew, the Compensation Committee focused primarily on Mr. Van Plew’s leadership of and accomplishments in the Company’s Industrial Operations and Product Supply organization, including efforts to rebuild bulk and finished goods inventory (following the drawdown of safety stock levels for certain of our products resulting from resource reallocation to the production of our COVID-19 monoclonal antibodies); preparations for new product launches and expanded manufacturing capacity; and continued progress toward completing fill/finish facilities. In the case of Dr. Murphy, the Compensation Committee considered the progress and continued expansion of the Company’s research and preclinical development pipeline. In the case of Ms. McCourt, the Compensation Committee considered her leadership of and performance across the portfolio of the Company’s commercialized products, including continued growth in net product sales and market share of EYLEA, Dupixent, and Libtayo (including record net product sales of one or more of these products in the applicable quarterly periods of 2022); the successful launch of three new indications for Dupixent in the United States; and the acquisition of global rights to Libtayo.</w:t>
      </w:r>
    </w:p>
    <w:p>
      <w:pPr>
        <w:pStyle w:val="TextBody"/>
        <w:pBdr/>
        <w:spacing w:before="0" w:after="210"/>
        <w:ind w:left="0" w:right="0" w:hanging="0"/>
        <w:rPr>
          <w:rFonts w:ascii="Arial" w:hAnsi="Arial"/>
          <w:color w:val="000000"/>
          <w:sz w:val="21"/>
        </w:rPr>
      </w:pPr>
      <w:r>
        <w:rPr>
          <w:rFonts w:ascii="Arial" w:hAnsi="Arial"/>
          <w:color w:val="000000"/>
          <w:sz w:val="21"/>
        </w:rPr>
        <w:t>With respect to 2022, the Compensation Committee set the Company performance multiplier at 1.9. For a discussion of the process by which the Compensation Committee determined the Company performance multiplier in 2022, see the subsection “Compensation Discussion and Analysis—Components of Executive Pay: What We Pay and Why We Pay It—Annual Cash Incentives.” As part of its holistic assessment of Company performance in 2022, the Committee considered the achievements and relevant developments described below in the following three categories: (1) our product pipeline and development for both the near- and long-term; (2) our financial performance and operations; and (3) our talent, culture, and corporate responsibility. The factors analyzed under category (1) continued to be a key measure for the Compensation Committee’s assessment and calculating the Company performance multiplier. This recognizes the importance of innovation as a key component of the Company’s business strategy and valuation, as well as the critical role of the development pipeline in the Company’s long-term success.</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92"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24" descr=""/>
                          <pic:cNvPicPr>
                            <a:picLocks noChangeAspect="1" noChangeArrowheads="1"/>
                          </pic:cNvPicPr>
                        </pic:nvPicPr>
                        <pic:blipFill>
                          <a:blip r:embed="rId225"/>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89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135" w:type="dxa"/>
          <w:left w:w="28" w:type="dxa"/>
          <w:bottom w:w="135" w:type="dxa"/>
          <w:right w:w="28" w:type="dxa"/>
        </w:tblCellMar>
      </w:tblPr>
      <w:tblGrid>
        <w:gridCol w:w="3583"/>
        <w:gridCol w:w="2577"/>
        <w:gridCol w:w="4045"/>
      </w:tblGrid>
      <w:tr>
        <w:trPr/>
        <w:tc>
          <w:tcPr>
            <w:tcW w:w="10205" w:type="dxa"/>
            <w:gridSpan w:val="3"/>
            <w:tcBorders>
              <w:top w:val="single" w:sz="2" w:space="0" w:color="D31B5D"/>
              <w:left w:val="single" w:sz="2" w:space="0" w:color="D31B5D"/>
              <w:bottom w:val="single" w:sz="2" w:space="0" w:color="D31B5D"/>
              <w:right w:val="single" w:sz="2" w:space="0" w:color="D31B5D"/>
            </w:tcBorders>
            <w:shd w:fill="D31B5D" w:val="clear"/>
            <w:vAlign w:val="center"/>
          </w:tcPr>
          <w:p>
            <w:pPr>
              <w:pStyle w:val="TableContents"/>
              <w:pBdr/>
              <w:spacing w:before="0" w:after="0"/>
              <w:ind w:left="75" w:right="0" w:hanging="0"/>
              <w:rPr>
                <w:rFonts w:ascii="Arial;Helvetica;Sans-Serif" w:hAnsi="Arial;Helvetica;Sans-Serif"/>
                <w:b/>
                <w:color w:val="FFFFFF"/>
                <w:sz w:val="24"/>
              </w:rPr>
            </w:pPr>
            <w:r>
              <w:rPr>
                <w:rFonts w:ascii="Arial;Helvetica;Sans-Serif" w:hAnsi="Arial;Helvetica;Sans-Serif"/>
                <w:b/>
                <w:color w:val="FFFFFF"/>
                <w:sz w:val="24"/>
              </w:rPr>
              <w:t>(1) PRODUCT PIPELINE AND DEVELOPMENT (PRIMARY FACTORS)</w:t>
            </w:r>
          </w:p>
        </w:tc>
      </w:tr>
      <w:tr>
        <w:trPr/>
        <w:tc>
          <w:tcPr>
            <w:tcW w:w="10205" w:type="dxa"/>
            <w:gridSpan w:val="3"/>
            <w:tcBorders>
              <w:top w:val="single" w:sz="2" w:space="0" w:color="BCE4FA"/>
              <w:left w:val="single" w:sz="2" w:space="0" w:color="BCE4FA"/>
              <w:bottom w:val="single" w:sz="2" w:space="0" w:color="BCE4FA"/>
              <w:right w:val="single" w:sz="2" w:space="0" w:color="BCE4FA"/>
            </w:tcBorders>
            <w:shd w:fill="BCE4FA" w:val="clear"/>
            <w:tcMar>
              <w:top w:w="28" w:type="dxa"/>
              <w:bottom w:w="75" w:type="dxa"/>
            </w:tcMar>
            <w:vAlign w:val="center"/>
          </w:tcPr>
          <w:p>
            <w:pPr>
              <w:pStyle w:val="TableContents"/>
              <w:pBdr/>
              <w:spacing w:before="105" w:after="15"/>
              <w:ind w:left="75" w:right="75" w:hanging="0"/>
              <w:rPr>
                <w:color w:val="245BA7"/>
              </w:rPr>
            </w:pPr>
            <w:r>
              <w:rPr>
                <w:color w:val="245BA7"/>
              </w:rPr>
              <w:t> </w:t>
            </w:r>
            <w:r>
              <w:rPr>
                <w:rFonts w:ascii="Arial" w:hAnsi="Arial"/>
                <w:b/>
                <w:color w:val="245BA7"/>
                <w:sz w:val="20"/>
              </w:rPr>
              <w:t>Regulatory &amp; Clinical Milestones; Commercial Support</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Approval of new products or indications by the FDA or applicable regulatory authorities outside the United States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Regulatory submissions for new products and new indications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Breakthrough Therapy or orphan drug designations by the FDA (or its equivalent outside the United States)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Data readouts and key publications from potentially pivotal/registrational studies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Initiation of new Phase 3 or Phase 2 studies</w:t>
            </w:r>
          </w:p>
        </w:tc>
      </w:tr>
      <w:tr>
        <w:trPr/>
        <w:tc>
          <w:tcPr>
            <w:tcW w:w="10205" w:type="dxa"/>
            <w:gridSpan w:val="3"/>
            <w:tcBorders>
              <w:top w:val="single" w:sz="2" w:space="0" w:color="EAF6FE"/>
              <w:left w:val="single" w:sz="2" w:space="0" w:color="EAF6FE"/>
              <w:bottom w:val="single" w:sz="2" w:space="0" w:color="EAF6FE"/>
              <w:right w:val="single" w:sz="2" w:space="0" w:color="EAF6FE"/>
            </w:tcBorders>
            <w:shd w:fill="EAF6FE" w:val="clear"/>
            <w:tcMar>
              <w:top w:w="28" w:type="dxa"/>
              <w:bottom w:w="75" w:type="dxa"/>
            </w:tcMar>
            <w:vAlign w:val="center"/>
          </w:tcPr>
          <w:p>
            <w:pPr>
              <w:pStyle w:val="TableContents"/>
              <w:pBdr/>
              <w:spacing w:before="105" w:after="15"/>
              <w:ind w:left="75" w:right="75" w:hanging="0"/>
              <w:rPr>
                <w:color w:val="000000"/>
              </w:rPr>
            </w:pPr>
            <w:r>
              <w:rPr>
                <w:color w:val="000000"/>
              </w:rPr>
              <w:t> </w:t>
            </w:r>
            <w:r>
              <w:rPr>
                <w:rFonts w:ascii="Arial" w:hAnsi="Arial"/>
                <w:b/>
                <w:color w:val="000000"/>
                <w:sz w:val="20"/>
              </w:rPr>
              <w:t>Achievements/Relevant Developments in 2022:*</w:t>
            </w:r>
          </w:p>
        </w:tc>
      </w:tr>
      <w:tr>
        <w:trPr/>
        <w:tc>
          <w:tcPr>
            <w:tcW w:w="3583" w:type="dxa"/>
            <w:tcBorders>
              <w:top w:val="single" w:sz="2" w:space="0" w:color="EAF6FE"/>
              <w:left w:val="single" w:sz="2" w:space="0" w:color="EAF6FE"/>
              <w:bottom w:val="single" w:sz="2" w:space="0" w:color="245BA7"/>
              <w:right w:val="single" w:sz="2" w:space="0" w:color="EAF6FE"/>
            </w:tcBorders>
            <w:shd w:fill="EAF6FE" w:val="clear"/>
            <w:tcMar>
              <w:top w:w="28" w:type="dxa"/>
              <w:bottom w:w="75" w:type="dxa"/>
            </w:tcMar>
            <w:vAlign w:val="center"/>
          </w:tcPr>
          <w:p>
            <w:pPr>
              <w:pStyle w:val="TableContents"/>
              <w:pBdr/>
              <w:spacing w:before="105" w:after="15"/>
              <w:ind w:left="75" w:right="75" w:hanging="0"/>
              <w:rPr>
                <w:rFonts w:ascii="Arial" w:hAnsi="Arial"/>
                <w:b/>
                <w:color w:val="000000"/>
                <w:sz w:val="20"/>
              </w:rPr>
            </w:pPr>
            <w:r>
              <w:rPr>
                <w:rFonts w:ascii="Arial" w:hAnsi="Arial"/>
                <w:b/>
                <w:color w:val="000000"/>
                <w:sz w:val="20"/>
              </w:rPr>
              <w:t>EYLEA</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Approved by Ministry of Health, Labour and Welfare (“MHLW”) for retinopathy or prematurity (“ROP”) in Japan</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Committee for Medicinal Products for Human Use (“CHMP”) of the European Medicines Agency (“EMA”) recommended approval of EYLEA for ROP</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Pediatric exclusivity granted by FDA</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Filed sBLA for every-16-weeks dosing regimen in patients with diabetic retinopathy</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Filed sBLA with FDA for ROP</w:t>
            </w:r>
          </w:p>
          <w:p>
            <w:pPr>
              <w:pStyle w:val="TableContents"/>
              <w:pBdr/>
              <w:spacing w:before="105" w:after="15"/>
              <w:ind w:left="75" w:right="75" w:hanging="0"/>
              <w:rPr>
                <w:rFonts w:ascii="Arial" w:hAnsi="Arial"/>
                <w:b/>
                <w:color w:val="000000"/>
                <w:sz w:val="20"/>
              </w:rPr>
            </w:pPr>
            <w:r>
              <w:rPr>
                <w:rFonts w:ascii="Arial" w:hAnsi="Arial"/>
                <w:b/>
                <w:color w:val="000000"/>
                <w:sz w:val="20"/>
              </w:rPr>
              <w:t>Aflibercept 8mg</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Reported that Phase 3 trials in diabetic macular edema (“DME”) and wet age-related macular degeneration (“wet AMD”) met their primary endpoints</w:t>
            </w:r>
          </w:p>
        </w:tc>
        <w:tc>
          <w:tcPr>
            <w:tcW w:w="2577" w:type="dxa"/>
            <w:tcBorders>
              <w:top w:val="single" w:sz="2" w:space="0" w:color="EAF6FE"/>
              <w:left w:val="single" w:sz="2" w:space="0" w:color="EAF6FE"/>
              <w:bottom w:val="single" w:sz="2" w:space="0" w:color="245BA7"/>
              <w:right w:val="single" w:sz="2" w:space="0" w:color="EAF6FE"/>
            </w:tcBorders>
            <w:shd w:fill="EAF6FE" w:val="clear"/>
            <w:tcMar>
              <w:top w:w="28" w:type="dxa"/>
              <w:bottom w:w="75" w:type="dxa"/>
            </w:tcMar>
            <w:vAlign w:val="center"/>
          </w:tcPr>
          <w:p>
            <w:pPr>
              <w:pStyle w:val="TableContents"/>
              <w:pBdr/>
              <w:spacing w:before="105" w:after="15"/>
              <w:ind w:left="75" w:right="75" w:hanging="0"/>
              <w:rPr>
                <w:rFonts w:ascii="Arial" w:hAnsi="Arial"/>
                <w:b/>
                <w:color w:val="000000"/>
                <w:sz w:val="20"/>
              </w:rPr>
            </w:pPr>
            <w:r>
              <w:rPr>
                <w:rFonts w:ascii="Arial" w:hAnsi="Arial"/>
                <w:b/>
                <w:color w:val="000000"/>
                <w:sz w:val="20"/>
              </w:rPr>
              <w:t>Dupixent</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Approved by FDA for atopic dermatitis in pediatrics (6 months–5 years of age)</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Approved by FDA for eosinophilic esophagitis (“EoE”) in adults and adolescents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Approved by FDA for prurigo nodularis (“PN”)</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Approved by EC for severe asthma in pediatrics (6–11 years of age)</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Filed regulatory applications in the EU and Japan for atopic dermatitis in pediatric patients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Filed regulatory applications in the EU for EoE and PN</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Filed regulatory application in Japan for PN</w:t>
            </w:r>
          </w:p>
        </w:tc>
        <w:tc>
          <w:tcPr>
            <w:tcW w:w="4045" w:type="dxa"/>
            <w:tcBorders>
              <w:top w:val="single" w:sz="2" w:space="0" w:color="EAF6FE"/>
              <w:left w:val="single" w:sz="2" w:space="0" w:color="EAF6FE"/>
              <w:bottom w:val="single" w:sz="2" w:space="0" w:color="245BA7"/>
              <w:right w:val="single" w:sz="2" w:space="0" w:color="EAF6FE"/>
            </w:tcBorders>
            <w:shd w:fill="EAF6FE" w:val="clear"/>
            <w:tcMar>
              <w:top w:w="28" w:type="dxa"/>
              <w:bottom w:w="75" w:type="dxa"/>
            </w:tcMar>
            <w:vAlign w:val="center"/>
          </w:tcPr>
          <w:p>
            <w:pPr>
              <w:pStyle w:val="TableContents"/>
              <w:pBdr/>
              <w:spacing w:before="105" w:after="15"/>
              <w:ind w:left="75" w:right="75" w:hanging="0"/>
              <w:rPr>
                <w:rFonts w:ascii="Arial" w:hAnsi="Arial"/>
                <w:b/>
                <w:color w:val="000000"/>
                <w:sz w:val="20"/>
              </w:rPr>
            </w:pPr>
            <w:r>
              <w:rPr>
                <w:rFonts w:ascii="Arial" w:hAnsi="Arial"/>
                <w:b/>
                <w:color w:val="000000"/>
                <w:sz w:val="20"/>
              </w:rPr>
              <w:t>Libtayo</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Approved by FDA in combination with chemotherapy for NSCLC</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Approved by EC for cervical cancer</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Withdrew sBLA for cervical cancer</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Filed regulatory application in Japan for cervical cancer</w:t>
            </w:r>
          </w:p>
          <w:p>
            <w:pPr>
              <w:pStyle w:val="TableContents"/>
              <w:pBdr/>
              <w:spacing w:before="105" w:after="15"/>
              <w:ind w:left="75" w:right="75" w:hanging="0"/>
              <w:rPr>
                <w:rFonts w:ascii="Arial" w:hAnsi="Arial"/>
                <w:b/>
                <w:color w:val="000000"/>
                <w:sz w:val="20"/>
              </w:rPr>
            </w:pPr>
            <w:r>
              <w:rPr>
                <w:rFonts w:ascii="Arial" w:hAnsi="Arial"/>
                <w:b/>
                <w:color w:val="000000"/>
                <w:sz w:val="20"/>
              </w:rPr>
              <w:t>Evkeeza</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Filed sBLA for HoFH in pediatrics</w:t>
            </w:r>
          </w:p>
          <w:p>
            <w:pPr>
              <w:pStyle w:val="TableContents"/>
              <w:pBdr/>
              <w:spacing w:before="105" w:after="15"/>
              <w:ind w:left="75" w:right="75" w:hanging="0"/>
              <w:rPr>
                <w:rFonts w:ascii="Arial" w:hAnsi="Arial"/>
                <w:b/>
                <w:color w:val="000000"/>
                <w:sz w:val="20"/>
              </w:rPr>
            </w:pPr>
            <w:r>
              <w:rPr>
                <w:rFonts w:ascii="Arial" w:hAnsi="Arial"/>
                <w:b/>
                <w:color w:val="000000"/>
                <w:sz w:val="20"/>
              </w:rPr>
              <w:t>Kevzara</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Filed sBLA for polymyalgia rheumatica</w:t>
            </w:r>
          </w:p>
        </w:tc>
      </w:tr>
      <w:tr>
        <w:trPr/>
        <w:tc>
          <w:tcPr>
            <w:tcW w:w="10205" w:type="dxa"/>
            <w:gridSpan w:val="3"/>
            <w:tcBorders>
              <w:top w:val="single" w:sz="2" w:space="0" w:color="BCE4FA"/>
              <w:left w:val="single" w:sz="2" w:space="0" w:color="BCE4FA"/>
              <w:bottom w:val="single" w:sz="2" w:space="0" w:color="BCE4FA"/>
              <w:right w:val="single" w:sz="2" w:space="0" w:color="BCE4FA"/>
            </w:tcBorders>
            <w:shd w:fill="BCE4FA" w:val="clear"/>
            <w:tcMar>
              <w:top w:w="28" w:type="dxa"/>
              <w:bottom w:w="75" w:type="dxa"/>
            </w:tcMar>
            <w:vAlign w:val="center"/>
          </w:tcPr>
          <w:p>
            <w:pPr>
              <w:pStyle w:val="TableContents"/>
              <w:pBdr/>
              <w:spacing w:before="105" w:after="15"/>
              <w:ind w:left="75" w:right="75" w:hanging="0"/>
              <w:rPr>
                <w:rFonts w:ascii="Arial;Helvetica;Sans-Serif" w:hAnsi="Arial;Helvetica;Sans-Serif"/>
                <w:b/>
                <w:color w:val="245BA7"/>
                <w:sz w:val="24"/>
              </w:rPr>
            </w:pPr>
            <w:r>
              <w:rPr>
                <w:rFonts w:ascii="Arial;Helvetica;Sans-Serif" w:hAnsi="Arial;Helvetica;Sans-Serif"/>
                <w:b/>
                <w:color w:val="245BA7"/>
                <w:sz w:val="24"/>
              </w:rPr>
              <w:t>Progress in Earlier-Stage Clinical Programs; New Candidates Advanced into Clinical Development</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Data readouts and key publications from existing Phase 1 studies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Initiation of new Phase 1 studies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Notable early research milestones and collaborations</w:t>
            </w:r>
          </w:p>
        </w:tc>
      </w:tr>
      <w:tr>
        <w:trPr/>
        <w:tc>
          <w:tcPr>
            <w:tcW w:w="10205" w:type="dxa"/>
            <w:gridSpan w:val="3"/>
            <w:tcBorders>
              <w:top w:val="single" w:sz="2" w:space="0" w:color="EAF6FE"/>
              <w:left w:val="single" w:sz="2" w:space="0" w:color="EAF6FE"/>
              <w:bottom w:val="single" w:sz="2" w:space="0" w:color="EAF6FE"/>
              <w:right w:val="single" w:sz="2" w:space="0" w:color="EAF6FE"/>
            </w:tcBorders>
            <w:shd w:fill="EAF6FE" w:val="clear"/>
            <w:tcMar>
              <w:top w:w="28" w:type="dxa"/>
              <w:bottom w:w="75" w:type="dxa"/>
            </w:tcMar>
            <w:vAlign w:val="center"/>
          </w:tcPr>
          <w:p>
            <w:pPr>
              <w:pStyle w:val="TableContents"/>
              <w:pBdr/>
              <w:spacing w:before="105" w:after="15"/>
              <w:ind w:left="75" w:right="75" w:hanging="0"/>
              <w:rPr>
                <w:rFonts w:ascii="Arial" w:hAnsi="Arial"/>
                <w:b/>
                <w:color w:val="000000"/>
                <w:sz w:val="24"/>
              </w:rPr>
            </w:pPr>
            <w:r>
              <w:rPr>
                <w:rFonts w:ascii="Arial" w:hAnsi="Arial"/>
                <w:b/>
                <w:color w:val="000000"/>
                <w:sz w:val="24"/>
              </w:rPr>
              <w:t>Achievements/Relevant Developments in 2022:</w:t>
            </w:r>
          </w:p>
        </w:tc>
      </w:tr>
      <w:tr>
        <w:trPr/>
        <w:tc>
          <w:tcPr>
            <w:tcW w:w="3583" w:type="dxa"/>
            <w:tcBorders>
              <w:top w:val="single" w:sz="2" w:space="0" w:color="EAF6FE"/>
              <w:left w:val="single" w:sz="2" w:space="0" w:color="EAF6FE"/>
              <w:bottom w:val="single" w:sz="2" w:space="0" w:color="245BA7"/>
              <w:right w:val="single" w:sz="2" w:space="0" w:color="EAF6FE"/>
            </w:tcBorders>
            <w:shd w:fill="EAF6FE" w:val="clear"/>
            <w:tcMar>
              <w:top w:w="28" w:type="dxa"/>
              <w:bottom w:w="75" w:type="dxa"/>
            </w:tcMar>
            <w:vAlign w:val="center"/>
          </w:tcPr>
          <w:p>
            <w:pPr>
              <w:pStyle w:val="TableContents"/>
              <w:pBdr/>
              <w:spacing w:before="105" w:after="15"/>
              <w:ind w:left="75" w:right="75" w:hanging="0"/>
              <w:rPr>
                <w:rFonts w:ascii="Arial" w:hAnsi="Arial"/>
                <w:b/>
                <w:color w:val="000000"/>
                <w:sz w:val="20"/>
              </w:rPr>
            </w:pPr>
            <w:r>
              <w:rPr>
                <w:rFonts w:ascii="Arial" w:hAnsi="Arial"/>
                <w:b/>
                <w:color w:val="000000"/>
                <w:sz w:val="20"/>
              </w:rPr>
              <w:t xml:space="preserve">Data Readouts </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Announced positive interim data from an ongoing Phase 1 clinical study of NTLA-2001 for transthyretin (ATTR) amyloidosis (in collaboration with Intellia Therapeutics, Inc.)</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Presented positive data from Phase 1 trials of fianlimab (in combination with Libtayo) in advanced melanoma and NSCLC</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Announced promising data from ongoing Phase 1 study of ALN-HSD, an investigational RNAi therapeutic targeting HSD17B13 in development for the treatment of nonalcoholic steatohepatitis (“NASH”)</w:t>
            </w:r>
          </w:p>
        </w:tc>
        <w:tc>
          <w:tcPr>
            <w:tcW w:w="2577" w:type="dxa"/>
            <w:tcBorders>
              <w:top w:val="single" w:sz="2" w:space="0" w:color="EAF6FE"/>
              <w:left w:val="single" w:sz="2" w:space="0" w:color="EAF6FE"/>
              <w:bottom w:val="single" w:sz="2" w:space="0" w:color="245BA7"/>
              <w:right w:val="single" w:sz="2" w:space="0" w:color="EAF6FE"/>
            </w:tcBorders>
            <w:shd w:fill="EAF6FE" w:val="clear"/>
            <w:tcMar>
              <w:top w:w="28" w:type="dxa"/>
              <w:bottom w:w="75" w:type="dxa"/>
            </w:tcMar>
            <w:vAlign w:val="center"/>
          </w:tcPr>
          <w:p>
            <w:pPr>
              <w:pStyle w:val="TableContents"/>
              <w:pBdr/>
              <w:spacing w:before="105" w:after="15"/>
              <w:ind w:left="75" w:right="75" w:hanging="0"/>
              <w:rPr>
                <w:rFonts w:ascii="Arial" w:hAnsi="Arial"/>
                <w:b/>
                <w:color w:val="000000"/>
                <w:sz w:val="20"/>
              </w:rPr>
            </w:pPr>
            <w:r>
              <w:rPr>
                <w:rFonts w:ascii="Arial" w:hAnsi="Arial"/>
                <w:b/>
                <w:color w:val="000000"/>
                <w:sz w:val="20"/>
              </w:rPr>
              <w:t>Advancement of New Product Candidates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Submitted several new Investigational New Drug Applications with the FDA or their equivalent outside the United States</w:t>
            </w:r>
          </w:p>
        </w:tc>
        <w:tc>
          <w:tcPr>
            <w:tcW w:w="4045" w:type="dxa"/>
            <w:tcBorders>
              <w:top w:val="single" w:sz="2" w:space="0" w:color="EAF6FE"/>
              <w:left w:val="single" w:sz="2" w:space="0" w:color="EAF6FE"/>
              <w:bottom w:val="single" w:sz="2" w:space="0" w:color="245BA7"/>
              <w:right w:val="single" w:sz="2" w:space="0" w:color="EAF6FE"/>
            </w:tcBorders>
            <w:shd w:fill="EAF6FE" w:val="clear"/>
            <w:tcMar>
              <w:top w:w="28" w:type="dxa"/>
              <w:bottom w:w="75" w:type="dxa"/>
            </w:tcMar>
            <w:vAlign w:val="center"/>
          </w:tcPr>
          <w:p>
            <w:pPr>
              <w:pStyle w:val="TableContents"/>
              <w:pBdr/>
              <w:spacing w:before="105" w:after="15"/>
              <w:ind w:left="75" w:right="75" w:hanging="0"/>
              <w:rPr>
                <w:rFonts w:ascii="Arial" w:hAnsi="Arial"/>
                <w:b/>
                <w:color w:val="000000"/>
                <w:sz w:val="20"/>
              </w:rPr>
            </w:pPr>
            <w:r>
              <w:rPr>
                <w:rFonts w:ascii="Arial" w:hAnsi="Arial"/>
                <w:b/>
                <w:color w:val="000000"/>
                <w:sz w:val="20"/>
              </w:rPr>
              <w:t>Early Research Milestones and Publications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The Regeneron Genetics Center</w:t>
            </w:r>
            <w:r>
              <w:rPr>
                <w:rFonts w:ascii="Arial;Helvetica;Sans-Serif" w:hAnsi="Arial;Helvetica;Sans-Serif"/>
                <w:color w:val="000000"/>
                <w:position w:val="4"/>
                <w:sz w:val="10"/>
                <w:sz w:val="12"/>
              </w:rPr>
              <w:t>®</w:t>
            </w:r>
            <w:r>
              <w:rPr>
                <w:rFonts w:ascii="Arial;Helvetica;Sans-Serif" w:hAnsi="Arial;Helvetica;Sans-Serif"/>
                <w:color w:val="000000"/>
                <w:sz w:val="20"/>
              </w:rPr>
              <w:t xml:space="preserve"> announced the discovery of rare genetic loss-of-function mutations in the CIDEB gene that are associated with substantial protection from liver disease, including serious diseases such as NASH and cirrhosis</w:t>
            </w:r>
          </w:p>
        </w:tc>
      </w:tr>
      <w:tr>
        <w:trPr/>
        <w:tc>
          <w:tcPr>
            <w:tcW w:w="10205" w:type="dxa"/>
            <w:gridSpan w:val="3"/>
            <w:tcBorders/>
            <w:shd w:fill="auto" w:val="clear"/>
            <w:tcMar>
              <w:top w:w="0" w:type="dxa"/>
              <w:left w:w="0" w:type="dxa"/>
              <w:bottom w:w="0" w:type="dxa"/>
              <w:right w:w="0" w:type="dxa"/>
            </w:tcMar>
            <w:vAlign w:val="center"/>
          </w:tcPr>
          <w:p>
            <w:pPr>
              <w:pStyle w:val="TableContents"/>
              <w:spacing w:before="0" w:after="0"/>
              <w:ind w:left="0" w:right="30" w:hanging="0"/>
              <w:rPr>
                <w:rFonts w:ascii="Arial;Helvetica;Sans-Serif" w:hAnsi="Arial;Helvetica;Sans-Serif"/>
                <w:color w:val="245BA7"/>
                <w:sz w:val="20"/>
              </w:rPr>
            </w:pPr>
            <w:r>
              <w:rPr>
                <w:rFonts w:ascii="Arial;Helvetica;Sans-Serif" w:hAnsi="Arial;Helvetica;Sans-Serif"/>
                <w:color w:val="245BA7"/>
                <w:sz w:val="20"/>
              </w:rPr>
              <w:t>*</w:t>
            </w:r>
          </w:p>
          <w:p>
            <w:pPr>
              <w:pStyle w:val="TableContents"/>
              <w:pBdr/>
              <w:spacing w:before="0" w:after="0"/>
              <w:ind w:left="0" w:right="30" w:hanging="0"/>
              <w:rPr>
                <w:rFonts w:ascii="Arial;Helvetica;Sans-Serif" w:hAnsi="Arial;Helvetica;Sans-Serif"/>
                <w:color w:val="000000"/>
                <w:sz w:val="20"/>
              </w:rPr>
            </w:pPr>
            <w:r>
              <w:rPr>
                <w:rFonts w:ascii="Arial;Helvetica;Sans-Serif" w:hAnsi="Arial;Helvetica;Sans-Serif"/>
                <w:color w:val="000000"/>
                <w:sz w:val="20"/>
              </w:rPr>
              <w:t>Descriptions in this table are based on information available to the Committee when setting the Company performance multiplier for 2022.</w:t>
            </w:r>
          </w:p>
        </w:tc>
      </w:tr>
    </w:tbl>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93"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25" descr=""/>
                          <pic:cNvPicPr>
                            <a:picLocks noChangeAspect="1" noChangeArrowheads="1"/>
                          </pic:cNvPicPr>
                        </pic:nvPicPr>
                        <pic:blipFill>
                          <a:blip r:embed="rId226"/>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90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8492" w:type="dxa"/>
        <w:jc w:val="left"/>
        <w:tblInd w:w="0" w:type="dxa"/>
        <w:tblCellMar>
          <w:top w:w="135" w:type="dxa"/>
          <w:left w:w="28" w:type="dxa"/>
          <w:bottom w:w="135" w:type="dxa"/>
          <w:right w:w="28" w:type="dxa"/>
        </w:tblCellMar>
      </w:tblPr>
      <w:tblGrid>
        <w:gridCol w:w="4951"/>
        <w:gridCol w:w="3541"/>
      </w:tblGrid>
      <w:tr>
        <w:trPr/>
        <w:tc>
          <w:tcPr>
            <w:tcW w:w="8492" w:type="dxa"/>
            <w:gridSpan w:val="2"/>
            <w:tcBorders>
              <w:top w:val="single" w:sz="2" w:space="0" w:color="D31B5D"/>
              <w:left w:val="single" w:sz="2" w:space="0" w:color="D31B5D"/>
              <w:bottom w:val="single" w:sz="2" w:space="0" w:color="D31B5D"/>
              <w:right w:val="single" w:sz="2" w:space="0" w:color="D31B5D"/>
            </w:tcBorders>
            <w:shd w:fill="D31B5D" w:val="clear"/>
            <w:vAlign w:val="center"/>
          </w:tcPr>
          <w:p>
            <w:pPr>
              <w:pStyle w:val="TableContents"/>
              <w:pBdr/>
              <w:spacing w:before="0" w:after="0"/>
              <w:ind w:left="75" w:right="0" w:hanging="0"/>
              <w:rPr>
                <w:rFonts w:ascii="Arial;Helvetica;Sans-Serif" w:hAnsi="Arial;Helvetica;Sans-Serif"/>
                <w:b/>
                <w:color w:val="FFFFFF"/>
                <w:sz w:val="24"/>
              </w:rPr>
            </w:pPr>
            <w:r>
              <w:rPr>
                <w:rFonts w:ascii="Arial;Helvetica;Sans-Serif" w:hAnsi="Arial;Helvetica;Sans-Serif"/>
                <w:b/>
                <w:color w:val="FFFFFF"/>
                <w:sz w:val="24"/>
              </w:rPr>
              <w:t>(2) FINANCE AND OPERATIONS (SECONDARY FACTORS)</w:t>
            </w:r>
          </w:p>
        </w:tc>
      </w:tr>
      <w:tr>
        <w:trPr/>
        <w:tc>
          <w:tcPr>
            <w:tcW w:w="4951" w:type="dxa"/>
            <w:tcBorders>
              <w:top w:val="single" w:sz="2" w:space="0" w:color="BCE4FA"/>
              <w:left w:val="single" w:sz="2" w:space="0" w:color="BCE4FA"/>
              <w:bottom w:val="single" w:sz="2" w:space="0" w:color="BCE4FA"/>
              <w:right w:val="single" w:sz="2" w:space="0" w:color="BCE4FA"/>
            </w:tcBorders>
            <w:shd w:fill="BCE4FA" w:val="clear"/>
            <w:tcMar>
              <w:top w:w="28" w:type="dxa"/>
              <w:bottom w:w="45" w:type="dxa"/>
            </w:tcMar>
            <w:vAlign w:val="center"/>
          </w:tcPr>
          <w:p>
            <w:pPr>
              <w:pStyle w:val="TableContents"/>
              <w:pBdr/>
              <w:spacing w:before="105" w:after="15"/>
              <w:ind w:left="75" w:right="75" w:hanging="0"/>
              <w:rPr>
                <w:rFonts w:ascii="Arial" w:hAnsi="Arial"/>
                <w:b/>
                <w:color w:val="245BA7"/>
                <w:sz w:val="20"/>
              </w:rPr>
            </w:pPr>
            <w:r>
              <w:rPr>
                <w:rFonts w:ascii="Arial" w:hAnsi="Arial"/>
                <w:b/>
                <w:color w:val="245BA7"/>
                <w:sz w:val="20"/>
              </w:rPr>
              <w:t>Financial Metrics; Capital Structure</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Growth in total revenues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Growth in net product sales for key marketed products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Growth in profitability metrics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Collaboration agreements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Finance projects</w:t>
            </w:r>
          </w:p>
        </w:tc>
        <w:tc>
          <w:tcPr>
            <w:tcW w:w="3541" w:type="dxa"/>
            <w:tcBorders>
              <w:top w:val="single" w:sz="2" w:space="0" w:color="BCE4FA"/>
              <w:left w:val="single" w:sz="2" w:space="0" w:color="BCE4FA"/>
              <w:bottom w:val="single" w:sz="2" w:space="0" w:color="BCE4FA"/>
              <w:right w:val="single" w:sz="2" w:space="0" w:color="BCE4FA"/>
            </w:tcBorders>
            <w:shd w:fill="BCE4FA" w:val="clear"/>
            <w:tcMar>
              <w:top w:w="28" w:type="dxa"/>
              <w:bottom w:w="75" w:type="dxa"/>
            </w:tcMar>
            <w:vAlign w:val="center"/>
          </w:tcPr>
          <w:p>
            <w:pPr>
              <w:pStyle w:val="TableContents"/>
              <w:pBdr/>
              <w:spacing w:before="105" w:after="15"/>
              <w:ind w:left="75" w:right="75" w:hanging="0"/>
              <w:rPr>
                <w:rFonts w:ascii="Arial" w:hAnsi="Arial"/>
                <w:b/>
                <w:color w:val="245BA7"/>
                <w:sz w:val="20"/>
              </w:rPr>
            </w:pPr>
            <w:r>
              <w:rPr>
                <w:rFonts w:ascii="Arial" w:hAnsi="Arial"/>
                <w:b/>
                <w:color w:val="245BA7"/>
                <w:sz w:val="20"/>
              </w:rPr>
              <w:t>Operational &amp; Manufacturing</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Marketing structure &amp; strategy</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Pricing, policy &amp; legal developments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Successful completion of audits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Expansion of facilities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Increase in manufacturing capabilities</w:t>
            </w:r>
          </w:p>
        </w:tc>
      </w:tr>
    </w:tbl>
    <w:tbl>
      <w:tblPr>
        <w:tblW w:w="10205" w:type="dxa"/>
        <w:jc w:val="left"/>
        <w:tblInd w:w="0" w:type="dxa"/>
        <w:tblCellMar>
          <w:top w:w="28" w:type="dxa"/>
          <w:left w:w="28" w:type="dxa"/>
          <w:bottom w:w="75" w:type="dxa"/>
          <w:right w:w="28" w:type="dxa"/>
        </w:tblCellMar>
      </w:tblPr>
      <w:tblGrid>
        <w:gridCol w:w="3408"/>
        <w:gridCol w:w="4510"/>
        <w:gridCol w:w="2287"/>
      </w:tblGrid>
      <w:tr>
        <w:trPr/>
        <w:tc>
          <w:tcPr>
            <w:tcW w:w="10205" w:type="dxa"/>
            <w:gridSpan w:val="3"/>
            <w:tcBorders>
              <w:top w:val="single" w:sz="2" w:space="0" w:color="EAF6FE"/>
              <w:left w:val="single" w:sz="2" w:space="0" w:color="EAF6FE"/>
              <w:bottom w:val="single" w:sz="2" w:space="0" w:color="EAF6FE"/>
              <w:right w:val="single" w:sz="2" w:space="0" w:color="EAF6FE"/>
            </w:tcBorders>
            <w:shd w:fill="EAF6FE" w:val="clear"/>
            <w:vAlign w:val="center"/>
          </w:tcPr>
          <w:p>
            <w:pPr>
              <w:pStyle w:val="TableContents"/>
              <w:pBdr/>
              <w:spacing w:before="105" w:after="15"/>
              <w:ind w:left="75" w:right="75" w:hanging="0"/>
              <w:rPr>
                <w:color w:val="000000"/>
              </w:rPr>
            </w:pPr>
            <w:r>
              <w:rPr>
                <w:color w:val="000000"/>
              </w:rPr>
              <w:t> </w:t>
            </w:r>
            <w:r>
              <w:rPr>
                <w:rFonts w:ascii="Arial" w:hAnsi="Arial"/>
                <w:b/>
                <w:color w:val="000000"/>
                <w:sz w:val="20"/>
              </w:rPr>
              <w:t>Achievements/Relevant Developments in 2022:</w:t>
            </w:r>
          </w:p>
        </w:tc>
      </w:tr>
      <w:tr>
        <w:trPr/>
        <w:tc>
          <w:tcPr>
            <w:tcW w:w="3408" w:type="dxa"/>
            <w:tcBorders>
              <w:top w:val="single" w:sz="2" w:space="0" w:color="EAF6FE"/>
              <w:left w:val="single" w:sz="2" w:space="0" w:color="EAF6FE"/>
              <w:bottom w:val="single" w:sz="2" w:space="0" w:color="245BA7"/>
              <w:right w:val="single" w:sz="2" w:space="0" w:color="EAF6FE"/>
            </w:tcBorders>
            <w:shd w:fill="EAF6FE" w:val="clear"/>
            <w:vAlign w:val="center"/>
          </w:tcPr>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Total revenue for the first nine months of 2022 was $8.76 billion</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Full-year non-GAAP net income and diluted non-GAAP EPS forecast each projected to exceed the 2022 board-approved plan</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EYLEA global net product sales of $7.31 billion in the first nine months of 2022 (representing 7% growth vs. the first nine months of 2021)</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Dupixent global net product sales of $6.23 billion in the first nine months of 2022 (representing 41% growth vs. the first nine months of 2021)</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Libtayo global net product sales of $409.2 million in the first nine months of 2022 (representing 21% growth vs. the first nine months of 2021)</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Kevzara global net product sales of $276.8 million in the first nine months of 2022 (representing 18% growth vs. the first nine months of 2021)</w:t>
            </w:r>
          </w:p>
        </w:tc>
        <w:tc>
          <w:tcPr>
            <w:tcW w:w="4510" w:type="dxa"/>
            <w:tcBorders>
              <w:top w:val="single" w:sz="2" w:space="0" w:color="EAF6FE"/>
              <w:left w:val="single" w:sz="2" w:space="0" w:color="EAF6FE"/>
              <w:bottom w:val="single" w:sz="2" w:space="0" w:color="245BA7"/>
              <w:right w:val="single" w:sz="2" w:space="0" w:color="EAF6FE"/>
            </w:tcBorders>
            <w:shd w:fill="EAF6FE" w:val="clear"/>
            <w:vAlign w:val="center"/>
          </w:tcPr>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Executed over $2.8 billion in share repurchases and business development initiatives in the first nine months of 2022</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Completed acquisition of Sanofi’s stake in Libtayo, providing Regeneron with exclusive worldwide development, commercialization, and manufacturing rights to the medicine</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Completed acquisition Checkmate Pharmaceuticals, Inc., the Company’s first acquisition of a public company</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 xml:space="preserve">Achieved favorable rulings with respect to, among other matters, </w:t>
            </w:r>
            <w:r>
              <w:rPr>
                <w:rFonts w:ascii="Arial;Helvetica;Sans-Serif" w:hAnsi="Arial;Helvetica;Sans-Serif"/>
                <w:i/>
                <w:color w:val="000000"/>
                <w:sz w:val="20"/>
              </w:rPr>
              <w:t>inter partes</w:t>
            </w:r>
            <w:r>
              <w:rPr>
                <w:rFonts w:ascii="Arial;Helvetica;Sans-Serif" w:hAnsi="Arial;Helvetica;Sans-Serif"/>
                <w:color w:val="000000"/>
                <w:sz w:val="20"/>
              </w:rPr>
              <w:t xml:space="preserve"> review proceedings before the U.S. Patent and Trademark Office and opposition proceedings before the European Patent Office</w:t>
            </w:r>
          </w:p>
        </w:tc>
        <w:tc>
          <w:tcPr>
            <w:tcW w:w="2287" w:type="dxa"/>
            <w:tcBorders>
              <w:top w:val="single" w:sz="2" w:space="0" w:color="EAF6FE"/>
              <w:left w:val="single" w:sz="2" w:space="0" w:color="EAF6FE"/>
              <w:bottom w:val="single" w:sz="2" w:space="0" w:color="245BA7"/>
              <w:right w:val="single" w:sz="2" w:space="0" w:color="EAF6FE"/>
            </w:tcBorders>
            <w:shd w:fill="EAF6FE" w:val="clear"/>
            <w:vAlign w:val="center"/>
          </w:tcPr>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Established commercial capabilities in certain jurisdictions outside the United States</w:t>
            </w:r>
          </w:p>
        </w:tc>
      </w:tr>
    </w:tbl>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94"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26" descr=""/>
                          <pic:cNvPicPr>
                            <a:picLocks noChangeAspect="1" noChangeArrowheads="1"/>
                          </pic:cNvPicPr>
                        </pic:nvPicPr>
                        <pic:blipFill>
                          <a:blip r:embed="rId227"/>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91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135" w:type="dxa"/>
          <w:left w:w="28" w:type="dxa"/>
          <w:bottom w:w="135" w:type="dxa"/>
          <w:right w:w="28" w:type="dxa"/>
        </w:tblCellMar>
      </w:tblPr>
      <w:tblGrid>
        <w:gridCol w:w="6696"/>
        <w:gridCol w:w="3463"/>
        <w:gridCol w:w="46"/>
      </w:tblGrid>
      <w:tr>
        <w:trPr/>
        <w:tc>
          <w:tcPr>
            <w:tcW w:w="10205" w:type="dxa"/>
            <w:gridSpan w:val="3"/>
            <w:tcBorders>
              <w:top w:val="single" w:sz="2" w:space="0" w:color="D31B5D"/>
              <w:left w:val="single" w:sz="2" w:space="0" w:color="D31B5D"/>
              <w:bottom w:val="single" w:sz="2" w:space="0" w:color="D31B5D"/>
              <w:right w:val="single" w:sz="2" w:space="0" w:color="D31B5D"/>
            </w:tcBorders>
            <w:shd w:fill="D31B5D" w:val="clear"/>
            <w:vAlign w:val="center"/>
          </w:tcPr>
          <w:p>
            <w:pPr>
              <w:pStyle w:val="TableContents"/>
              <w:pBdr/>
              <w:spacing w:before="0" w:after="0"/>
              <w:ind w:left="75" w:right="0" w:hanging="0"/>
              <w:rPr>
                <w:rFonts w:ascii="Arial;Helvetica;Sans-Serif" w:hAnsi="Arial;Helvetica;Sans-Serif"/>
                <w:b/>
                <w:color w:val="FFFFFF"/>
                <w:sz w:val="24"/>
              </w:rPr>
            </w:pPr>
            <w:r>
              <w:rPr>
                <w:rFonts w:ascii="Arial;Helvetica;Sans-Serif" w:hAnsi="Arial;Helvetica;Sans-Serif"/>
                <w:b/>
                <w:color w:val="FFFFFF"/>
                <w:sz w:val="24"/>
              </w:rPr>
              <w:t>(3) TALENT, CULTURE, AND CORPORATE RESPONSIBILITY (SECONDARY FACTORS)</w:t>
            </w:r>
          </w:p>
        </w:tc>
      </w:tr>
      <w:tr>
        <w:trPr/>
        <w:tc>
          <w:tcPr>
            <w:tcW w:w="10205" w:type="dxa"/>
            <w:gridSpan w:val="3"/>
            <w:tcBorders>
              <w:top w:val="single" w:sz="2" w:space="0" w:color="BCE4FA"/>
              <w:left w:val="single" w:sz="2" w:space="0" w:color="BCE4FA"/>
              <w:bottom w:val="single" w:sz="2" w:space="0" w:color="BCE4FA"/>
              <w:right w:val="single" w:sz="2" w:space="0" w:color="BCE4FA"/>
            </w:tcBorders>
            <w:shd w:fill="BCE4FA" w:val="clear"/>
            <w:tcMar>
              <w:top w:w="28" w:type="dxa"/>
              <w:bottom w:w="75" w:type="dxa"/>
            </w:tcMar>
            <w:vAlign w:val="center"/>
          </w:tcPr>
          <w:p>
            <w:pPr>
              <w:pStyle w:val="TableContents"/>
              <w:pBdr/>
              <w:spacing w:before="105" w:after="15"/>
              <w:ind w:left="75" w:right="75" w:hanging="0"/>
              <w:rPr>
                <w:rFonts w:ascii="Arial" w:hAnsi="Arial"/>
                <w:b/>
                <w:color w:val="245BA7"/>
                <w:sz w:val="20"/>
              </w:rPr>
            </w:pPr>
            <w:r>
              <w:rPr>
                <w:rFonts w:ascii="Arial" w:hAnsi="Arial"/>
                <w:b/>
                <w:color w:val="245BA7"/>
                <w:sz w:val="20"/>
              </w:rPr>
              <w:t>Talent Management &amp; Retention</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Growth of global workforce to support our long-term strategic objectives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Employee retention and below-industry attrition rate</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Outside recognition and employee feedback</w:t>
            </w:r>
          </w:p>
        </w:tc>
      </w:tr>
      <w:tr>
        <w:trPr/>
        <w:tc>
          <w:tcPr>
            <w:tcW w:w="10205" w:type="dxa"/>
            <w:gridSpan w:val="3"/>
            <w:tcBorders>
              <w:top w:val="single" w:sz="2" w:space="0" w:color="EAF6FE"/>
              <w:left w:val="single" w:sz="2" w:space="0" w:color="EAF6FE"/>
              <w:bottom w:val="single" w:sz="2" w:space="0" w:color="EAF6FE"/>
              <w:right w:val="single" w:sz="2" w:space="0" w:color="EAF6FE"/>
            </w:tcBorders>
            <w:shd w:fill="EAF6FE" w:val="clear"/>
            <w:tcMar>
              <w:top w:w="28" w:type="dxa"/>
              <w:bottom w:w="75" w:type="dxa"/>
            </w:tcMar>
            <w:vAlign w:val="center"/>
          </w:tcPr>
          <w:p>
            <w:pPr>
              <w:pStyle w:val="TableContents"/>
              <w:pBdr/>
              <w:spacing w:before="105" w:after="15"/>
              <w:ind w:left="75" w:right="75" w:hanging="0"/>
              <w:rPr>
                <w:color w:val="000000"/>
              </w:rPr>
            </w:pPr>
            <w:r>
              <w:rPr>
                <w:color w:val="000000"/>
              </w:rPr>
              <w:t> </w:t>
            </w:r>
            <w:r>
              <w:rPr>
                <w:rFonts w:ascii="Arial" w:hAnsi="Arial"/>
                <w:b/>
                <w:color w:val="000000"/>
                <w:sz w:val="20"/>
              </w:rPr>
              <w:t>Achievements/Relevant Developments in 2022:</w:t>
            </w:r>
          </w:p>
        </w:tc>
      </w:tr>
      <w:tr>
        <w:trPr/>
        <w:tc>
          <w:tcPr>
            <w:tcW w:w="6696" w:type="dxa"/>
            <w:tcBorders>
              <w:top w:val="single" w:sz="2" w:space="0" w:color="EAF6FE"/>
              <w:left w:val="single" w:sz="2" w:space="0" w:color="EAF6FE"/>
              <w:bottom w:val="single" w:sz="2" w:space="0" w:color="245BA7"/>
              <w:right w:val="single" w:sz="2" w:space="0" w:color="EAF6FE"/>
            </w:tcBorders>
            <w:shd w:fill="EAF6FE" w:val="clear"/>
            <w:tcMar>
              <w:top w:w="28" w:type="dxa"/>
              <w:bottom w:w="75" w:type="dxa"/>
            </w:tcMar>
            <w:vAlign w:val="center"/>
          </w:tcPr>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Global company growth continued, with headcount approach 12,000 employees, up 14% year-over-year</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Turnover rate well below the industry median</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Hired key positions for global expansion efforts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Obtained favorable results from employee engagement survey, which exceeded certain pharmaceutical industry benchmarks</w:t>
            </w:r>
          </w:p>
        </w:tc>
        <w:tc>
          <w:tcPr>
            <w:tcW w:w="3463" w:type="dxa"/>
            <w:tcBorders>
              <w:top w:val="single" w:sz="2" w:space="0" w:color="EAF6FE"/>
              <w:left w:val="single" w:sz="2" w:space="0" w:color="EAF6FE"/>
              <w:bottom w:val="single" w:sz="2" w:space="0" w:color="245BA7"/>
              <w:right w:val="single" w:sz="2" w:space="0" w:color="EAF6FE"/>
            </w:tcBorders>
            <w:shd w:fill="EAF6FE" w:val="clear"/>
            <w:tcMar>
              <w:top w:w="28" w:type="dxa"/>
              <w:bottom w:w="75" w:type="dxa"/>
            </w:tcMar>
            <w:vAlign w:val="center"/>
          </w:tcPr>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Earned the following accolades and rankings from independent organizations: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 xml:space="preserve">#3 ranking in </w:t>
            </w:r>
            <w:r>
              <w:rPr>
                <w:rFonts w:ascii="Arial;Helvetica;Sans-Serif" w:hAnsi="Arial;Helvetica;Sans-Serif"/>
                <w:i/>
                <w:color w:val="000000"/>
                <w:sz w:val="20"/>
              </w:rPr>
              <w:t>Science Magazine’s</w:t>
            </w:r>
            <w:r>
              <w:rPr>
                <w:rFonts w:ascii="Arial;Helvetica;Sans-Serif" w:hAnsi="Arial;Helvetica;Sans-Serif"/>
                <w:color w:val="000000"/>
                <w:sz w:val="20"/>
              </w:rPr>
              <w:t xml:space="preserve"> ‘Top Biopharma Companies to Work For’</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i/>
                <w:color w:val="000000"/>
                <w:sz w:val="20"/>
              </w:rPr>
              <w:t xml:space="preserve">Fortune </w:t>
            </w:r>
            <w:r>
              <w:rPr>
                <w:rFonts w:ascii="Arial;Helvetica;Sans-Serif" w:hAnsi="Arial;Helvetica;Sans-Serif"/>
                <w:color w:val="000000"/>
                <w:sz w:val="20"/>
              </w:rPr>
              <w:t>magazine’s list of ‘Best Workplaces in Biotechnology and Pharmaceuticals’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i/>
                <w:color w:val="000000"/>
                <w:sz w:val="20"/>
              </w:rPr>
              <w:t>Great Places to Work:</w:t>
            </w:r>
            <w:r>
              <w:rPr>
                <w:rFonts w:ascii="Arial;Helvetica;Sans-Serif" w:hAnsi="Arial;Helvetica;Sans-Serif"/>
                <w:color w:val="000000"/>
                <w:sz w:val="20"/>
              </w:rPr>
              <w:t xml:space="preserve"> ‘Best Workplaces in New York’</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i/>
                <w:color w:val="000000"/>
                <w:sz w:val="20"/>
              </w:rPr>
              <w:t>Great Places to Work:</w:t>
            </w:r>
            <w:r>
              <w:rPr>
                <w:rFonts w:ascii="Arial;Helvetica;Sans-Serif" w:hAnsi="Arial;Helvetica;Sans-Serif"/>
                <w:color w:val="000000"/>
                <w:sz w:val="20"/>
              </w:rPr>
              <w:t xml:space="preserve"> ‘Best Workplaces in Ireland’</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i/>
                <w:color w:val="000000"/>
                <w:sz w:val="20"/>
              </w:rPr>
              <w:t xml:space="preserve">Forbes: </w:t>
            </w:r>
            <w:r>
              <w:rPr>
                <w:rFonts w:ascii="Arial;Helvetica;Sans-Serif" w:hAnsi="Arial;Helvetica;Sans-Serif"/>
                <w:color w:val="000000"/>
                <w:sz w:val="20"/>
              </w:rPr>
              <w:t>America’s Best-in-State Employers, New York</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i/>
                <w:color w:val="000000"/>
                <w:sz w:val="20"/>
              </w:rPr>
              <w:t>IDEA Pharma:</w:t>
            </w:r>
            <w:r>
              <w:rPr>
                <w:rFonts w:ascii="Arial;Helvetica;Sans-Serif" w:hAnsi="Arial;Helvetica;Sans-Serif"/>
                <w:color w:val="000000"/>
                <w:sz w:val="20"/>
              </w:rPr>
              <w:t xml:space="preserve"> Pharmaceutical Invention Index</w:t>
            </w:r>
          </w:p>
        </w:tc>
        <w:tc>
          <w:tcPr>
            <w:tcW w:w="46" w:type="dxa"/>
            <w:tcBorders>
              <w:top w:val="single" w:sz="2" w:space="0" w:color="EAF6FE"/>
              <w:left w:val="single" w:sz="2" w:space="0" w:color="EAF6FE"/>
              <w:bottom w:val="single" w:sz="2" w:space="0" w:color="245BA7"/>
              <w:right w:val="single" w:sz="2" w:space="0" w:color="EAF6FE"/>
            </w:tcBorders>
            <w:shd w:fill="EAF6FE" w:val="clear"/>
            <w:tcMar>
              <w:top w:w="28" w:type="dxa"/>
              <w:bottom w:w="75" w:type="dxa"/>
            </w:tcMar>
            <w:vAlign w:val="center"/>
          </w:tcPr>
          <w:p>
            <w:pPr>
              <w:pStyle w:val="TableContents"/>
              <w:spacing w:before="0" w:after="283"/>
              <w:ind w:left="0" w:right="30" w:hanging="0"/>
              <w:rPr>
                <w:sz w:val="4"/>
                <w:szCs w:val="4"/>
              </w:rPr>
            </w:pPr>
            <w:r>
              <w:rPr>
                <w:sz w:val="4"/>
                <w:szCs w:val="4"/>
              </w:rPr>
            </w:r>
          </w:p>
        </w:tc>
      </w:tr>
      <w:tr>
        <w:trPr/>
        <w:tc>
          <w:tcPr>
            <w:tcW w:w="10205" w:type="dxa"/>
            <w:gridSpan w:val="3"/>
            <w:tcBorders>
              <w:top w:val="single" w:sz="2" w:space="0" w:color="BCE4FA"/>
              <w:left w:val="single" w:sz="2" w:space="0" w:color="BCE4FA"/>
              <w:bottom w:val="single" w:sz="2" w:space="0" w:color="BCE4FA"/>
              <w:right w:val="single" w:sz="2" w:space="0" w:color="BCE4FA"/>
            </w:tcBorders>
            <w:shd w:fill="BCE4FA" w:val="clear"/>
            <w:tcMar>
              <w:top w:w="28" w:type="dxa"/>
              <w:bottom w:w="75" w:type="dxa"/>
            </w:tcMar>
            <w:vAlign w:val="center"/>
          </w:tcPr>
          <w:p>
            <w:pPr>
              <w:pStyle w:val="TableContents"/>
              <w:pBdr/>
              <w:spacing w:before="105" w:after="15"/>
              <w:ind w:left="75" w:right="75" w:hanging="0"/>
              <w:rPr>
                <w:rFonts w:ascii="Arial" w:hAnsi="Arial"/>
                <w:b/>
                <w:color w:val="245BA7"/>
                <w:sz w:val="20"/>
              </w:rPr>
            </w:pPr>
            <w:r>
              <w:rPr>
                <w:rFonts w:ascii="Arial" w:hAnsi="Arial"/>
                <w:b/>
                <w:color w:val="245BA7"/>
                <w:sz w:val="20"/>
              </w:rPr>
              <w:t>Corporate Responsibility</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ESG activities, reporting, ratings, and rankings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Corporate giving</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i/>
                <w:color w:val="245BA7"/>
                <w:sz w:val="20"/>
              </w:rPr>
            </w:pPr>
            <w:r>
              <w:rPr>
                <w:rFonts w:ascii="Arial;Helvetica;Sans-Serif" w:hAnsi="Arial;Helvetica;Sans-Serif"/>
                <w:i/>
                <w:color w:val="245BA7"/>
                <w:sz w:val="20"/>
              </w:rPr>
              <w:t>Philanthropic and citizenship programs</w:t>
            </w:r>
          </w:p>
        </w:tc>
      </w:tr>
      <w:tr>
        <w:trPr/>
        <w:tc>
          <w:tcPr>
            <w:tcW w:w="10205" w:type="dxa"/>
            <w:gridSpan w:val="3"/>
            <w:tcBorders>
              <w:top w:val="single" w:sz="2" w:space="0" w:color="EAF6FE"/>
              <w:left w:val="single" w:sz="2" w:space="0" w:color="EAF6FE"/>
              <w:bottom w:val="single" w:sz="2" w:space="0" w:color="EAF6FE"/>
              <w:right w:val="single" w:sz="2" w:space="0" w:color="EAF6FE"/>
            </w:tcBorders>
            <w:shd w:fill="EAF6FE" w:val="clear"/>
            <w:tcMar>
              <w:top w:w="28" w:type="dxa"/>
              <w:bottom w:w="75" w:type="dxa"/>
            </w:tcMar>
            <w:vAlign w:val="center"/>
          </w:tcPr>
          <w:p>
            <w:pPr>
              <w:pStyle w:val="TableContents"/>
              <w:pBdr/>
              <w:spacing w:before="105" w:after="15"/>
              <w:ind w:left="75" w:right="75" w:hanging="0"/>
              <w:rPr>
                <w:color w:val="000000"/>
              </w:rPr>
            </w:pPr>
            <w:r>
              <w:rPr>
                <w:color w:val="000000"/>
              </w:rPr>
              <w:t> </w:t>
            </w:r>
            <w:r>
              <w:rPr>
                <w:rFonts w:ascii="Arial" w:hAnsi="Arial"/>
                <w:b/>
                <w:color w:val="000000"/>
                <w:sz w:val="20"/>
              </w:rPr>
              <w:t>Achievements/Relevant Developments in 2022:</w:t>
            </w:r>
          </w:p>
        </w:tc>
      </w:tr>
      <w:tr>
        <w:trPr/>
        <w:tc>
          <w:tcPr>
            <w:tcW w:w="6696" w:type="dxa"/>
            <w:tcBorders>
              <w:top w:val="single" w:sz="2" w:space="0" w:color="EAF6FE"/>
              <w:left w:val="single" w:sz="2" w:space="0" w:color="EAF6FE"/>
              <w:bottom w:val="single" w:sz="2" w:space="0" w:color="245BA7"/>
              <w:right w:val="single" w:sz="2" w:space="0" w:color="EAF6FE"/>
            </w:tcBorders>
            <w:shd w:fill="EAF6FE" w:val="clear"/>
            <w:tcMar>
              <w:top w:w="28" w:type="dxa"/>
              <w:bottom w:w="75" w:type="dxa"/>
            </w:tcMar>
            <w:vAlign w:val="center"/>
          </w:tcPr>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Engaged public health agencies, government and non-governmental agencies, and others to facilitate continued access to Regeneron’s Ebola and COVID-19 treatments in low- and lower-middle-income countries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Developed an enterprise-wide climate action plan toward meeting Regeneron’s 2025 energy and emissions targets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 xml:space="preserve">Provided engaging employee volunteerism opportunities, with more than 50% of the global workforce registering to participate in Regeneron’s annual company-wide service event, </w:t>
            </w:r>
            <w:r>
              <w:rPr>
                <w:rFonts w:ascii="Arial;Helvetica;Sans-Serif" w:hAnsi="Arial;Helvetica;Sans-Serif"/>
                <w:i/>
                <w:color w:val="000000"/>
                <w:sz w:val="20"/>
              </w:rPr>
              <w:t>Day for Doing Good</w:t>
            </w:r>
          </w:p>
        </w:tc>
        <w:tc>
          <w:tcPr>
            <w:tcW w:w="3463" w:type="dxa"/>
            <w:tcBorders>
              <w:top w:val="single" w:sz="2" w:space="0" w:color="EAF6FE"/>
              <w:left w:val="single" w:sz="2" w:space="0" w:color="EAF6FE"/>
              <w:bottom w:val="single" w:sz="2" w:space="0" w:color="245BA7"/>
              <w:right w:val="single" w:sz="2" w:space="0" w:color="EAF6FE"/>
            </w:tcBorders>
            <w:shd w:fill="EAF6FE" w:val="clear"/>
            <w:tcMar>
              <w:top w:w="28" w:type="dxa"/>
              <w:bottom w:w="75" w:type="dxa"/>
            </w:tcMar>
            <w:vAlign w:val="center"/>
          </w:tcPr>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Earned the following accolades and rankings from independent organizations: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i/>
                <w:color w:val="000000"/>
                <w:sz w:val="20"/>
              </w:rPr>
              <w:t>Civic 50:</w:t>
            </w:r>
            <w:r>
              <w:rPr>
                <w:rFonts w:ascii="Arial;Helvetica;Sans-Serif" w:hAnsi="Arial;Helvetica;Sans-Serif"/>
                <w:color w:val="000000"/>
                <w:sz w:val="20"/>
              </w:rPr>
              <w:t xml:space="preserve"> Most Community-Minded Companies in the Nation</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i/>
                <w:color w:val="000000"/>
                <w:sz w:val="20"/>
              </w:rPr>
              <w:t>Prix Galien:</w:t>
            </w:r>
            <w:r>
              <w:rPr>
                <w:rFonts w:ascii="Arial;Helvetica;Sans-Serif" w:hAnsi="Arial;Helvetica;Sans-Serif"/>
                <w:color w:val="000000"/>
                <w:sz w:val="20"/>
              </w:rPr>
              <w:t xml:space="preserve"> Best Biotechnology Product of 2022 for Inmazeb</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i/>
                <w:color w:val="000000"/>
                <w:sz w:val="20"/>
              </w:rPr>
              <w:t xml:space="preserve">Newsweek: </w:t>
            </w:r>
            <w:r>
              <w:rPr>
                <w:rFonts w:ascii="Arial;Helvetica;Sans-Serif" w:hAnsi="Arial;Helvetica;Sans-Serif"/>
                <w:color w:val="000000"/>
                <w:sz w:val="20"/>
              </w:rPr>
              <w:t>America’s Most Responsible Companies</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i/>
                <w:color w:val="000000"/>
                <w:sz w:val="20"/>
              </w:rPr>
              <w:t>Fast Company</w:t>
            </w:r>
            <w:r>
              <w:rPr>
                <w:rFonts w:ascii="Arial;Helvetica;Sans-Serif" w:hAnsi="Arial;Helvetica;Sans-Serif"/>
                <w:color w:val="000000"/>
                <w:sz w:val="20"/>
              </w:rPr>
              <w:t xml:space="preserve"> World Changing Ideas: Honorable Mention</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i/>
                <w:color w:val="000000"/>
                <w:sz w:val="20"/>
              </w:rPr>
              <w:t>Scrip Awards:</w:t>
            </w:r>
            <w:r>
              <w:rPr>
                <w:rFonts w:ascii="Arial;Helvetica;Sans-Serif" w:hAnsi="Arial;Helvetica;Sans-Serif"/>
                <w:color w:val="000000"/>
                <w:sz w:val="20"/>
              </w:rPr>
              <w:t xml:space="preserve"> Community Partnership of the Year (together with Society for Science)</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FTSE4Good Index constituent</w:t>
            </w:r>
          </w:p>
          <w:p>
            <w:pPr>
              <w:pStyle w:val="TableContents"/>
              <w:spacing w:before="0" w:after="0"/>
              <w:ind w:left="75" w:right="105" w:hanging="0"/>
              <w:rPr>
                <w:color w:val="245BA7"/>
              </w:rPr>
            </w:pPr>
            <w:r>
              <w:rPr>
                <w:color w:val="245BA7"/>
              </w:rPr>
              <w:t>•</w:t>
            </w:r>
          </w:p>
          <w:p>
            <w:pPr>
              <w:pStyle w:val="TableContents"/>
              <w:pBdr/>
              <w:spacing w:before="0" w:after="0"/>
              <w:ind w:left="75" w:right="105" w:hanging="0"/>
              <w:rPr>
                <w:rFonts w:ascii="Arial;Helvetica;Sans-Serif" w:hAnsi="Arial;Helvetica;Sans-Serif"/>
                <w:color w:val="000000"/>
                <w:sz w:val="20"/>
              </w:rPr>
            </w:pPr>
            <w:r>
              <w:rPr>
                <w:rFonts w:ascii="Arial;Helvetica;Sans-Serif" w:hAnsi="Arial;Helvetica;Sans-Serif"/>
                <w:color w:val="000000"/>
                <w:sz w:val="20"/>
              </w:rPr>
              <w:t>Favorable rankings from certain ESG ratings firms</w:t>
            </w:r>
          </w:p>
        </w:tc>
        <w:tc>
          <w:tcPr>
            <w:tcW w:w="46" w:type="dxa"/>
            <w:tcBorders>
              <w:top w:val="single" w:sz="2" w:space="0" w:color="EAF6FE"/>
              <w:left w:val="single" w:sz="2" w:space="0" w:color="EAF6FE"/>
              <w:bottom w:val="single" w:sz="2" w:space="0" w:color="245BA7"/>
              <w:right w:val="single" w:sz="2" w:space="0" w:color="EAF6FE"/>
            </w:tcBorders>
            <w:shd w:fill="EAF6FE" w:val="clear"/>
            <w:tcMar>
              <w:top w:w="28" w:type="dxa"/>
              <w:bottom w:w="75" w:type="dxa"/>
            </w:tcMar>
            <w:vAlign w:val="center"/>
          </w:tcPr>
          <w:p>
            <w:pPr>
              <w:pStyle w:val="TableContents"/>
              <w:spacing w:before="0" w:after="283"/>
              <w:ind w:left="0" w:right="30" w:hanging="0"/>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95"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27" descr=""/>
                          <pic:cNvPicPr>
                            <a:picLocks noChangeAspect="1" noChangeArrowheads="1"/>
                          </pic:cNvPicPr>
                        </pic:nvPicPr>
                        <pic:blipFill>
                          <a:blip r:embed="rId228"/>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92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60" w:name="new_id-151"/>
      <w:bookmarkEnd w:id="160"/>
      <w:r>
        <w:rPr>
          <w:rFonts w:ascii="Arial" w:hAnsi="Arial"/>
          <w:b/>
          <w:i w:val="false"/>
          <w:caps w:val="false"/>
          <w:smallCaps w:val="false"/>
          <w:color w:val="D31B5D"/>
          <w:sz w:val="30"/>
          <w:bdr w:val="single" w:sz="12" w:space="2" w:color="245BA7"/>
        </w:rPr>
        <w:t xml:space="preserve">PERQUISITES AND PERSONAL BENEFITS </w:t>
      </w:r>
    </w:p>
    <w:p>
      <w:pPr>
        <w:pStyle w:val="TextBody"/>
        <w:pBdr/>
        <w:spacing w:before="0" w:after="210"/>
        <w:ind w:left="0" w:right="0" w:hanging="0"/>
        <w:rPr>
          <w:rFonts w:ascii="Arial" w:hAnsi="Arial"/>
          <w:color w:val="000000"/>
          <w:sz w:val="21"/>
        </w:rPr>
      </w:pPr>
      <w:r>
        <w:rPr>
          <w:rFonts w:ascii="Arial" w:hAnsi="Arial"/>
          <w:color w:val="000000"/>
          <w:sz w:val="21"/>
        </w:rPr>
        <w:t>All employees who participate in our 401(k) Savings Plan, including the NEOs, are eligible to receive certain matching contributions. In each plan year, we contribute to each participant’s account a matching contribution (in the form of shares of our common stock) equal to 50% of a specified percentage of the participant’s compensation that the participant has contributed to the plan (which was 10% with respect to each of the last three years), up to a maximum level established under the Internal Revenue Code. Each of our NEOs participated in our 401(k) Savings Plan during 2022 and received matching contributions in the aggregate amount of $13,500 ($10,250 in the case of Mr. Van Plew) in the form of shares of our common stock. The contributions were paid quarterly up and until the maximum level was reached and are included in the compensation amounts reported for each of our NEOs in the Summary Compensation Table included in this proxy statement. As with all employees, the number of shares of common stock that each NEO received on a quarterly basis was determined using the average market price per share of our common stock during the applicable quarter.</w:t>
      </w:r>
    </w:p>
    <w:p>
      <w:pPr>
        <w:pStyle w:val="TextBody"/>
        <w:pBdr/>
        <w:spacing w:before="0" w:after="210"/>
        <w:ind w:left="0" w:right="0" w:hanging="0"/>
        <w:rPr>
          <w:rFonts w:ascii="Arial" w:hAnsi="Arial"/>
          <w:color w:val="000000"/>
          <w:sz w:val="21"/>
        </w:rPr>
      </w:pPr>
      <w:r>
        <w:rPr>
          <w:rFonts w:ascii="Arial" w:hAnsi="Arial"/>
          <w:color w:val="000000"/>
          <w:sz w:val="21"/>
        </w:rPr>
        <w:t>To achieve increased efficiencies and a more secure traveling environment, the Company provides air transportation for certain executive and director travel in accordance with guidelines approved by our board of directors. Based on the recommendation of an independent, third-party security study, the guidelines and our security policy require Drs. Schleifer and Yancopoulos (as well as their spouses and children when they accompany them) to use, as much as practicable, Company-provided aircraft for all business and personal air travel. Regeneron covers the cost of any such personal air travel for up to $250,000 in incremental cost (as described below) annually for each of Drs. Schleifer and Yancopoulos.  Family members or other guests may accompany our NEOs and directors during Company-provided air business travel, space permitting, so long as they cover any incremental cost related to such guests (other than with respect to the family members of Drs. Schleifer and Yancopoulos as described above). In addition, in limited circumstances personal use of Company-provided air travel by our other NEOs or directors may be permitted if authorized by the Chair and any incremental cost is paid by the lead passenger. Any required reimbursement or other payment of the incremental cost is made to the extent permitted by applicable Federal Aviation Administration rules.</w:t>
      </w:r>
    </w:p>
    <w:p>
      <w:pPr>
        <w:pStyle w:val="TextBody"/>
        <w:pBdr/>
        <w:spacing w:before="0" w:after="210"/>
        <w:ind w:left="0" w:right="0" w:hanging="0"/>
        <w:rPr>
          <w:rFonts w:ascii="Arial" w:hAnsi="Arial"/>
          <w:color w:val="000000"/>
          <w:sz w:val="21"/>
        </w:rPr>
      </w:pPr>
      <w:r>
        <w:rPr>
          <w:rFonts w:ascii="Arial" w:hAnsi="Arial"/>
          <w:color w:val="000000"/>
          <w:sz w:val="21"/>
        </w:rPr>
        <w:t>We determine the incremental cost of any Company-provided personal or guest air travel based on the direct variable operating cost. Items included in the calculation include (as applicable) fuel costs; landing, non-home-base hangar or aircraft parking, and ground handling fees; in-flight catering; travel, lodging, and other expenses for flight crew; and other trip-related variable cost, including the use of our fractional jet interests. Because Company-provided air transportation is used primarily for business travel, incremental costs exclude fixed costs that generally do not change based on usage, such as (as applicable) flight crew salaries; aircraft purchase or lease costs; depreciation; insurance costs; certain maintenance fees based on minimum usage; and home-base hangar costs. When the aircraft is already flying to a destination for business purposes, only the direct variable costs associated with the guest (for example, catering), if any, are included in determining the aggregate incremental cost to Regeneron. If any aircraft flies empty before picking up or after dropping off a passenger for personal reasons, this “deadhead” segment would be included in the aggregate incremental cost based on the methodology described above. The amount of disallowed corporate tax deductions attributable to Company-provided personal and guest air travel is not included in the NEO incremental cost calculation.</w:t>
      </w:r>
    </w:p>
    <w:p>
      <w:pPr>
        <w:pStyle w:val="TextBody"/>
        <w:pBdr/>
        <w:spacing w:before="0" w:after="210"/>
        <w:ind w:left="0" w:right="0" w:hanging="0"/>
        <w:rPr>
          <w:rFonts w:ascii="Arial" w:hAnsi="Arial"/>
          <w:color w:val="000000"/>
          <w:sz w:val="21"/>
        </w:rPr>
      </w:pPr>
      <w:r>
        <w:rPr>
          <w:rFonts w:ascii="Arial" w:hAnsi="Arial"/>
          <w:color w:val="000000"/>
          <w:sz w:val="21"/>
        </w:rPr>
        <w:t xml:space="preserve">The security policy also covers secure car transportation, on-site residential security at the primary residence for each of Drs. Schleifer and Yancopoulos, and 24/7 personal security services for Drs. Schleifer and Yancopoulos. Such services are rendered by third-party providers and/or full-time employees of the Company depending on availability and time of day. The incremental costs of such services are calculated based on the methodology described below and exclude costs that the Company would have incurred in any event, such as the ordinary wages, taxes, and benefits of drivers that are employed full-time by the Company for business travel and the costs of security services provided at the Company’s offices during normal business hours. We generally calculate the incremental costs of such services based on (a) an assumed fuel cost per mile (based on then applicable standard mileage rates published by the Internal Revenue Service) times total miles traveled in connection with secure car transportation for personal travel or security services outside of the office; (b) the amount paid by the Company to the third-party providers of such services or any overtime wages of full-time employees of the Company attributed to such services based on the number of hours expended; and (c) the costs of leasing or renting vehicles dedicated to the provision of such services. In addition, in 2022, the Compensation Committee approved the temporary provision of home residence security services for Mr. Van Plew, as had been determined to be necessary based on an assessment by the Company’s Corporate Security team.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96"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28" descr=""/>
                          <pic:cNvPicPr>
                            <a:picLocks noChangeAspect="1" noChangeArrowheads="1"/>
                          </pic:cNvPicPr>
                        </pic:nvPicPr>
                        <pic:blipFill>
                          <a:blip r:embed="rId229"/>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93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The incremental cost associated with these services for Mr. Van Plew was comprised of the amount paid by the Company to the third-party provider of such services.</w:t>
      </w:r>
    </w:p>
    <w:p>
      <w:pPr>
        <w:pStyle w:val="TextBody"/>
        <w:pBdr/>
        <w:spacing w:before="0" w:after="210"/>
        <w:ind w:left="0" w:right="0" w:hanging="0"/>
        <w:rPr>
          <w:rFonts w:ascii="Arial" w:hAnsi="Arial"/>
          <w:color w:val="000000"/>
          <w:sz w:val="21"/>
        </w:rPr>
      </w:pPr>
      <w:r>
        <w:rPr>
          <w:rFonts w:ascii="Arial" w:hAnsi="Arial"/>
          <w:color w:val="000000"/>
          <w:sz w:val="21"/>
        </w:rPr>
        <w:t>Amounts associated with personal or guest Company-provided air and secure car transportation/personal and residential security services are imputed as income to the NEOs to the extent required by applicable tax regulations. The NEOs do not receive a tax gross-up from us to cover their personal income tax obligations in respect of any such imputed income. </w:t>
      </w:r>
    </w:p>
    <w:p>
      <w:pPr>
        <w:pStyle w:val="TextBody"/>
        <w:pBdr/>
        <w:spacing w:before="0" w:after="210"/>
        <w:ind w:left="0" w:right="0" w:hanging="0"/>
        <w:rPr>
          <w:rFonts w:ascii="Arial" w:hAnsi="Arial"/>
          <w:color w:val="000000"/>
          <w:sz w:val="21"/>
        </w:rPr>
      </w:pPr>
      <w:r>
        <w:rPr>
          <w:rFonts w:ascii="Arial" w:hAnsi="Arial"/>
          <w:color w:val="000000"/>
          <w:sz w:val="21"/>
        </w:rPr>
        <w:t>The amounts disclosed in the “All other compensation” column of the Summary Compensation Table relating to personal and guest use of Company-provided air transportation, secure car transportation, and personal and residential security services in accordance with our security policy attributable to Drs. Schleifer and Yancopoulos, as well as the amount disclosed for Mr. Van Plew for temporary residential security services, are based on the incremental cost resulting from such transportation/services as described above.</w:t>
      </w:r>
    </w:p>
    <w:p>
      <w:pPr>
        <w:pStyle w:val="TextBody"/>
        <w:pBdr/>
        <w:spacing w:before="0" w:after="210"/>
        <w:ind w:left="0" w:right="0" w:hanging="0"/>
        <w:rPr>
          <w:rFonts w:ascii="Arial" w:hAnsi="Arial"/>
          <w:color w:val="000000"/>
          <w:sz w:val="21"/>
        </w:rPr>
      </w:pPr>
      <w:r>
        <w:rPr>
          <w:rFonts w:ascii="Arial" w:hAnsi="Arial"/>
          <w:color w:val="000000"/>
          <w:sz w:val="21"/>
        </w:rPr>
        <w:t>The Corporate Governance and Compliance Committee monitors business and any personal or guest Company-provided air travel on a periodic basis.</w:t>
      </w:r>
    </w:p>
    <w:p>
      <w:pPr>
        <w:pStyle w:val="TextBody"/>
        <w:pBdr/>
        <w:spacing w:before="0" w:after="210"/>
        <w:ind w:left="0" w:right="0" w:hanging="0"/>
        <w:rPr>
          <w:rFonts w:ascii="Arial" w:hAnsi="Arial"/>
          <w:color w:val="000000"/>
          <w:sz w:val="21"/>
        </w:rPr>
      </w:pPr>
      <w:r>
        <w:rPr>
          <w:rFonts w:ascii="Arial" w:hAnsi="Arial"/>
          <w:color w:val="000000"/>
          <w:sz w:val="21"/>
        </w:rPr>
        <w:t>Additional information regarding perquisites and other personal benefits provided to our NEOs in, or with respect to, 2022 is given in the applicable footnotes to the Summary Compensation Table included in this proxy statement.</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61" w:name="new_id-152"/>
      <w:bookmarkEnd w:id="161"/>
      <w:r>
        <w:rPr>
          <w:rFonts w:ascii="Arial" w:hAnsi="Arial"/>
          <w:b/>
          <w:i w:val="false"/>
          <w:caps w:val="false"/>
          <w:smallCaps w:val="false"/>
          <w:color w:val="D31B5D"/>
          <w:sz w:val="30"/>
          <w:bdr w:val="single" w:sz="12" w:space="2" w:color="245BA7"/>
        </w:rPr>
        <w:t xml:space="preserve">POTENTIAL SEVERANCE PAYMENTS </w:t>
      </w:r>
    </w:p>
    <w:p>
      <w:pPr>
        <w:pStyle w:val="TextBody"/>
        <w:pBdr/>
        <w:spacing w:before="0" w:after="210"/>
        <w:ind w:left="0" w:right="0" w:hanging="0"/>
        <w:rPr>
          <w:rFonts w:ascii="Arial" w:hAnsi="Arial"/>
          <w:color w:val="000000"/>
          <w:sz w:val="21"/>
        </w:rPr>
      </w:pPr>
      <w:r>
        <w:rPr>
          <w:rFonts w:ascii="Arial" w:hAnsi="Arial"/>
          <w:color w:val="000000"/>
          <w:sz w:val="21"/>
        </w:rPr>
        <w:t>Except for equity award agreements for Dr. Vagelos and the 2020 PSU award agreements,6 outstanding equity award agreements for all employees include a “double trigger” provision for the acceleration of vesting of unvested equity awards upon a termination by the Company without cause or by the employee for good reason within two years following a change in control. Dr. Vagelos’s stock option, PSU, and RSU awards contain change-of-control provisions consistent with those applicable to the non-employee director equity awards, as described under “Board of Directors–Compensation of Directors” above.</w:t>
      </w:r>
    </w:p>
    <w:p>
      <w:pPr>
        <w:pStyle w:val="TextBody"/>
        <w:pBdr/>
        <w:spacing w:before="0" w:after="210"/>
        <w:ind w:left="0" w:right="0" w:hanging="0"/>
        <w:rPr>
          <w:rFonts w:ascii="Arial" w:hAnsi="Arial"/>
          <w:color w:val="000000"/>
          <w:sz w:val="21"/>
        </w:rPr>
      </w:pPr>
      <w:r>
        <w:rPr>
          <w:rFonts w:ascii="Arial" w:hAnsi="Arial"/>
          <w:color w:val="000000"/>
          <w:sz w:val="21"/>
        </w:rPr>
        <w:t>Our CEO has an employment agreement that provides for certain severance benefits following termination, including following death or disability, resignation following defined “good reason” events, or termination in connection with a change in control. The other NEOs are covered by a change in control severance plan, which provides certain benefits to them and other designated officers if they are terminated in connection with a change in control. In addition, in the case of our CSO, stock option, RSA, and PSU award agreements applicable to his awards provide that he would have a “good reason” for terminating his employment with Regeneron upon or within two years after the occurrence of a change in control if the employment of our CEO has ended due to our CEO’s involuntary termination (as defined in the CEO’s employment agreement). Information regarding applicable payments under this employment agreement and change in control severance plan is provided in the subsection “2022 Executive Compensation Tables—Post-Employment Compensation.”</w:t>
      </w:r>
    </w:p>
    <w:p>
      <w:pPr>
        <w:pStyle w:val="TextBody"/>
        <w:pBdr/>
        <w:spacing w:before="0" w:after="210"/>
        <w:ind w:left="0" w:right="0" w:hanging="0"/>
        <w:rPr>
          <w:rFonts w:ascii="Arial" w:hAnsi="Arial"/>
          <w:color w:val="000000"/>
          <w:sz w:val="21"/>
        </w:rPr>
      </w:pPr>
      <w:r>
        <w:rPr>
          <w:rFonts w:ascii="Arial" w:hAnsi="Arial"/>
          <w:color w:val="000000"/>
          <w:sz w:val="21"/>
        </w:rPr>
        <w:t>Our NEOs will forfeit any unvested stock options or RSAs upon the termination of their employment for any reason (including disability or retirement) other than death, except as provided in our employment agreement with our CEO, in our change in control severance plan, and in certain stock option agreements with our CSO. In the event of the death of an employee, any unvested stock options held by such employee become immediately exercisable, and any shares subject to RSAs/RSUs will become fully vested. In the case of PSU awards to our CEO and CSO (as well as the 2019 PSU award to Dr. Vagelos), upon a termination of employment due to death (or, in the case of 2020 PSU awards, also disability), the PSU award will remain outstanding, and any vesting of the PSUs will be determined following the completion of the applicable performance period. For information regarding the value of accelerated stock options, RSAs, and PSUs held by our CEO and other NEOs (as applicable) as of December 31, 2022, see the subsection “2022 Executive Compensation Tables—Post-Employment Compensation” under “Value of Accelerated Stock Options/PSUs” in the table entitled “Potential Severance Payments under Dr. Schleifer’s Employment Agreement” (for our CEO) and under “Value of Accelerated Stock Options/RSAs/PSUs” in the table entitled “Potential Payments under Change in Control Severance Plan” (for other NEOs).</w:t>
      </w:r>
    </w:p>
    <w:p>
      <w:pPr>
        <w:pStyle w:val="TextBody"/>
        <w:rPr/>
      </w:pPr>
      <w:r>
        <w:rPr/>
      </w:r>
    </w:p>
    <w:tbl>
      <w:tblPr>
        <w:tblW w:w="10205" w:type="dxa"/>
        <w:jc w:val="left"/>
        <w:tblInd w:w="0" w:type="dxa"/>
        <w:tblCellMar>
          <w:top w:w="45" w:type="dxa"/>
          <w:left w:w="0" w:type="dxa"/>
          <w:bottom w:w="0" w:type="dxa"/>
          <w:right w:w="0" w:type="dxa"/>
        </w:tblCellMar>
      </w:tblPr>
      <w:tblGrid>
        <w:gridCol w:w="140"/>
        <w:gridCol w:w="10065"/>
      </w:tblGrid>
      <w:tr>
        <w:trPr/>
        <w:tc>
          <w:tcPr>
            <w:tcW w:w="140" w:type="dxa"/>
            <w:tcBorders>
              <w:top w:val="single" w:sz="2" w:space="0" w:color="000000"/>
            </w:tcBorders>
            <w:shd w:fill="auto" w:val="clear"/>
            <w:vAlign w:val="center"/>
          </w:tcPr>
          <w:p>
            <w:pPr>
              <w:pStyle w:val="TableContents"/>
              <w:pBdr/>
              <w:spacing w:before="60" w:after="0"/>
              <w:ind w:left="0" w:right="0" w:hanging="0"/>
              <w:rPr>
                <w:rFonts w:ascii="Arial" w:hAnsi="Arial"/>
                <w:color w:val="245BA7"/>
                <w:sz w:val="20"/>
              </w:rPr>
            </w:pPr>
            <w:r>
              <w:rPr>
                <w:rFonts w:ascii="Arial" w:hAnsi="Arial"/>
                <w:color w:val="245BA7"/>
                <w:sz w:val="20"/>
              </w:rPr>
              <w:t>6</w:t>
            </w:r>
          </w:p>
        </w:tc>
        <w:tc>
          <w:tcPr>
            <w:tcW w:w="10065" w:type="dxa"/>
            <w:tcBorders>
              <w:top w:val="single" w:sz="2" w:space="0" w:color="000000"/>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In the case of the PSUs granted to our CEO and CSO in 2020, if there is a change in control, earnout is measured as of the date of the change in control (using the applicable transaction price as the ending stock price), and all PSUs earned as of that date vest with no Holding Period and any unearned PSUs are forfeited immediately.</w:t>
            </w:r>
          </w:p>
        </w:tc>
      </w:tr>
    </w:tbl>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97"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29" descr=""/>
                          <pic:cNvPicPr>
                            <a:picLocks noChangeAspect="1" noChangeArrowheads="1"/>
                          </pic:cNvPicPr>
                        </pic:nvPicPr>
                        <pic:blipFill>
                          <a:blip r:embed="rId230"/>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94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Except as provided below, when employees retire, they forfeit all unvested stock options, RSAs, and PSUs, including the PSUs granted to our CEO and CSO in 2020. An employee considered “retirement eligible” upon separation under our employee policies as in effect from time to time has the remaining life of the 10-year stock option term to exercise stock options that are vested as of the date of his or her retirement. In addition, in the case of (i) stock option award agreements with our CEO (as provided in his employment agreement), our CSO, and Dr. Vagelos and (ii) the 2019 PSU award agreements with our CEO and CSO and Dr. Vagelos, awards thereunder will continue to vest in accordance with the terms of the applicable award agreement so long as they are “retirement eligible” upon separation.</w:t>
      </w:r>
    </w:p>
    <w:p>
      <w:pPr>
        <w:pStyle w:val="TextBody"/>
        <w:pBdr/>
        <w:spacing w:before="0" w:after="210"/>
        <w:ind w:left="0" w:right="0" w:hanging="0"/>
        <w:rPr>
          <w:rFonts w:ascii="Arial" w:hAnsi="Arial"/>
          <w:color w:val="000000"/>
          <w:sz w:val="21"/>
        </w:rPr>
      </w:pPr>
      <w:r>
        <w:rPr>
          <w:rFonts w:ascii="Arial" w:hAnsi="Arial"/>
          <w:color w:val="000000"/>
          <w:sz w:val="21"/>
        </w:rPr>
        <w:t>The award agreements for the 2020 PSU awards to our CEO and CSO provide that if the recipient’s employment with the Company is terminated without Cause or the recipient leaves his employment with the Company for a Good Reason (each as defined in or incorporated by reference into the Second Amended and Restated Regeneron Pharmaceuticals, Inc. 2014 Long-Term Incentive Plan or the award agreement), earnout is measured as of termination and all PSUs earned as of that date vest and remain subject to a mandatory deferral and holding period of three years after vesting. In this circumstance, PSUs not earned as of such termination date have 12 additional months to be earned and, to the extent earned, will vest on the fifth anniversary of the grant date or the first anniversary of the termination, whichever comes first (with the holding period beginning upon such vesting). Unearned PSUs are forfeited at the end of the 12 months. See the table entitled “Potential Severance Payments under Dr. Schleifer’s Employment Agreement” in the subsection “2022 Executive Compensation Tables—Post-Employment Compensation” for the value of accelerated 2020 PSU awards to our CEO under such a termination scenario as of December 31, 2022 (which value would be the same in respect of the 2020 PSU awards to our CSO under a corresponding termination scenario).</w:t>
      </w:r>
    </w:p>
    <w:p>
      <w:pPr>
        <w:pStyle w:val="TextBody"/>
        <w:pBdr/>
        <w:spacing w:before="0" w:after="210"/>
        <w:ind w:left="0" w:right="0" w:hanging="0"/>
        <w:rPr>
          <w:rFonts w:ascii="Arial" w:hAnsi="Arial"/>
          <w:color w:val="000000"/>
          <w:sz w:val="21"/>
        </w:rPr>
      </w:pPr>
      <w:r>
        <w:rPr>
          <w:rFonts w:ascii="Arial" w:hAnsi="Arial"/>
          <w:color w:val="000000"/>
          <w:sz w:val="21"/>
        </w:rPr>
        <w:t>The change-in-control severance benefits provided to our NEOs are designed to promote stability and continuity of our senior management and are intended to preserve employee morale and productivity and encourage retention in the face of the disruptive impact of an actual, threatened, or rumored change in control of the Company. These severance benefits were established following a review of comparable practices at the Company’s peer companies and with the advice of the Compensation Committee’s consultant. </w:t>
      </w:r>
    </w:p>
    <w:p>
      <w:pPr>
        <w:pStyle w:val="TextBody"/>
        <w:pBdr/>
        <w:spacing w:before="0" w:after="210"/>
        <w:ind w:left="0" w:right="0" w:hanging="0"/>
        <w:rPr>
          <w:rFonts w:ascii="Arial" w:hAnsi="Arial"/>
          <w:color w:val="000000"/>
          <w:sz w:val="21"/>
        </w:rPr>
      </w:pPr>
      <w:r>
        <w:rPr>
          <w:rFonts w:ascii="Arial" w:hAnsi="Arial"/>
          <w:color w:val="000000"/>
          <w:sz w:val="21"/>
        </w:rPr>
        <w:t>We have no pension, deferred compensation, or retirement plans applicable to our NEOs, other than our 401(k) Savings Plan described above.</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62" w:name="new_id-153"/>
      <w:bookmarkEnd w:id="162"/>
      <w:r>
        <w:rPr>
          <w:rFonts w:ascii="Arial" w:hAnsi="Arial"/>
          <w:b/>
          <w:i w:val="false"/>
          <w:caps w:val="false"/>
          <w:smallCaps w:val="false"/>
          <w:color w:val="D31B5D"/>
          <w:sz w:val="30"/>
          <w:bdr w:val="single" w:sz="12" w:space="2" w:color="245BA7"/>
        </w:rPr>
        <w:t xml:space="preserve">PAY RATIO </w:t>
      </w:r>
    </w:p>
    <w:p>
      <w:pPr>
        <w:pStyle w:val="TextBody"/>
        <w:pBdr/>
        <w:spacing w:before="0" w:after="210"/>
        <w:ind w:left="0" w:right="0" w:hanging="0"/>
        <w:rPr>
          <w:rFonts w:ascii="Arial" w:hAnsi="Arial"/>
          <w:color w:val="000000"/>
          <w:sz w:val="21"/>
        </w:rPr>
      </w:pPr>
      <w:r>
        <w:rPr>
          <w:rFonts w:ascii="Arial" w:hAnsi="Arial"/>
          <w:color w:val="000000"/>
          <w:sz w:val="21"/>
        </w:rPr>
        <w:t>As required by Section 953(b) of the Dodd-Frank Wall Street Reform and Consumer Protection Act and Item 402(u) of Regulation S-K, we are required to disclose the median of the annual total compensation of our employees (excluding our principal executive officer), the annual total compensation of our principal executive officer, Dr. Schleifer, and the ratio of these two amounts. </w:t>
      </w:r>
    </w:p>
    <w:p>
      <w:pPr>
        <w:pStyle w:val="TextBody"/>
        <w:pBdr/>
        <w:spacing w:before="0" w:after="210"/>
        <w:ind w:left="0" w:right="0" w:hanging="0"/>
        <w:rPr>
          <w:rFonts w:ascii="Arial" w:hAnsi="Arial"/>
          <w:color w:val="000000"/>
          <w:sz w:val="21"/>
        </w:rPr>
      </w:pPr>
      <w:r>
        <w:rPr>
          <w:rFonts w:ascii="Arial" w:hAnsi="Arial"/>
          <w:color w:val="000000"/>
          <w:sz w:val="21"/>
        </w:rPr>
        <w:t>We have determined the total compensation of our median employee (based on the 2022 annual total compensation of our employees, excluding Dr. Schleifer) to be $162,115. The total 2022 compensation of Dr. Schleifer, as reported in the Summary Compensation Table above, was $7,004,069. Accordingly, the ratio of the 2022 annual total compensation of Dr. Schleifer to the median of the 2022 annual total compensation of our employees was approximately 43 to 1.7</w:t>
      </w:r>
    </w:p>
    <w:p>
      <w:pPr>
        <w:pStyle w:val="TextBody"/>
        <w:pBdr/>
        <w:spacing w:before="0" w:after="210"/>
        <w:ind w:left="0" w:right="0" w:hanging="0"/>
        <w:rPr>
          <w:rFonts w:ascii="Arial" w:hAnsi="Arial"/>
          <w:color w:val="000000"/>
          <w:sz w:val="21"/>
        </w:rPr>
      </w:pPr>
      <w:r>
        <w:rPr>
          <w:rFonts w:ascii="Arial" w:hAnsi="Arial"/>
          <w:color w:val="000000"/>
          <w:sz w:val="21"/>
        </w:rPr>
        <w:t>For 2022, we identified the median employee as of December 31, 2022 by (i) aggregating for each applicable employee (a) annual base salary for salaried employees (or wages plus overtime, based on annual work schedule, for permanent hourly employees), (b) the target annual cash incentive, and (c) the grant date fair value of any equity awards granted during 2022, and (ii) ranking this compensation measure from lowest to highest. This calculation was performed for all employees, excluding Dr. Schleifer, whether employed on a full-time, part-time, or seasonal basis. For purposes of identifying the median employee, we converted amounts paid in foreign currencies to U.S. dollars based on the applicable 2022 average exchange rate.</w:t>
      </w:r>
    </w:p>
    <w:p>
      <w:pPr>
        <w:pStyle w:val="TextBody"/>
        <w:rPr/>
      </w:pPr>
      <w:r>
        <w:rPr/>
      </w:r>
    </w:p>
    <w:tbl>
      <w:tblPr>
        <w:tblW w:w="10205" w:type="dxa"/>
        <w:jc w:val="left"/>
        <w:tblInd w:w="0" w:type="dxa"/>
        <w:tblCellMar>
          <w:top w:w="45" w:type="dxa"/>
          <w:left w:w="0" w:type="dxa"/>
          <w:bottom w:w="0" w:type="dxa"/>
          <w:right w:w="0" w:type="dxa"/>
        </w:tblCellMar>
      </w:tblPr>
      <w:tblGrid>
        <w:gridCol w:w="140"/>
        <w:gridCol w:w="10065"/>
      </w:tblGrid>
      <w:tr>
        <w:trPr/>
        <w:tc>
          <w:tcPr>
            <w:tcW w:w="140" w:type="dxa"/>
            <w:tcBorders>
              <w:top w:val="single" w:sz="2" w:space="0" w:color="000000"/>
            </w:tcBorders>
            <w:shd w:fill="auto" w:val="clear"/>
            <w:vAlign w:val="center"/>
          </w:tcPr>
          <w:p>
            <w:pPr>
              <w:pStyle w:val="TableContents"/>
              <w:pBdr/>
              <w:spacing w:before="60" w:after="0"/>
              <w:ind w:left="0" w:right="0" w:hanging="0"/>
              <w:rPr>
                <w:rFonts w:ascii="Arial" w:hAnsi="Arial"/>
                <w:color w:val="245BA7"/>
                <w:sz w:val="20"/>
              </w:rPr>
            </w:pPr>
            <w:r>
              <w:rPr>
                <w:rFonts w:ascii="Arial" w:hAnsi="Arial"/>
                <w:color w:val="245BA7"/>
                <w:sz w:val="20"/>
              </w:rPr>
              <w:t>7</w:t>
            </w:r>
          </w:p>
        </w:tc>
        <w:tc>
          <w:tcPr>
            <w:tcW w:w="10065" w:type="dxa"/>
            <w:tcBorders>
              <w:top w:val="single" w:sz="2" w:space="0" w:color="000000"/>
            </w:tcBorders>
            <w:shd w:fill="auto" w:val="clear"/>
            <w:vAlign w:val="center"/>
          </w:tcPr>
          <w:p>
            <w:pPr>
              <w:pStyle w:val="TableContents"/>
              <w:pBdr/>
              <w:spacing w:before="60" w:after="0"/>
              <w:ind w:left="0" w:right="0" w:hanging="0"/>
              <w:rPr>
                <w:rFonts w:ascii="Arial" w:hAnsi="Arial"/>
                <w:color w:val="000000"/>
                <w:sz w:val="20"/>
              </w:rPr>
            </w:pPr>
            <w:r>
              <w:rPr>
                <w:rFonts w:ascii="Arial" w:hAnsi="Arial"/>
                <w:color w:val="000000"/>
                <w:sz w:val="20"/>
              </w:rPr>
              <w:t>This ratio would have been approximately 204 to 1 if the five-year, front-loaded PSU award granted to Dr. Schleifer in 2020 in lieu of five years of annual equity awards (i.e., until the Company’s regular year-end grant cycle in December 2025) were annualized over such five-year period.</w:t>
            </w:r>
          </w:p>
        </w:tc>
      </w:tr>
    </w:tbl>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98"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30" descr=""/>
                          <pic:cNvPicPr>
                            <a:picLocks noChangeAspect="1" noChangeArrowheads="1"/>
                          </pic:cNvPicPr>
                        </pic:nvPicPr>
                        <pic:blipFill>
                          <a:blip r:embed="rId231"/>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95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We believe that 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63" w:name="new_id-154"/>
      <w:bookmarkEnd w:id="163"/>
      <w:r>
        <w:rPr>
          <w:rFonts w:ascii="Arial" w:hAnsi="Arial"/>
          <w:b/>
          <w:i w:val="false"/>
          <w:caps w:val="false"/>
          <w:smallCaps w:val="false"/>
          <w:color w:val="D31B5D"/>
          <w:sz w:val="30"/>
          <w:bdr w:val="single" w:sz="12" w:space="2" w:color="245BA7"/>
        </w:rPr>
        <w:t xml:space="preserve">PAY VERSUS PERFORMANCE </w:t>
      </w:r>
    </w:p>
    <w:p>
      <w:pPr>
        <w:pStyle w:val="TextBody"/>
        <w:pBdr/>
        <w:spacing w:before="0" w:after="210"/>
        <w:ind w:left="0" w:right="0" w:hanging="0"/>
        <w:rPr>
          <w:rFonts w:ascii="Arial" w:hAnsi="Arial"/>
          <w:color w:val="000000"/>
          <w:sz w:val="21"/>
        </w:rPr>
      </w:pPr>
      <w:r>
        <w:rPr>
          <w:rFonts w:ascii="Arial" w:hAnsi="Arial"/>
          <w:color w:val="000000"/>
          <w:sz w:val="21"/>
        </w:rPr>
        <w:t>As required by Item 402(v) of Regulation S-K, the following table and accompanying footnotes and discussion provide certain information regarding executive compensation and measures of Company performance in the last three fiscal years. Except where expressly stated, the information presented below was not considered by the Compensation Committee in structuring our executive compensation program for the years presented, and the reader should instead refer to the section “Compensation Discussion and Analysis” for a description of the philosophy, objectives, and structure of our pay program.</w:t>
      </w:r>
    </w:p>
    <w:tbl>
      <w:tblPr>
        <w:tblW w:w="10205" w:type="dxa"/>
        <w:jc w:val="left"/>
        <w:tblInd w:w="0" w:type="dxa"/>
        <w:tblCellMar>
          <w:top w:w="0" w:type="dxa"/>
          <w:left w:w="0" w:type="dxa"/>
          <w:bottom w:w="75" w:type="dxa"/>
          <w:right w:w="0" w:type="dxa"/>
        </w:tblCellMar>
      </w:tblPr>
      <w:tblGrid>
        <w:gridCol w:w="500"/>
        <w:gridCol w:w="1391"/>
        <w:gridCol w:w="97"/>
        <w:gridCol w:w="1361"/>
        <w:gridCol w:w="95"/>
        <w:gridCol w:w="1381"/>
        <w:gridCol w:w="108"/>
        <w:gridCol w:w="1407"/>
        <w:gridCol w:w="110"/>
        <w:gridCol w:w="709"/>
        <w:gridCol w:w="711"/>
        <w:gridCol w:w="84"/>
        <w:gridCol w:w="1342"/>
        <w:gridCol w:w="82"/>
        <w:gridCol w:w="712"/>
        <w:gridCol w:w="115"/>
      </w:tblGrid>
      <w:tr>
        <w:trPr/>
        <w:tc>
          <w:tcPr>
            <w:tcW w:w="500" w:type="dxa"/>
            <w:tcBorders>
              <w:bottom w:val="single" w:sz="12" w:space="0" w:color="245BA7"/>
            </w:tcBorders>
            <w:shd w:fill="auto" w:val="clear"/>
            <w:vAlign w:val="center"/>
          </w:tcPr>
          <w:p>
            <w:pPr>
              <w:pStyle w:val="TableContents"/>
              <w:pBdr/>
              <w:spacing w:before="15" w:after="0"/>
              <w:ind w:left="15" w:right="15" w:hanging="0"/>
              <w:rPr>
                <w:color w:val="245BA7"/>
              </w:rPr>
            </w:pPr>
            <w:r>
              <w:rPr>
                <w:color w:val="245BA7"/>
              </w:rPr>
              <w:t> </w:t>
            </w:r>
          </w:p>
        </w:tc>
        <w:tc>
          <w:tcPr>
            <w:tcW w:w="1391"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97"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361"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95"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381"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08"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407"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530" w:type="dxa"/>
            <w:gridSpan w:val="3"/>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84"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342"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82"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712"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15"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r>
      <w:tr>
        <w:trPr/>
        <w:tc>
          <w:tcPr>
            <w:tcW w:w="500" w:type="dxa"/>
            <w:tcBorders>
              <w:bottom w:val="single" w:sz="12" w:space="0" w:color="245BA7"/>
            </w:tcBorders>
            <w:shd w:fill="auto" w:val="clear"/>
            <w:vAlign w:val="center"/>
          </w:tcPr>
          <w:p>
            <w:pPr>
              <w:pStyle w:val="TableContents"/>
              <w:pBdr/>
              <w:spacing w:before="15" w:after="0"/>
              <w:ind w:left="15" w:right="15" w:hanging="0"/>
              <w:rPr>
                <w:rFonts w:ascii="Arial" w:hAnsi="Arial"/>
                <w:b/>
                <w:color w:val="245BA7"/>
                <w:sz w:val="18"/>
              </w:rPr>
            </w:pPr>
            <w:r>
              <w:rPr>
                <w:rFonts w:ascii="Arial" w:hAnsi="Arial"/>
                <w:b/>
                <w:color w:val="245BA7"/>
                <w:sz w:val="18"/>
              </w:rPr>
              <w:t>A</w:t>
            </w:r>
          </w:p>
        </w:tc>
        <w:tc>
          <w:tcPr>
            <w:tcW w:w="1391"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r>
              <w:rPr>
                <w:rFonts w:ascii="Arial" w:hAnsi="Arial"/>
                <w:b/>
                <w:color w:val="245BA7"/>
                <w:sz w:val="18"/>
              </w:rPr>
              <w:t>B</w:t>
            </w:r>
          </w:p>
        </w:tc>
        <w:tc>
          <w:tcPr>
            <w:tcW w:w="97"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361"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r>
              <w:rPr>
                <w:rFonts w:ascii="Arial" w:hAnsi="Arial"/>
                <w:b/>
                <w:color w:val="245BA7"/>
                <w:sz w:val="18"/>
              </w:rPr>
              <w:t>C</w:t>
            </w:r>
          </w:p>
        </w:tc>
        <w:tc>
          <w:tcPr>
            <w:tcW w:w="95"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381"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r>
              <w:rPr>
                <w:rFonts w:ascii="Arial" w:hAnsi="Arial"/>
                <w:b/>
                <w:color w:val="245BA7"/>
                <w:sz w:val="18"/>
              </w:rPr>
              <w:t>D</w:t>
            </w:r>
          </w:p>
        </w:tc>
        <w:tc>
          <w:tcPr>
            <w:tcW w:w="108"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407"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r>
              <w:rPr>
                <w:rFonts w:ascii="Arial" w:hAnsi="Arial"/>
                <w:b/>
                <w:color w:val="245BA7"/>
                <w:sz w:val="18"/>
              </w:rPr>
              <w:t>E</w:t>
            </w:r>
          </w:p>
        </w:tc>
        <w:tc>
          <w:tcPr>
            <w:tcW w:w="110"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709" w:type="dxa"/>
            <w:tcBorders>
              <w:bottom w:val="single" w:sz="1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F</w:t>
            </w:r>
          </w:p>
        </w:tc>
        <w:tc>
          <w:tcPr>
            <w:tcW w:w="711"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r>
              <w:rPr>
                <w:rFonts w:ascii="Arial" w:hAnsi="Arial"/>
                <w:b/>
                <w:color w:val="245BA7"/>
                <w:sz w:val="18"/>
              </w:rPr>
              <w:t>G</w:t>
            </w:r>
          </w:p>
        </w:tc>
        <w:tc>
          <w:tcPr>
            <w:tcW w:w="84"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342"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r>
              <w:rPr>
                <w:rFonts w:ascii="Arial" w:hAnsi="Arial"/>
                <w:b/>
                <w:color w:val="245BA7"/>
                <w:sz w:val="18"/>
              </w:rPr>
              <w:t>H</w:t>
            </w:r>
          </w:p>
        </w:tc>
        <w:tc>
          <w:tcPr>
            <w:tcW w:w="82"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712"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r>
              <w:rPr>
                <w:rFonts w:ascii="Arial" w:hAnsi="Arial"/>
                <w:b/>
                <w:color w:val="245BA7"/>
                <w:sz w:val="18"/>
              </w:rPr>
              <w:t>I</w:t>
            </w:r>
          </w:p>
        </w:tc>
        <w:tc>
          <w:tcPr>
            <w:tcW w:w="115"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r>
      <w:tr>
        <w:trPr/>
        <w:tc>
          <w:tcPr>
            <w:tcW w:w="500" w:type="dxa"/>
            <w:tcBorders>
              <w:bottom w:val="single" w:sz="12" w:space="0" w:color="245BA7"/>
            </w:tcBorders>
            <w:shd w:fill="auto" w:val="clear"/>
            <w:vAlign w:val="center"/>
          </w:tcPr>
          <w:p>
            <w:pPr>
              <w:pStyle w:val="TableContents"/>
              <w:pBdr/>
              <w:spacing w:before="15" w:after="0"/>
              <w:ind w:left="15" w:right="15" w:hanging="0"/>
              <w:rPr>
                <w:color w:val="245BA7"/>
              </w:rPr>
            </w:pPr>
            <w:r>
              <w:rPr>
                <w:color w:val="245BA7"/>
              </w:rPr>
              <w:t> </w:t>
            </w:r>
          </w:p>
        </w:tc>
        <w:tc>
          <w:tcPr>
            <w:tcW w:w="1391"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97"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361"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95"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381"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08"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407"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530" w:type="dxa"/>
            <w:gridSpan w:val="3"/>
            <w:tcBorders>
              <w:bottom w:val="single" w:sz="1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Value of Initial Fixed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$100 Investment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Based On:</w:t>
            </w:r>
          </w:p>
        </w:tc>
        <w:tc>
          <w:tcPr>
            <w:tcW w:w="84"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342"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82"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712"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115"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r>
      <w:tr>
        <w:trPr/>
        <w:tc>
          <w:tcPr>
            <w:tcW w:w="500" w:type="dxa"/>
            <w:tcBorders>
              <w:bottom w:val="single" w:sz="12" w:space="0" w:color="245BA7"/>
            </w:tcBorders>
            <w:shd w:fill="auto" w:val="clear"/>
            <w:vAlign w:val="center"/>
          </w:tcPr>
          <w:p>
            <w:pPr>
              <w:pStyle w:val="TableContents"/>
              <w:pBdr/>
              <w:spacing w:before="15" w:after="0"/>
              <w:ind w:left="15" w:right="15" w:hanging="0"/>
              <w:rPr>
                <w:color w:val="245BA7"/>
              </w:rPr>
            </w:pPr>
            <w:r>
              <w:rPr>
                <w:color w:val="245BA7"/>
              </w:rPr>
              <w:t> </w:t>
            </w:r>
          </w:p>
          <w:p>
            <w:pPr>
              <w:pStyle w:val="TableContents"/>
              <w:pBdr/>
              <w:spacing w:before="15" w:after="0"/>
              <w:ind w:left="15" w:right="15" w:hanging="0"/>
              <w:rPr>
                <w:rFonts w:ascii="Arial" w:hAnsi="Arial"/>
                <w:b/>
                <w:color w:val="245BA7"/>
                <w:sz w:val="18"/>
              </w:rPr>
            </w:pPr>
            <w:r>
              <w:rPr>
                <w:rFonts w:ascii="Arial" w:hAnsi="Arial"/>
                <w:b/>
                <w:color w:val="245BA7"/>
                <w:sz w:val="18"/>
              </w:rPr>
              <w:t>Year</w:t>
            </w:r>
          </w:p>
        </w:tc>
        <w:tc>
          <w:tcPr>
            <w:tcW w:w="1488" w:type="dxa"/>
            <w:gridSpan w:val="2"/>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Summary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Compensation Table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Total for PEO ($)1</w:t>
            </w:r>
          </w:p>
        </w:tc>
        <w:tc>
          <w:tcPr>
            <w:tcW w:w="1456" w:type="dxa"/>
            <w:gridSpan w:val="2"/>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Compensation </w:t>
            </w:r>
          </w:p>
          <w:p>
            <w:pPr>
              <w:pStyle w:val="TableContents"/>
              <w:pBdr/>
              <w:spacing w:before="0" w:after="15"/>
              <w:ind w:left="15" w:right="15" w:hanging="0"/>
              <w:jc w:val="center"/>
              <w:rPr>
                <w:color w:val="245BA7"/>
              </w:rPr>
            </w:pPr>
            <w:r>
              <w:rPr>
                <w:color w:val="245BA7"/>
              </w:rPr>
              <w:t>“</w:t>
            </w:r>
            <w:r>
              <w:rPr>
                <w:rFonts w:ascii="Arial" w:hAnsi="Arial"/>
                <w:b/>
                <w:color w:val="245BA7"/>
                <w:sz w:val="18"/>
              </w:rPr>
              <w:t xml:space="preserve">Actually Paid” to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PEO ($)1,2,3</w:t>
            </w:r>
          </w:p>
        </w:tc>
        <w:tc>
          <w:tcPr>
            <w:tcW w:w="1489" w:type="dxa"/>
            <w:gridSpan w:val="2"/>
            <w:tcBorders>
              <w:bottom w:val="single" w:sz="1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Average Summary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Compensation Table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Total for Non-PEO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NEOs ($)1</w:t>
            </w:r>
          </w:p>
        </w:tc>
        <w:tc>
          <w:tcPr>
            <w:tcW w:w="1517" w:type="dxa"/>
            <w:gridSpan w:val="2"/>
            <w:tcBorders>
              <w:bottom w:val="single" w:sz="1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Average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Compensation </w:t>
            </w:r>
          </w:p>
          <w:p>
            <w:pPr>
              <w:pStyle w:val="TableContents"/>
              <w:pBdr/>
              <w:spacing w:before="0" w:after="15"/>
              <w:ind w:left="15" w:right="15" w:hanging="0"/>
              <w:jc w:val="center"/>
              <w:rPr>
                <w:color w:val="245BA7"/>
              </w:rPr>
            </w:pPr>
            <w:r>
              <w:rPr>
                <w:color w:val="245BA7"/>
              </w:rPr>
              <w:t>“</w:t>
            </w:r>
            <w:r>
              <w:rPr>
                <w:rFonts w:ascii="Arial" w:hAnsi="Arial"/>
                <w:b/>
                <w:color w:val="245BA7"/>
                <w:sz w:val="18"/>
              </w:rPr>
              <w:t xml:space="preserve">Actually Paid” to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Non-PEO NEOs ($)1,2,3</w:t>
            </w:r>
          </w:p>
        </w:tc>
        <w:tc>
          <w:tcPr>
            <w:tcW w:w="709"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p>
            <w:pPr>
              <w:pStyle w:val="TableContents"/>
              <w:pBdr/>
              <w:spacing w:before="15" w:after="0"/>
              <w:ind w:left="15" w:right="15" w:hanging="0"/>
              <w:jc w:val="center"/>
              <w:rPr>
                <w:color w:val="245BA7"/>
              </w:rPr>
            </w:pPr>
            <w:r>
              <w:rPr>
                <w:color w:val="245BA7"/>
              </w:rPr>
              <w:t> </w:t>
            </w:r>
            <w:r>
              <w:rPr>
                <w:rFonts w:ascii="Arial" w:hAnsi="Arial"/>
                <w:b/>
                <w:color w:val="245BA7"/>
                <w:sz w:val="18"/>
              </w:rPr>
              <w:t>TSR ($)</w:t>
            </w:r>
          </w:p>
        </w:tc>
        <w:tc>
          <w:tcPr>
            <w:tcW w:w="795" w:type="dxa"/>
            <w:gridSpan w:val="2"/>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p>
            <w:pPr>
              <w:pStyle w:val="TableContents"/>
              <w:pBdr/>
              <w:spacing w:before="15" w:after="0"/>
              <w:ind w:left="15" w:right="15" w:hanging="0"/>
              <w:jc w:val="center"/>
              <w:rPr>
                <w:rFonts w:ascii="Arial" w:hAnsi="Arial"/>
                <w:b/>
                <w:color w:val="245BA7"/>
                <w:sz w:val="18"/>
              </w:rPr>
            </w:pPr>
            <w:r>
              <w:rPr>
                <w:rFonts w:ascii="Arial" w:hAnsi="Arial"/>
                <w:b/>
                <w:color w:val="245BA7"/>
                <w:sz w:val="18"/>
              </w:rPr>
              <w:t>Peer</w:t>
              <w:br/>
              <w:t xml:space="preserve">Group TSR </w:t>
              <w:br/>
              <w:t>($)4</w:t>
            </w:r>
          </w:p>
        </w:tc>
        <w:tc>
          <w:tcPr>
            <w:tcW w:w="1424" w:type="dxa"/>
            <w:gridSpan w:val="2"/>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Net Income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827" w:type="dxa"/>
            <w:gridSpan w:val="2"/>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p>
            <w:pPr>
              <w:pStyle w:val="TableContents"/>
              <w:pBdr/>
              <w:spacing w:before="15" w:after="0"/>
              <w:ind w:left="15" w:right="15" w:hanging="0"/>
              <w:jc w:val="center"/>
              <w:rPr>
                <w:color w:val="245BA7"/>
              </w:rPr>
            </w:pPr>
            <w:r>
              <w:rPr>
                <w:color w:val="245BA7"/>
              </w:rPr>
              <w:t> </w:t>
            </w:r>
            <w:r>
              <w:rPr>
                <w:rFonts w:ascii="Arial" w:hAnsi="Arial"/>
                <w:b/>
                <w:color w:val="245BA7"/>
                <w:sz w:val="18"/>
              </w:rPr>
              <w:t>Stock Price</w:t>
            </w:r>
          </w:p>
          <w:p>
            <w:pPr>
              <w:pStyle w:val="TableContents"/>
              <w:pBdr/>
              <w:spacing w:before="15" w:after="0"/>
              <w:ind w:left="15" w:right="15" w:hanging="0"/>
              <w:jc w:val="center"/>
              <w:rPr>
                <w:rFonts w:ascii="Arial" w:hAnsi="Arial"/>
                <w:b/>
                <w:color w:val="245BA7"/>
                <w:sz w:val="18"/>
              </w:rPr>
            </w:pPr>
            <w:r>
              <w:rPr>
                <w:rFonts w:ascii="Arial" w:hAnsi="Arial"/>
                <w:b/>
                <w:color w:val="245BA7"/>
                <w:sz w:val="18"/>
              </w:rPr>
              <w:t>($)5</w:t>
            </w:r>
          </w:p>
        </w:tc>
      </w:tr>
      <w:tr>
        <w:trPr/>
        <w:tc>
          <w:tcPr>
            <w:tcW w:w="500"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2022</w:t>
            </w:r>
          </w:p>
        </w:tc>
        <w:tc>
          <w:tcPr>
            <w:tcW w:w="139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7,004,069</w:t>
            </w:r>
          </w:p>
        </w:tc>
        <w:tc>
          <w:tcPr>
            <w:tcW w:w="97"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136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98,786,583</w:t>
            </w:r>
          </w:p>
        </w:tc>
        <w:tc>
          <w:tcPr>
            <w:tcW w:w="95"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138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8,061,639</w:t>
            </w:r>
          </w:p>
        </w:tc>
        <w:tc>
          <w:tcPr>
            <w:tcW w:w="108"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1407"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32,174,465</w:t>
            </w:r>
          </w:p>
        </w:tc>
        <w:tc>
          <w:tcPr>
            <w:tcW w:w="110"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709"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192.15</w:t>
            </w:r>
          </w:p>
        </w:tc>
        <w:tc>
          <w:tcPr>
            <w:tcW w:w="71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153.08</w:t>
            </w:r>
          </w:p>
        </w:tc>
        <w:tc>
          <w:tcPr>
            <w:tcW w:w="84"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1342"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4,338,400,000</w:t>
            </w:r>
          </w:p>
        </w:tc>
        <w:tc>
          <w:tcPr>
            <w:tcW w:w="82"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712"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721.49</w:t>
            </w:r>
          </w:p>
        </w:tc>
        <w:tc>
          <w:tcPr>
            <w:tcW w:w="115"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r>
      <w:tr>
        <w:trPr/>
        <w:tc>
          <w:tcPr>
            <w:tcW w:w="500" w:type="dxa"/>
            <w:tcBorders>
              <w:top w:val="single" w:sz="2" w:space="0" w:color="F2F2F2"/>
              <w:left w:val="single" w:sz="2" w:space="0" w:color="F2F2F2"/>
              <w:bottom w:val="single" w:sz="2" w:space="0" w:color="575756"/>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2021</w:t>
            </w:r>
          </w:p>
        </w:tc>
        <w:tc>
          <w:tcPr>
            <w:tcW w:w="139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6,470,514</w:t>
            </w:r>
          </w:p>
        </w:tc>
        <w:tc>
          <w:tcPr>
            <w:tcW w:w="97"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 </w:t>
            </w:r>
          </w:p>
        </w:tc>
        <w:tc>
          <w:tcPr>
            <w:tcW w:w="136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123,744,652</w:t>
            </w:r>
          </w:p>
        </w:tc>
        <w:tc>
          <w:tcPr>
            <w:tcW w:w="9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 </w:t>
            </w:r>
          </w:p>
        </w:tc>
        <w:tc>
          <w:tcPr>
            <w:tcW w:w="138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7,548,928</w:t>
            </w:r>
          </w:p>
        </w:tc>
        <w:tc>
          <w:tcPr>
            <w:tcW w:w="108"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 </w:t>
            </w:r>
          </w:p>
        </w:tc>
        <w:tc>
          <w:tcPr>
            <w:tcW w:w="1407"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40,168,860</w:t>
            </w:r>
          </w:p>
        </w:tc>
        <w:tc>
          <w:tcPr>
            <w:tcW w:w="110"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 </w:t>
            </w:r>
          </w:p>
        </w:tc>
        <w:tc>
          <w:tcPr>
            <w:tcW w:w="709"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168.19</w:t>
            </w:r>
          </w:p>
        </w:tc>
        <w:tc>
          <w:tcPr>
            <w:tcW w:w="71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137.47</w:t>
            </w:r>
          </w:p>
        </w:tc>
        <w:tc>
          <w:tcPr>
            <w:tcW w:w="84"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 </w:t>
            </w:r>
          </w:p>
        </w:tc>
        <w:tc>
          <w:tcPr>
            <w:tcW w:w="1342"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8,075,300,000</w:t>
            </w:r>
          </w:p>
        </w:tc>
        <w:tc>
          <w:tcPr>
            <w:tcW w:w="82"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 </w:t>
            </w:r>
          </w:p>
        </w:tc>
        <w:tc>
          <w:tcPr>
            <w:tcW w:w="712"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631.52</w:t>
            </w:r>
          </w:p>
        </w:tc>
        <w:tc>
          <w:tcPr>
            <w:tcW w:w="115"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 </w:t>
            </w:r>
          </w:p>
        </w:tc>
      </w:tr>
      <w:tr>
        <w:trPr/>
        <w:tc>
          <w:tcPr>
            <w:tcW w:w="500" w:type="dxa"/>
            <w:tcBorders>
              <w:bottom w:val="single" w:sz="12" w:space="0" w:color="575756"/>
            </w:tcBorders>
            <w:shd w:fill="auto" w:val="clear"/>
            <w:tcMar>
              <w:bottom w:w="3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2020</w:t>
            </w:r>
          </w:p>
        </w:tc>
        <w:tc>
          <w:tcPr>
            <w:tcW w:w="1391" w:type="dxa"/>
            <w:tcBorders>
              <w:bottom w:val="single" w:sz="1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135,350,121</w:t>
            </w:r>
          </w:p>
        </w:tc>
        <w:tc>
          <w:tcPr>
            <w:tcW w:w="97" w:type="dxa"/>
            <w:tcBorders>
              <w:bottom w:val="single" w:sz="1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1361" w:type="dxa"/>
            <w:tcBorders>
              <w:bottom w:val="single" w:sz="1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153,035,522</w:t>
            </w:r>
          </w:p>
        </w:tc>
        <w:tc>
          <w:tcPr>
            <w:tcW w:w="95" w:type="dxa"/>
            <w:tcBorders>
              <w:bottom w:val="single" w:sz="1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1381" w:type="dxa"/>
            <w:tcBorders>
              <w:bottom w:val="single" w:sz="1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40,058,597</w:t>
            </w:r>
          </w:p>
        </w:tc>
        <w:tc>
          <w:tcPr>
            <w:tcW w:w="108" w:type="dxa"/>
            <w:tcBorders>
              <w:bottom w:val="single" w:sz="1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1407" w:type="dxa"/>
            <w:tcBorders>
              <w:bottom w:val="single" w:sz="1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48,557,559</w:t>
            </w:r>
          </w:p>
        </w:tc>
        <w:tc>
          <w:tcPr>
            <w:tcW w:w="110" w:type="dxa"/>
            <w:tcBorders>
              <w:bottom w:val="single" w:sz="1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709" w:type="dxa"/>
            <w:tcBorders>
              <w:bottom w:val="single" w:sz="1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128.66</w:t>
            </w:r>
          </w:p>
        </w:tc>
        <w:tc>
          <w:tcPr>
            <w:tcW w:w="711" w:type="dxa"/>
            <w:tcBorders>
              <w:bottom w:val="single" w:sz="1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110.52</w:t>
            </w:r>
          </w:p>
        </w:tc>
        <w:tc>
          <w:tcPr>
            <w:tcW w:w="84" w:type="dxa"/>
            <w:tcBorders>
              <w:bottom w:val="single" w:sz="1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1342" w:type="dxa"/>
            <w:tcBorders>
              <w:bottom w:val="single" w:sz="1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3,513,200,000</w:t>
            </w:r>
          </w:p>
        </w:tc>
        <w:tc>
          <w:tcPr>
            <w:tcW w:w="82" w:type="dxa"/>
            <w:tcBorders>
              <w:bottom w:val="single" w:sz="1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712" w:type="dxa"/>
            <w:tcBorders>
              <w:bottom w:val="single" w:sz="12" w:space="0" w:color="575756"/>
            </w:tcBorders>
            <w:shd w:fill="auto" w:val="clear"/>
            <w:tcMar>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483.11</w:t>
            </w:r>
          </w:p>
        </w:tc>
        <w:tc>
          <w:tcPr>
            <w:tcW w:w="115" w:type="dxa"/>
            <w:tcBorders>
              <w:bottom w:val="single" w:sz="1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r>
      <w:tr>
        <w:trPr/>
        <w:tc>
          <w:tcPr>
            <w:tcW w:w="10090" w:type="dxa"/>
            <w:gridSpan w:val="15"/>
            <w:tcBorders/>
            <w:shd w:fill="auto" w:val="clear"/>
            <w:tcMar>
              <w:bottom w:w="0" w:type="dxa"/>
            </w:tcMar>
            <w:vAlign w:val="center"/>
          </w:tcPr>
          <w:p>
            <w:pPr>
              <w:pStyle w:val="TableContents"/>
              <w:spacing w:before="0" w:after="0"/>
              <w:ind w:left="0" w:right="30" w:hanging="0"/>
              <w:rPr>
                <w:rFonts w:ascii="Arial" w:hAnsi="Arial"/>
                <w:color w:val="245BA7"/>
                <w:sz w:val="20"/>
              </w:rPr>
            </w:pPr>
            <w:r>
              <w:rPr>
                <w:rFonts w:ascii="Arial" w:hAnsi="Arial"/>
                <w:color w:val="245BA7"/>
                <w:sz w:val="20"/>
              </w:rPr>
              <w:t>1</w:t>
            </w:r>
          </w:p>
          <w:p>
            <w:pPr>
              <w:pStyle w:val="TableContents"/>
              <w:pBdr/>
              <w:spacing w:before="0" w:after="0"/>
              <w:ind w:left="0" w:right="30" w:hanging="0"/>
              <w:rPr>
                <w:rFonts w:ascii="Arial" w:hAnsi="Arial"/>
                <w:color w:val="000000"/>
                <w:sz w:val="20"/>
              </w:rPr>
            </w:pPr>
            <w:r>
              <w:rPr>
                <w:rFonts w:ascii="Arial" w:hAnsi="Arial"/>
                <w:color w:val="000000"/>
                <w:sz w:val="20"/>
              </w:rPr>
              <w:t>Leonard S. Schleifer, M.D., Ph.D. was our principal executive officer (“PEO”) for each year presented. George D. Yancopoulos, M.D., Ph.D., Robert E. Landry, Daniel P. Van Plew, and Andrew J. Murphy, Ph.D. comprise the non-PEO named executive officers (“Non-PEO NEOs”) for 2020; and each of these officers and Joseph J. LaRosa and Marion McCourt comprise the Non-PEO NEOs for 2021 and 2022, respectively.</w:t>
            </w:r>
          </w:p>
          <w:p>
            <w:pPr>
              <w:pStyle w:val="TableContents"/>
              <w:spacing w:before="0" w:after="0"/>
              <w:ind w:left="0" w:right="30" w:hanging="0"/>
              <w:rPr>
                <w:rFonts w:ascii="Arial" w:hAnsi="Arial"/>
                <w:color w:val="245BA7"/>
                <w:sz w:val="20"/>
              </w:rPr>
            </w:pPr>
            <w:r>
              <w:rPr>
                <w:rFonts w:ascii="Arial" w:hAnsi="Arial"/>
                <w:color w:val="245BA7"/>
                <w:sz w:val="20"/>
              </w:rPr>
              <w:t>2</w:t>
            </w:r>
          </w:p>
          <w:p>
            <w:pPr>
              <w:pStyle w:val="TableContents"/>
              <w:pBdr/>
              <w:spacing w:before="0" w:after="0"/>
              <w:ind w:left="0" w:right="30" w:hanging="0"/>
              <w:rPr>
                <w:rFonts w:ascii="Arial" w:hAnsi="Arial"/>
                <w:color w:val="000000"/>
                <w:sz w:val="20"/>
              </w:rPr>
            </w:pPr>
            <w:r>
              <w:rPr>
                <w:rFonts w:ascii="Arial" w:hAnsi="Arial"/>
                <w:color w:val="000000"/>
                <w:sz w:val="20"/>
              </w:rPr>
              <w:t>The amounts shown for “Compensation “Actually Paid”” have been calculated in accordance with Item 402(v) of Regulation S K and do not reflect compensation actually earned, realized, or received by the Company’s NEOs. These amounts reflect total compensation as reported in the Summary Compensation Table with certain adjustments as described in footnote 3 below.</w:t>
            </w:r>
          </w:p>
          <w:p>
            <w:pPr>
              <w:pStyle w:val="TableContents"/>
              <w:spacing w:before="0" w:after="0"/>
              <w:ind w:left="0" w:right="30" w:hanging="0"/>
              <w:rPr>
                <w:rFonts w:ascii="Arial" w:hAnsi="Arial"/>
                <w:color w:val="245BA7"/>
                <w:sz w:val="20"/>
              </w:rPr>
            </w:pPr>
            <w:r>
              <w:rPr>
                <w:rFonts w:ascii="Arial" w:hAnsi="Arial"/>
                <w:color w:val="245BA7"/>
                <w:sz w:val="20"/>
              </w:rPr>
              <w:t>3</w:t>
            </w:r>
          </w:p>
          <w:p>
            <w:pPr>
              <w:pStyle w:val="TableContents"/>
              <w:pBdr/>
              <w:spacing w:before="0" w:after="0"/>
              <w:ind w:left="0" w:right="30" w:hanging="0"/>
              <w:rPr>
                <w:color w:val="000000"/>
              </w:rPr>
            </w:pPr>
            <w:r>
              <w:rPr>
                <w:color w:val="000000"/>
              </w:rPr>
              <w:t>“</w:t>
            </w:r>
            <w:r>
              <w:rPr>
                <w:rFonts w:ascii="Arial" w:hAnsi="Arial"/>
                <w:color w:val="000000"/>
                <w:sz w:val="20"/>
              </w:rPr>
              <w:t>Compensation “Actually Paid”” reflects the exclusions and inclusions of equity awards for the PEO and the Non-PEO NEOs as set forth below and calculated in accordance with FASB ASC Topic 718 using the valuation methodologies and assumptions set forth in the calculation of the grant date fair value of these awards as disclosed in the Company’s audited financial statements for the fiscal year in which the equity awards were granted.</w:t>
            </w:r>
          </w:p>
          <w:p>
            <w:pPr>
              <w:pStyle w:val="TableContents"/>
              <w:pBdr/>
              <w:spacing w:before="0" w:after="0"/>
              <w:ind w:left="0" w:right="30" w:hanging="0"/>
              <w:rPr>
                <w:rFonts w:ascii="Arial" w:hAnsi="Arial"/>
                <w:color w:val="000000"/>
                <w:sz w:val="20"/>
              </w:rPr>
            </w:pPr>
            <w:r>
              <w:rPr>
                <w:rFonts w:ascii="Arial" w:hAnsi="Arial"/>
                <w:color w:val="000000"/>
                <w:sz w:val="20"/>
              </w:rPr>
              <w:t>The “Exclusion of Stock Awards and Option Awards from Summary Compensation Table” columns in the tables below reflect the aggregate amounts reported in the Summary Compensation Table for the applicable year in the “Stock Awards” and “Option Awards” columns.</w:t>
            </w:r>
          </w:p>
        </w:tc>
        <w:tc>
          <w:tcPr>
            <w:tcW w:w="115" w:type="dxa"/>
            <w:tcBorders/>
            <w:shd w:fill="auto" w:val="clear"/>
            <w:tcMar>
              <w:bottom w:w="0" w:type="dxa"/>
            </w:tcMar>
            <w:vAlign w:val="center"/>
          </w:tcPr>
          <w:p>
            <w:pPr>
              <w:pStyle w:val="TableContents"/>
              <w:pBdr/>
              <w:spacing w:before="0" w:after="0"/>
              <w:ind w:left="0" w:right="30" w:hanging="0"/>
              <w:rPr>
                <w:color w:val="000000"/>
              </w:rPr>
            </w:pPr>
            <w:r>
              <w:rPr>
                <w:color w:val="000000"/>
              </w:rPr>
              <w:t> </w:t>
            </w:r>
          </w:p>
        </w:tc>
      </w:tr>
    </w:tbl>
    <w:tbl>
      <w:tblPr>
        <w:tblW w:w="10205" w:type="dxa"/>
        <w:jc w:val="left"/>
        <w:tblInd w:w="0" w:type="dxa"/>
        <w:tblCellMar>
          <w:top w:w="28" w:type="dxa"/>
          <w:left w:w="28" w:type="dxa"/>
          <w:bottom w:w="28" w:type="dxa"/>
          <w:right w:w="28" w:type="dxa"/>
        </w:tblCellMar>
      </w:tblPr>
      <w:tblGrid>
        <w:gridCol w:w="161"/>
        <w:gridCol w:w="526"/>
        <w:gridCol w:w="161"/>
        <w:gridCol w:w="2230"/>
        <w:gridCol w:w="310"/>
        <w:gridCol w:w="2289"/>
        <w:gridCol w:w="290"/>
        <w:gridCol w:w="2265"/>
        <w:gridCol w:w="315"/>
        <w:gridCol w:w="1463"/>
        <w:gridCol w:w="195"/>
      </w:tblGrid>
      <w:tr>
        <w:trPr/>
        <w:tc>
          <w:tcPr>
            <w:tcW w:w="161" w:type="dxa"/>
            <w:tcBorders/>
            <w:shd w:fill="auto" w:val="clear"/>
            <w:vAlign w:val="center"/>
          </w:tcPr>
          <w:p>
            <w:pPr>
              <w:pStyle w:val="TableContents"/>
              <w:pBdr/>
              <w:spacing w:before="15" w:after="0"/>
              <w:ind w:left="0" w:right="0" w:hanging="0"/>
              <w:jc w:val="center"/>
              <w:rPr>
                <w:color w:val="000000"/>
              </w:rPr>
            </w:pPr>
            <w:r>
              <w:rPr>
                <w:color w:val="000000"/>
              </w:rPr>
              <w:t> </w:t>
            </w:r>
          </w:p>
        </w:tc>
        <w:tc>
          <w:tcPr>
            <w:tcW w:w="526"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rPr>
                <w:color w:val="245BA7"/>
              </w:rPr>
            </w:pPr>
            <w:r>
              <w:rPr>
                <w:color w:val="245BA7"/>
              </w:rPr>
              <w:t> </w:t>
            </w:r>
          </w:p>
          <w:p>
            <w:pPr>
              <w:pStyle w:val="TableContents"/>
              <w:pBdr/>
              <w:spacing w:before="15" w:after="0"/>
              <w:ind w:left="15" w:right="15" w:hanging="0"/>
              <w:rPr>
                <w:rFonts w:ascii="Arial" w:hAnsi="Arial"/>
                <w:b/>
                <w:color w:val="245BA7"/>
                <w:sz w:val="18"/>
              </w:rPr>
            </w:pPr>
            <w:r>
              <w:rPr>
                <w:rFonts w:ascii="Arial" w:hAnsi="Arial"/>
                <w:b/>
                <w:color w:val="245BA7"/>
                <w:sz w:val="18"/>
              </w:rPr>
              <w:t>Year</w:t>
            </w:r>
          </w:p>
        </w:tc>
        <w:tc>
          <w:tcPr>
            <w:tcW w:w="161"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color w:val="245BA7"/>
              </w:rPr>
            </w:pPr>
            <w:r>
              <w:rPr>
                <w:color w:val="245BA7"/>
              </w:rPr>
              <w:t> </w:t>
            </w:r>
          </w:p>
        </w:tc>
        <w:tc>
          <w:tcPr>
            <w:tcW w:w="2540" w:type="dxa"/>
            <w:gridSpan w:val="2"/>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color w:val="245BA7"/>
              </w:rPr>
            </w:pPr>
            <w:r>
              <w:rPr>
                <w:color w:val="245BA7"/>
              </w:rPr>
              <w:t> </w:t>
            </w:r>
          </w:p>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Summary Compensation Table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Total for PEO ($)</w:t>
            </w:r>
          </w:p>
        </w:tc>
        <w:tc>
          <w:tcPr>
            <w:tcW w:w="2579" w:type="dxa"/>
            <w:gridSpan w:val="2"/>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Exclusion of Stock Awards and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Option Awards from Summary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Compensation Table for PEO ($)</w:t>
            </w:r>
          </w:p>
        </w:tc>
        <w:tc>
          <w:tcPr>
            <w:tcW w:w="2580" w:type="dxa"/>
            <w:gridSpan w:val="2"/>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color w:val="245BA7"/>
              </w:rPr>
            </w:pPr>
            <w:r>
              <w:rPr>
                <w:color w:val="245BA7"/>
              </w:rPr>
              <w:t> </w:t>
            </w:r>
          </w:p>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Inclusion of Item 402(v)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Equity Award Values for PEO ($)</w:t>
            </w:r>
          </w:p>
        </w:tc>
        <w:tc>
          <w:tcPr>
            <w:tcW w:w="1463"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color w:val="245BA7"/>
              </w:rPr>
            </w:pPr>
            <w:r>
              <w:rPr>
                <w:color w:val="245BA7"/>
              </w:rPr>
              <w:t> </w:t>
            </w:r>
          </w:p>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Compensation </w:t>
            </w:r>
          </w:p>
          <w:p>
            <w:pPr>
              <w:pStyle w:val="TableContents"/>
              <w:pBdr/>
              <w:spacing w:before="0" w:after="15"/>
              <w:ind w:left="15" w:right="15" w:hanging="0"/>
              <w:jc w:val="center"/>
              <w:rPr>
                <w:color w:val="245BA7"/>
              </w:rPr>
            </w:pPr>
            <w:r>
              <w:rPr>
                <w:color w:val="245BA7"/>
              </w:rPr>
              <w:t>“</w:t>
            </w:r>
            <w:r>
              <w:rPr>
                <w:rFonts w:ascii="Arial" w:hAnsi="Arial"/>
                <w:b/>
                <w:color w:val="245BA7"/>
                <w:sz w:val="18"/>
              </w:rPr>
              <w:t xml:space="preserve">Actually Paid”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to PEO ($)</w:t>
            </w:r>
          </w:p>
        </w:tc>
        <w:tc>
          <w:tcPr>
            <w:tcW w:w="195" w:type="dxa"/>
            <w:tcBorders/>
            <w:shd w:fill="auto" w:val="clear"/>
            <w:vAlign w:val="center"/>
          </w:tcPr>
          <w:p>
            <w:pPr>
              <w:pStyle w:val="TableContents"/>
              <w:pBdr/>
              <w:spacing w:before="15" w:after="0"/>
              <w:ind w:left="0" w:right="0" w:hanging="0"/>
              <w:jc w:val="center"/>
              <w:rPr>
                <w:color w:val="000000"/>
              </w:rPr>
            </w:pPr>
            <w:r>
              <w:rPr>
                <w:color w:val="000000"/>
              </w:rPr>
              <w:t> </w:t>
            </w:r>
          </w:p>
        </w:tc>
      </w:tr>
      <w:tr>
        <w:trPr/>
        <w:tc>
          <w:tcPr>
            <w:tcW w:w="161" w:type="dxa"/>
            <w:tcBorders/>
            <w:shd w:fill="auto" w:val="clear"/>
            <w:vAlign w:val="center"/>
          </w:tcPr>
          <w:p>
            <w:pPr>
              <w:pStyle w:val="TableContents"/>
              <w:pBdr/>
              <w:spacing w:before="0" w:after="45"/>
              <w:ind w:left="0" w:right="0" w:hanging="0"/>
              <w:jc w:val="center"/>
              <w:rPr>
                <w:color w:val="000000"/>
              </w:rPr>
            </w:pPr>
            <w:r>
              <w:rPr>
                <w:color w:val="000000"/>
              </w:rPr>
              <w:t> </w:t>
            </w:r>
          </w:p>
        </w:tc>
        <w:tc>
          <w:tcPr>
            <w:tcW w:w="526"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2022</w:t>
            </w:r>
          </w:p>
        </w:tc>
        <w:tc>
          <w:tcPr>
            <w:tcW w:w="161"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 </w:t>
            </w:r>
          </w:p>
        </w:tc>
        <w:tc>
          <w:tcPr>
            <w:tcW w:w="2230"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7,004,069</w:t>
            </w:r>
          </w:p>
        </w:tc>
        <w:tc>
          <w:tcPr>
            <w:tcW w:w="310"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 </w:t>
            </w:r>
          </w:p>
        </w:tc>
        <w:tc>
          <w:tcPr>
            <w:tcW w:w="2289"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0</w:t>
            </w:r>
          </w:p>
        </w:tc>
        <w:tc>
          <w:tcPr>
            <w:tcW w:w="290"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 </w:t>
            </w:r>
          </w:p>
        </w:tc>
        <w:tc>
          <w:tcPr>
            <w:tcW w:w="2265"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91,782,514</w:t>
            </w:r>
          </w:p>
        </w:tc>
        <w:tc>
          <w:tcPr>
            <w:tcW w:w="315"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 </w:t>
            </w:r>
          </w:p>
        </w:tc>
        <w:tc>
          <w:tcPr>
            <w:tcW w:w="1463"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98,786,583</w:t>
            </w:r>
          </w:p>
        </w:tc>
        <w:tc>
          <w:tcPr>
            <w:tcW w:w="195" w:type="dxa"/>
            <w:tcBorders/>
            <w:shd w:fill="auto" w:val="clear"/>
            <w:vAlign w:val="center"/>
          </w:tcPr>
          <w:p>
            <w:pPr>
              <w:pStyle w:val="TableContents"/>
              <w:pBdr/>
              <w:spacing w:before="0" w:after="45"/>
              <w:ind w:left="0" w:right="0" w:hanging="0"/>
              <w:jc w:val="center"/>
              <w:rPr>
                <w:color w:val="000000"/>
              </w:rPr>
            </w:pPr>
            <w:r>
              <w:rPr>
                <w:color w:val="000000"/>
              </w:rPr>
              <w:t> </w:t>
            </w:r>
          </w:p>
        </w:tc>
      </w:tr>
      <w:tr>
        <w:trPr/>
        <w:tc>
          <w:tcPr>
            <w:tcW w:w="161" w:type="dxa"/>
            <w:tcBorders/>
            <w:shd w:fill="auto" w:val="clear"/>
            <w:vAlign w:val="center"/>
          </w:tcPr>
          <w:p>
            <w:pPr>
              <w:pStyle w:val="TableContents"/>
              <w:pBdr/>
              <w:spacing w:before="0" w:after="45"/>
              <w:ind w:left="0" w:right="0" w:hanging="0"/>
              <w:jc w:val="center"/>
              <w:rPr>
                <w:color w:val="000000"/>
              </w:rPr>
            </w:pPr>
            <w:r>
              <w:rPr>
                <w:color w:val="000000"/>
              </w:rPr>
              <w:t> </w:t>
            </w:r>
          </w:p>
        </w:tc>
        <w:tc>
          <w:tcPr>
            <w:tcW w:w="526" w:type="dxa"/>
            <w:tcBorders>
              <w:top w:val="single" w:sz="2" w:space="0" w:color="F2F2F2"/>
              <w:left w:val="single" w:sz="2" w:space="0" w:color="F2F2F2"/>
              <w:bottom w:val="single" w:sz="2" w:space="0" w:color="575756"/>
              <w:right w:val="single" w:sz="2" w:space="0" w:color="F2F2F2"/>
            </w:tcBorders>
            <w:shd w:fill="F2F2F2" w:val="clear"/>
            <w:tcMar>
              <w:top w:w="45" w:type="dxa"/>
              <w:bottom w:w="3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2021</w:t>
            </w:r>
          </w:p>
        </w:tc>
        <w:tc>
          <w:tcPr>
            <w:tcW w:w="161"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 </w:t>
            </w:r>
          </w:p>
        </w:tc>
        <w:tc>
          <w:tcPr>
            <w:tcW w:w="2230"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6,470,514</w:t>
            </w:r>
          </w:p>
        </w:tc>
        <w:tc>
          <w:tcPr>
            <w:tcW w:w="310"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 </w:t>
            </w:r>
          </w:p>
        </w:tc>
        <w:tc>
          <w:tcPr>
            <w:tcW w:w="2289"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0</w:t>
            </w:r>
          </w:p>
        </w:tc>
        <w:tc>
          <w:tcPr>
            <w:tcW w:w="290"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 </w:t>
            </w:r>
          </w:p>
        </w:tc>
        <w:tc>
          <w:tcPr>
            <w:tcW w:w="2265"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117,274,138</w:t>
            </w:r>
          </w:p>
        </w:tc>
        <w:tc>
          <w:tcPr>
            <w:tcW w:w="315"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 </w:t>
            </w:r>
          </w:p>
        </w:tc>
        <w:tc>
          <w:tcPr>
            <w:tcW w:w="1463"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123,744,652</w:t>
            </w:r>
          </w:p>
        </w:tc>
        <w:tc>
          <w:tcPr>
            <w:tcW w:w="195" w:type="dxa"/>
            <w:tcBorders/>
            <w:shd w:fill="auto" w:val="clear"/>
            <w:vAlign w:val="center"/>
          </w:tcPr>
          <w:p>
            <w:pPr>
              <w:pStyle w:val="TableContents"/>
              <w:pBdr/>
              <w:spacing w:before="0" w:after="45"/>
              <w:ind w:left="0" w:right="0" w:hanging="0"/>
              <w:jc w:val="center"/>
              <w:rPr>
                <w:color w:val="000000"/>
              </w:rPr>
            </w:pPr>
            <w:r>
              <w:rPr>
                <w:color w:val="000000"/>
              </w:rPr>
              <w:t> </w:t>
            </w:r>
          </w:p>
        </w:tc>
      </w:tr>
      <w:tr>
        <w:trPr/>
        <w:tc>
          <w:tcPr>
            <w:tcW w:w="161" w:type="dxa"/>
            <w:tcBorders/>
            <w:shd w:fill="auto" w:val="clear"/>
            <w:vAlign w:val="center"/>
          </w:tcPr>
          <w:p>
            <w:pPr>
              <w:pStyle w:val="TableContents"/>
              <w:pBdr/>
              <w:spacing w:before="0" w:after="45"/>
              <w:ind w:left="0" w:right="0" w:hanging="0"/>
              <w:jc w:val="center"/>
              <w:rPr>
                <w:color w:val="000000"/>
              </w:rPr>
            </w:pPr>
            <w:r>
              <w:rPr>
                <w:color w:val="000000"/>
              </w:rPr>
              <w:t> </w:t>
            </w:r>
          </w:p>
        </w:tc>
        <w:tc>
          <w:tcPr>
            <w:tcW w:w="526"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2020</w:t>
            </w:r>
          </w:p>
        </w:tc>
        <w:tc>
          <w:tcPr>
            <w:tcW w:w="161"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 </w:t>
            </w:r>
          </w:p>
        </w:tc>
        <w:tc>
          <w:tcPr>
            <w:tcW w:w="2230"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135,350,121</w:t>
            </w:r>
          </w:p>
        </w:tc>
        <w:tc>
          <w:tcPr>
            <w:tcW w:w="310"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 </w:t>
            </w:r>
          </w:p>
        </w:tc>
        <w:tc>
          <w:tcPr>
            <w:tcW w:w="2289"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(130,000,032)</w:t>
            </w:r>
          </w:p>
        </w:tc>
        <w:tc>
          <w:tcPr>
            <w:tcW w:w="290"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 </w:t>
            </w:r>
          </w:p>
        </w:tc>
        <w:tc>
          <w:tcPr>
            <w:tcW w:w="2265"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147,685,433</w:t>
            </w:r>
          </w:p>
        </w:tc>
        <w:tc>
          <w:tcPr>
            <w:tcW w:w="315"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 </w:t>
            </w:r>
          </w:p>
        </w:tc>
        <w:tc>
          <w:tcPr>
            <w:tcW w:w="1463"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153,035,522</w:t>
            </w:r>
          </w:p>
        </w:tc>
        <w:tc>
          <w:tcPr>
            <w:tcW w:w="195" w:type="dxa"/>
            <w:tcBorders/>
            <w:shd w:fill="auto" w:val="clear"/>
            <w:vAlign w:val="center"/>
          </w:tcPr>
          <w:p>
            <w:pPr>
              <w:pStyle w:val="TableContents"/>
              <w:pBdr/>
              <w:spacing w:before="0" w:after="45"/>
              <w:ind w:left="0" w:right="0" w:hanging="0"/>
              <w:jc w:val="center"/>
              <w:rPr>
                <w:color w:val="000000"/>
              </w:rPr>
            </w:pPr>
            <w:r>
              <w:rPr>
                <w:color w:val="000000"/>
              </w:rPr>
              <w:t> </w:t>
            </w:r>
          </w:p>
        </w:tc>
      </w:tr>
    </w:tbl>
    <w:tbl>
      <w:tblPr>
        <w:tblW w:w="10160" w:type="dxa"/>
        <w:jc w:val="left"/>
        <w:tblInd w:w="0" w:type="dxa"/>
        <w:tblCellMar>
          <w:top w:w="28" w:type="dxa"/>
          <w:left w:w="28" w:type="dxa"/>
          <w:bottom w:w="28" w:type="dxa"/>
          <w:right w:w="28" w:type="dxa"/>
        </w:tblCellMar>
      </w:tblPr>
      <w:tblGrid>
        <w:gridCol w:w="161"/>
        <w:gridCol w:w="526"/>
        <w:gridCol w:w="161"/>
        <w:gridCol w:w="2068"/>
        <w:gridCol w:w="317"/>
        <w:gridCol w:w="2647"/>
        <w:gridCol w:w="383"/>
        <w:gridCol w:w="1925"/>
        <w:gridCol w:w="295"/>
        <w:gridCol w:w="1486"/>
        <w:gridCol w:w="191"/>
      </w:tblGrid>
      <w:tr>
        <w:trPr/>
        <w:tc>
          <w:tcPr>
            <w:tcW w:w="161" w:type="dxa"/>
            <w:tcBorders/>
            <w:shd w:fill="auto" w:val="clear"/>
            <w:vAlign w:val="center"/>
          </w:tcPr>
          <w:p>
            <w:pPr>
              <w:pStyle w:val="TableContents"/>
              <w:pBdr/>
              <w:spacing w:before="15" w:after="0"/>
              <w:ind w:left="0" w:right="0" w:hanging="0"/>
              <w:jc w:val="center"/>
              <w:rPr>
                <w:color w:val="000000"/>
              </w:rPr>
            </w:pPr>
            <w:r>
              <w:rPr>
                <w:color w:val="000000"/>
              </w:rPr>
              <w:t> </w:t>
            </w:r>
          </w:p>
        </w:tc>
        <w:tc>
          <w:tcPr>
            <w:tcW w:w="526"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rPr>
                <w:color w:val="245BA7"/>
              </w:rPr>
            </w:pPr>
            <w:r>
              <w:rPr>
                <w:color w:val="245BA7"/>
              </w:rPr>
              <w:t> </w:t>
            </w:r>
          </w:p>
          <w:p>
            <w:pPr>
              <w:pStyle w:val="TableContents"/>
              <w:pBdr/>
              <w:spacing w:before="15" w:after="0"/>
              <w:ind w:left="15" w:right="15" w:hanging="0"/>
              <w:rPr>
                <w:rFonts w:ascii="Arial" w:hAnsi="Arial"/>
                <w:b/>
                <w:color w:val="245BA7"/>
                <w:sz w:val="18"/>
              </w:rPr>
            </w:pPr>
            <w:r>
              <w:rPr>
                <w:rFonts w:ascii="Arial" w:hAnsi="Arial"/>
                <w:b/>
                <w:color w:val="245BA7"/>
                <w:sz w:val="18"/>
              </w:rPr>
              <w:t>Year</w:t>
            </w:r>
          </w:p>
        </w:tc>
        <w:tc>
          <w:tcPr>
            <w:tcW w:w="161"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color w:val="245BA7"/>
              </w:rPr>
            </w:pPr>
            <w:r>
              <w:rPr>
                <w:color w:val="245BA7"/>
              </w:rPr>
              <w:t> </w:t>
            </w:r>
          </w:p>
        </w:tc>
        <w:tc>
          <w:tcPr>
            <w:tcW w:w="2385" w:type="dxa"/>
            <w:gridSpan w:val="2"/>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Average Summary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Compensation Table Total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for Non-PEO NEOs ($)</w:t>
            </w:r>
          </w:p>
        </w:tc>
        <w:tc>
          <w:tcPr>
            <w:tcW w:w="3030" w:type="dxa"/>
            <w:gridSpan w:val="2"/>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Exclusion of Stock Awards and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Option Awards from Summary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Compensation Table for Non-PEO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NEOs ($)</w:t>
            </w:r>
          </w:p>
        </w:tc>
        <w:tc>
          <w:tcPr>
            <w:tcW w:w="2220" w:type="dxa"/>
            <w:gridSpan w:val="2"/>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Inclusion of Item 402(v)</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Equity Award Values for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Non-PEO NEOs($)</w:t>
            </w:r>
          </w:p>
        </w:tc>
        <w:tc>
          <w:tcPr>
            <w:tcW w:w="1486"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Average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Compensation </w:t>
            </w:r>
          </w:p>
          <w:p>
            <w:pPr>
              <w:pStyle w:val="TableContents"/>
              <w:pBdr/>
              <w:spacing w:before="0" w:after="15"/>
              <w:ind w:left="15" w:right="15" w:hanging="0"/>
              <w:jc w:val="center"/>
              <w:rPr>
                <w:color w:val="245BA7"/>
              </w:rPr>
            </w:pPr>
            <w:r>
              <w:rPr>
                <w:color w:val="245BA7"/>
              </w:rPr>
              <w:t>“</w:t>
            </w:r>
            <w:r>
              <w:rPr>
                <w:rFonts w:ascii="Arial" w:hAnsi="Arial"/>
                <w:b/>
                <w:color w:val="245BA7"/>
                <w:sz w:val="18"/>
              </w:rPr>
              <w:t xml:space="preserve">Actually Paid”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to Non-PEO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NEOs ($)</w:t>
            </w:r>
          </w:p>
        </w:tc>
        <w:tc>
          <w:tcPr>
            <w:tcW w:w="191" w:type="dxa"/>
            <w:tcBorders/>
            <w:shd w:fill="auto" w:val="clear"/>
            <w:vAlign w:val="center"/>
          </w:tcPr>
          <w:p>
            <w:pPr>
              <w:pStyle w:val="TableContents"/>
              <w:pBdr/>
              <w:spacing w:before="15" w:after="0"/>
              <w:ind w:left="0" w:right="0" w:hanging="0"/>
              <w:jc w:val="center"/>
              <w:rPr>
                <w:color w:val="000000"/>
              </w:rPr>
            </w:pPr>
            <w:r>
              <w:rPr>
                <w:color w:val="000000"/>
              </w:rPr>
              <w:t> </w:t>
            </w:r>
          </w:p>
        </w:tc>
      </w:tr>
      <w:tr>
        <w:trPr/>
        <w:tc>
          <w:tcPr>
            <w:tcW w:w="161" w:type="dxa"/>
            <w:tcBorders/>
            <w:shd w:fill="auto" w:val="clear"/>
            <w:vAlign w:val="center"/>
          </w:tcPr>
          <w:p>
            <w:pPr>
              <w:pStyle w:val="TableContents"/>
              <w:pBdr/>
              <w:spacing w:before="0" w:after="45"/>
              <w:ind w:left="0" w:right="0" w:hanging="0"/>
              <w:jc w:val="center"/>
              <w:rPr>
                <w:color w:val="000000"/>
              </w:rPr>
            </w:pPr>
            <w:r>
              <w:rPr>
                <w:color w:val="000000"/>
              </w:rPr>
              <w:t> </w:t>
            </w:r>
          </w:p>
        </w:tc>
        <w:tc>
          <w:tcPr>
            <w:tcW w:w="526"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2022</w:t>
            </w:r>
          </w:p>
        </w:tc>
        <w:tc>
          <w:tcPr>
            <w:tcW w:w="161"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color w:val="000000"/>
              </w:rPr>
            </w:pPr>
            <w:r>
              <w:rPr>
                <w:color w:val="000000"/>
              </w:rPr>
              <w:t> </w:t>
            </w:r>
          </w:p>
        </w:tc>
        <w:tc>
          <w:tcPr>
            <w:tcW w:w="2068"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8,061,639</w:t>
            </w:r>
          </w:p>
        </w:tc>
        <w:tc>
          <w:tcPr>
            <w:tcW w:w="317"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color w:val="000000"/>
              </w:rPr>
            </w:pPr>
            <w:r>
              <w:rPr>
                <w:color w:val="000000"/>
              </w:rPr>
              <w:t> </w:t>
            </w:r>
          </w:p>
        </w:tc>
        <w:tc>
          <w:tcPr>
            <w:tcW w:w="2647"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(5,359,485)</w:t>
            </w:r>
          </w:p>
        </w:tc>
        <w:tc>
          <w:tcPr>
            <w:tcW w:w="383"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color w:val="000000"/>
              </w:rPr>
            </w:pPr>
            <w:r>
              <w:rPr>
                <w:color w:val="000000"/>
              </w:rPr>
              <w:t> </w:t>
            </w:r>
          </w:p>
        </w:tc>
        <w:tc>
          <w:tcPr>
            <w:tcW w:w="1925"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29,472,311</w:t>
            </w:r>
          </w:p>
        </w:tc>
        <w:tc>
          <w:tcPr>
            <w:tcW w:w="295"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color w:val="000000"/>
              </w:rPr>
            </w:pPr>
            <w:r>
              <w:rPr>
                <w:color w:val="000000"/>
              </w:rPr>
              <w:t> </w:t>
            </w:r>
          </w:p>
        </w:tc>
        <w:tc>
          <w:tcPr>
            <w:tcW w:w="1486"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32,174,465</w:t>
            </w:r>
          </w:p>
        </w:tc>
        <w:tc>
          <w:tcPr>
            <w:tcW w:w="191" w:type="dxa"/>
            <w:tcBorders/>
            <w:shd w:fill="auto" w:val="clear"/>
            <w:vAlign w:val="center"/>
          </w:tcPr>
          <w:p>
            <w:pPr>
              <w:pStyle w:val="TableContents"/>
              <w:pBdr/>
              <w:spacing w:before="0" w:after="45"/>
              <w:ind w:left="0" w:right="0" w:hanging="0"/>
              <w:jc w:val="center"/>
              <w:rPr>
                <w:color w:val="000000"/>
              </w:rPr>
            </w:pPr>
            <w:r>
              <w:rPr>
                <w:color w:val="000000"/>
              </w:rPr>
              <w:t> </w:t>
            </w:r>
          </w:p>
        </w:tc>
      </w:tr>
      <w:tr>
        <w:trPr/>
        <w:tc>
          <w:tcPr>
            <w:tcW w:w="161" w:type="dxa"/>
            <w:tcBorders/>
            <w:shd w:fill="auto" w:val="clear"/>
            <w:vAlign w:val="center"/>
          </w:tcPr>
          <w:p>
            <w:pPr>
              <w:pStyle w:val="TableContents"/>
              <w:pBdr/>
              <w:spacing w:before="0" w:after="45"/>
              <w:ind w:left="0" w:right="0" w:hanging="0"/>
              <w:jc w:val="center"/>
              <w:rPr>
                <w:color w:val="000000"/>
              </w:rPr>
            </w:pPr>
            <w:r>
              <w:rPr>
                <w:color w:val="000000"/>
              </w:rPr>
              <w:t> </w:t>
            </w:r>
          </w:p>
        </w:tc>
        <w:tc>
          <w:tcPr>
            <w:tcW w:w="526" w:type="dxa"/>
            <w:tcBorders>
              <w:top w:val="single" w:sz="2" w:space="0" w:color="F2F2F2"/>
              <w:left w:val="single" w:sz="2" w:space="0" w:color="F2F2F2"/>
              <w:bottom w:val="single" w:sz="2" w:space="0" w:color="575756"/>
              <w:right w:val="single" w:sz="2" w:space="0" w:color="F2F2F2"/>
            </w:tcBorders>
            <w:shd w:fill="F2F2F2" w:val="clear"/>
            <w:tcMar>
              <w:top w:w="45" w:type="dxa"/>
              <w:bottom w:w="3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2021</w:t>
            </w:r>
          </w:p>
        </w:tc>
        <w:tc>
          <w:tcPr>
            <w:tcW w:w="161" w:type="dxa"/>
            <w:tcBorders>
              <w:top w:val="single" w:sz="2" w:space="0" w:color="F2F2F2"/>
              <w:left w:val="single" w:sz="2" w:space="0" w:color="F2F2F2"/>
              <w:bottom w:val="single" w:sz="2" w:space="0" w:color="575756"/>
              <w:right w:val="single" w:sz="2" w:space="0" w:color="F2F2F2"/>
            </w:tcBorders>
            <w:shd w:fill="F2F2F2" w:val="clear"/>
            <w:tcMar>
              <w:top w:w="45" w:type="dxa"/>
              <w:bottom w:w="30" w:type="dxa"/>
            </w:tcMar>
            <w:vAlign w:val="center"/>
          </w:tcPr>
          <w:p>
            <w:pPr>
              <w:pStyle w:val="TableContents"/>
              <w:pBdr/>
              <w:spacing w:before="0" w:after="45"/>
              <w:ind w:left="15" w:right="15" w:hanging="0"/>
              <w:jc w:val="right"/>
              <w:rPr>
                <w:color w:val="000000"/>
              </w:rPr>
            </w:pPr>
            <w:r>
              <w:rPr>
                <w:color w:val="000000"/>
              </w:rPr>
              <w:t> </w:t>
            </w:r>
          </w:p>
        </w:tc>
        <w:tc>
          <w:tcPr>
            <w:tcW w:w="2068" w:type="dxa"/>
            <w:tcBorders>
              <w:top w:val="single" w:sz="2" w:space="0" w:color="F2F2F2"/>
              <w:left w:val="single" w:sz="2" w:space="0" w:color="F2F2F2"/>
              <w:bottom w:val="single" w:sz="2" w:space="0" w:color="575756"/>
              <w:right w:val="single" w:sz="2" w:space="0" w:color="F2F2F2"/>
            </w:tcBorders>
            <w:shd w:fill="F2F2F2" w:val="clear"/>
            <w:tcMar>
              <w:top w:w="45" w:type="dxa"/>
              <w:bottom w:w="3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7,548,928</w:t>
            </w:r>
          </w:p>
        </w:tc>
        <w:tc>
          <w:tcPr>
            <w:tcW w:w="317" w:type="dxa"/>
            <w:tcBorders>
              <w:top w:val="single" w:sz="2" w:space="0" w:color="F2F2F2"/>
              <w:left w:val="single" w:sz="2" w:space="0" w:color="F2F2F2"/>
              <w:bottom w:val="single" w:sz="2" w:space="0" w:color="575756"/>
              <w:right w:val="single" w:sz="2" w:space="0" w:color="F2F2F2"/>
            </w:tcBorders>
            <w:shd w:fill="F2F2F2" w:val="clear"/>
            <w:tcMar>
              <w:top w:w="45" w:type="dxa"/>
              <w:bottom w:w="30" w:type="dxa"/>
            </w:tcMar>
            <w:vAlign w:val="center"/>
          </w:tcPr>
          <w:p>
            <w:pPr>
              <w:pStyle w:val="TableContents"/>
              <w:pBdr/>
              <w:spacing w:before="0" w:after="45"/>
              <w:ind w:left="15" w:right="15" w:hanging="0"/>
              <w:jc w:val="right"/>
              <w:rPr>
                <w:color w:val="000000"/>
              </w:rPr>
            </w:pPr>
            <w:r>
              <w:rPr>
                <w:color w:val="000000"/>
              </w:rPr>
              <w:t> </w:t>
            </w:r>
          </w:p>
        </w:tc>
        <w:tc>
          <w:tcPr>
            <w:tcW w:w="2647" w:type="dxa"/>
            <w:tcBorders>
              <w:top w:val="single" w:sz="2" w:space="0" w:color="F2F2F2"/>
              <w:left w:val="single" w:sz="2" w:space="0" w:color="F2F2F2"/>
              <w:bottom w:val="single" w:sz="2" w:space="0" w:color="575756"/>
              <w:right w:val="single" w:sz="2" w:space="0" w:color="F2F2F2"/>
            </w:tcBorders>
            <w:shd w:fill="F2F2F2" w:val="clear"/>
            <w:tcMar>
              <w:top w:w="45" w:type="dxa"/>
              <w:bottom w:w="3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(4,871,307)</w:t>
            </w:r>
          </w:p>
        </w:tc>
        <w:tc>
          <w:tcPr>
            <w:tcW w:w="383" w:type="dxa"/>
            <w:tcBorders>
              <w:top w:val="single" w:sz="2" w:space="0" w:color="F2F2F2"/>
              <w:left w:val="single" w:sz="2" w:space="0" w:color="F2F2F2"/>
              <w:bottom w:val="single" w:sz="2" w:space="0" w:color="575756"/>
              <w:right w:val="single" w:sz="2" w:space="0" w:color="F2F2F2"/>
            </w:tcBorders>
            <w:shd w:fill="F2F2F2" w:val="clear"/>
            <w:tcMar>
              <w:top w:w="45" w:type="dxa"/>
              <w:bottom w:w="30" w:type="dxa"/>
            </w:tcMar>
            <w:vAlign w:val="center"/>
          </w:tcPr>
          <w:p>
            <w:pPr>
              <w:pStyle w:val="TableContents"/>
              <w:pBdr/>
              <w:spacing w:before="0" w:after="45"/>
              <w:ind w:left="15" w:right="15" w:hanging="0"/>
              <w:jc w:val="right"/>
              <w:rPr>
                <w:color w:val="000000"/>
              </w:rPr>
            </w:pPr>
            <w:r>
              <w:rPr>
                <w:color w:val="000000"/>
              </w:rPr>
              <w:t> </w:t>
            </w:r>
          </w:p>
        </w:tc>
        <w:tc>
          <w:tcPr>
            <w:tcW w:w="1925" w:type="dxa"/>
            <w:tcBorders>
              <w:top w:val="single" w:sz="2" w:space="0" w:color="F2F2F2"/>
              <w:left w:val="single" w:sz="2" w:space="0" w:color="F2F2F2"/>
              <w:bottom w:val="single" w:sz="2" w:space="0" w:color="575756"/>
              <w:right w:val="single" w:sz="2" w:space="0" w:color="F2F2F2"/>
            </w:tcBorders>
            <w:shd w:fill="F2F2F2" w:val="clear"/>
            <w:tcMar>
              <w:top w:w="45" w:type="dxa"/>
              <w:bottom w:w="3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37,491,239</w:t>
            </w:r>
          </w:p>
        </w:tc>
        <w:tc>
          <w:tcPr>
            <w:tcW w:w="295" w:type="dxa"/>
            <w:tcBorders>
              <w:top w:val="single" w:sz="2" w:space="0" w:color="F2F2F2"/>
              <w:left w:val="single" w:sz="2" w:space="0" w:color="F2F2F2"/>
              <w:bottom w:val="single" w:sz="2" w:space="0" w:color="575756"/>
              <w:right w:val="single" w:sz="2" w:space="0" w:color="F2F2F2"/>
            </w:tcBorders>
            <w:shd w:fill="F2F2F2" w:val="clear"/>
            <w:tcMar>
              <w:top w:w="45" w:type="dxa"/>
              <w:bottom w:w="30" w:type="dxa"/>
            </w:tcMar>
            <w:vAlign w:val="center"/>
          </w:tcPr>
          <w:p>
            <w:pPr>
              <w:pStyle w:val="TableContents"/>
              <w:pBdr/>
              <w:spacing w:before="0" w:after="45"/>
              <w:ind w:left="15" w:right="15" w:hanging="0"/>
              <w:jc w:val="right"/>
              <w:rPr>
                <w:color w:val="000000"/>
              </w:rPr>
            </w:pPr>
            <w:r>
              <w:rPr>
                <w:color w:val="000000"/>
              </w:rPr>
              <w:t> </w:t>
            </w:r>
          </w:p>
        </w:tc>
        <w:tc>
          <w:tcPr>
            <w:tcW w:w="1486" w:type="dxa"/>
            <w:tcBorders>
              <w:top w:val="single" w:sz="2" w:space="0" w:color="F2F2F2"/>
              <w:left w:val="single" w:sz="2" w:space="0" w:color="F2F2F2"/>
              <w:bottom w:val="single" w:sz="2" w:space="0" w:color="575756"/>
              <w:right w:val="single" w:sz="2" w:space="0" w:color="F2F2F2"/>
            </w:tcBorders>
            <w:shd w:fill="F2F2F2" w:val="clear"/>
            <w:tcMar>
              <w:top w:w="45" w:type="dxa"/>
              <w:bottom w:w="3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40,168,860</w:t>
            </w:r>
          </w:p>
        </w:tc>
        <w:tc>
          <w:tcPr>
            <w:tcW w:w="191" w:type="dxa"/>
            <w:tcBorders/>
            <w:shd w:fill="auto" w:val="clear"/>
            <w:vAlign w:val="center"/>
          </w:tcPr>
          <w:p>
            <w:pPr>
              <w:pStyle w:val="TableContents"/>
              <w:pBdr/>
              <w:spacing w:before="0" w:after="45"/>
              <w:ind w:left="0" w:right="0" w:hanging="0"/>
              <w:jc w:val="center"/>
              <w:rPr>
                <w:color w:val="000000"/>
              </w:rPr>
            </w:pPr>
            <w:r>
              <w:rPr>
                <w:color w:val="000000"/>
              </w:rPr>
              <w:t> </w:t>
            </w:r>
          </w:p>
        </w:tc>
      </w:tr>
      <w:tr>
        <w:trPr/>
        <w:tc>
          <w:tcPr>
            <w:tcW w:w="161" w:type="dxa"/>
            <w:tcBorders/>
            <w:shd w:fill="auto" w:val="clear"/>
            <w:vAlign w:val="center"/>
          </w:tcPr>
          <w:p>
            <w:pPr>
              <w:pStyle w:val="TableContents"/>
              <w:pBdr/>
              <w:spacing w:before="0" w:after="45"/>
              <w:ind w:left="0" w:right="0" w:hanging="0"/>
              <w:jc w:val="center"/>
              <w:rPr>
                <w:color w:val="000000"/>
              </w:rPr>
            </w:pPr>
            <w:r>
              <w:rPr>
                <w:color w:val="000000"/>
              </w:rPr>
              <w:t> </w:t>
            </w:r>
          </w:p>
        </w:tc>
        <w:tc>
          <w:tcPr>
            <w:tcW w:w="526"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2020</w:t>
            </w:r>
          </w:p>
        </w:tc>
        <w:tc>
          <w:tcPr>
            <w:tcW w:w="161"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color w:val="000000"/>
              </w:rPr>
            </w:pPr>
            <w:r>
              <w:rPr>
                <w:color w:val="000000"/>
              </w:rPr>
              <w:t> </w:t>
            </w:r>
          </w:p>
        </w:tc>
        <w:tc>
          <w:tcPr>
            <w:tcW w:w="2068"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40,058,597</w:t>
            </w:r>
          </w:p>
        </w:tc>
        <w:tc>
          <w:tcPr>
            <w:tcW w:w="317"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color w:val="000000"/>
              </w:rPr>
            </w:pPr>
            <w:r>
              <w:rPr>
                <w:color w:val="000000"/>
              </w:rPr>
              <w:t> </w:t>
            </w:r>
          </w:p>
        </w:tc>
        <w:tc>
          <w:tcPr>
            <w:tcW w:w="2647"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(37,659,674)</w:t>
            </w:r>
          </w:p>
        </w:tc>
        <w:tc>
          <w:tcPr>
            <w:tcW w:w="383"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color w:val="000000"/>
              </w:rPr>
            </w:pPr>
            <w:r>
              <w:rPr>
                <w:color w:val="000000"/>
              </w:rPr>
              <w:t> </w:t>
            </w:r>
          </w:p>
        </w:tc>
        <w:tc>
          <w:tcPr>
            <w:tcW w:w="1925"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46,158,636</w:t>
            </w:r>
          </w:p>
        </w:tc>
        <w:tc>
          <w:tcPr>
            <w:tcW w:w="295"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color w:val="000000"/>
              </w:rPr>
            </w:pPr>
            <w:r>
              <w:rPr>
                <w:color w:val="000000"/>
              </w:rPr>
              <w:t> </w:t>
            </w:r>
          </w:p>
        </w:tc>
        <w:tc>
          <w:tcPr>
            <w:tcW w:w="1486"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48,557,559</w:t>
            </w:r>
          </w:p>
        </w:tc>
        <w:tc>
          <w:tcPr>
            <w:tcW w:w="191" w:type="dxa"/>
            <w:tcBorders/>
            <w:shd w:fill="auto" w:val="clear"/>
            <w:vAlign w:val="center"/>
          </w:tcPr>
          <w:p>
            <w:pPr>
              <w:pStyle w:val="TableContents"/>
              <w:pBdr/>
              <w:spacing w:before="0" w:after="45"/>
              <w:ind w:left="0" w:right="0" w:hanging="0"/>
              <w:jc w:val="center"/>
              <w:rPr>
                <w:color w:val="000000"/>
              </w:rPr>
            </w:pPr>
            <w:r>
              <w:rPr>
                <w:color w:val="000000"/>
              </w:rPr>
              <w:t> </w:t>
            </w:r>
          </w:p>
        </w:tc>
      </w:tr>
    </w:tbl>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299"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31" descr=""/>
                          <pic:cNvPicPr>
                            <a:picLocks noChangeAspect="1" noChangeArrowheads="1"/>
                          </pic:cNvPicPr>
                        </pic:nvPicPr>
                        <pic:blipFill>
                          <a:blip r:embed="rId232"/>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96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pBdr/>
              <w:spacing w:before="0" w:after="0"/>
              <w:ind w:left="0" w:right="30" w:hanging="0"/>
              <w:rPr>
                <w:rFonts w:ascii="Arial" w:hAnsi="Arial"/>
                <w:color w:val="000000"/>
                <w:sz w:val="20"/>
              </w:rPr>
            </w:pPr>
            <w:r>
              <w:rPr>
                <w:rFonts w:ascii="Arial" w:hAnsi="Arial"/>
                <w:color w:val="000000"/>
                <w:sz w:val="20"/>
              </w:rPr>
              <w:t>The “Inclusion of Item 402(v) Equity Award Values” columns in the tables above are derived from the dollar values set forth in the following tables:</w:t>
            </w:r>
          </w:p>
        </w:tc>
      </w:tr>
    </w:tbl>
    <w:tbl>
      <w:tblPr>
        <w:tblW w:w="10205" w:type="dxa"/>
        <w:jc w:val="left"/>
        <w:tblInd w:w="0" w:type="dxa"/>
        <w:tblCellMar>
          <w:top w:w="28" w:type="dxa"/>
          <w:left w:w="28" w:type="dxa"/>
          <w:bottom w:w="28" w:type="dxa"/>
          <w:right w:w="28" w:type="dxa"/>
        </w:tblCellMar>
      </w:tblPr>
      <w:tblGrid>
        <w:gridCol w:w="521"/>
        <w:gridCol w:w="526"/>
        <w:gridCol w:w="1360"/>
        <w:gridCol w:w="189"/>
        <w:gridCol w:w="1462"/>
        <w:gridCol w:w="1325"/>
        <w:gridCol w:w="1365"/>
        <w:gridCol w:w="978"/>
        <w:gridCol w:w="1085"/>
        <w:gridCol w:w="1394"/>
      </w:tblGrid>
      <w:tr>
        <w:trPr/>
        <w:tc>
          <w:tcPr>
            <w:tcW w:w="521" w:type="dxa"/>
            <w:tcBorders/>
            <w:shd w:fill="auto" w:val="clear"/>
            <w:vAlign w:val="center"/>
          </w:tcPr>
          <w:p>
            <w:pPr>
              <w:pStyle w:val="TableContents"/>
              <w:pBdr/>
              <w:spacing w:before="15" w:after="0"/>
              <w:ind w:left="0" w:right="0" w:hanging="0"/>
              <w:jc w:val="center"/>
              <w:rPr>
                <w:color w:val="000000"/>
              </w:rPr>
            </w:pPr>
            <w:r>
              <w:rPr>
                <w:color w:val="000000"/>
              </w:rPr>
              <w:t>       </w:t>
            </w:r>
          </w:p>
        </w:tc>
        <w:tc>
          <w:tcPr>
            <w:tcW w:w="526"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rPr>
                <w:rFonts w:ascii="Arial" w:hAnsi="Arial"/>
                <w:b/>
                <w:color w:val="245BA7"/>
                <w:sz w:val="18"/>
              </w:rPr>
            </w:pPr>
            <w:r>
              <w:rPr>
                <w:rFonts w:ascii="Arial" w:hAnsi="Arial"/>
                <w:b/>
                <w:color w:val="245BA7"/>
                <w:sz w:val="18"/>
              </w:rPr>
              <w:t>Year</w:t>
            </w:r>
          </w:p>
        </w:tc>
        <w:tc>
          <w:tcPr>
            <w:tcW w:w="1549" w:type="dxa"/>
            <w:gridSpan w:val="2"/>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Year-End Fair Value of Equity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Awards Granted During Year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That Remained Unvested as of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Last Day of Year for PEO ($)</w:t>
            </w:r>
          </w:p>
        </w:tc>
        <w:tc>
          <w:tcPr>
            <w:tcW w:w="1462"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Change in Fair Value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from Last Day of Prior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Year to Last Day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Year of Unvested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Equity Awards for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PEO ($)</w:t>
            </w:r>
          </w:p>
        </w:tc>
        <w:tc>
          <w:tcPr>
            <w:tcW w:w="1325"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Vesting-Date Fair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Value of Equity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Awards Granted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During Year that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Vested During Year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for PEO ($)</w:t>
            </w:r>
          </w:p>
        </w:tc>
        <w:tc>
          <w:tcPr>
            <w:tcW w:w="1365"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Change in Fair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Value from Last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Day of Prior Year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to Vesting Date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Unvested Equity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Awards that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Vested During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Year for PEO ($)</w:t>
            </w:r>
          </w:p>
        </w:tc>
        <w:tc>
          <w:tcPr>
            <w:tcW w:w="978"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Fair Value at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Last Day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Prior Year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Equity Awards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Forfeited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During Year for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PEO ($)</w:t>
            </w:r>
          </w:p>
        </w:tc>
        <w:tc>
          <w:tcPr>
            <w:tcW w:w="1085"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Value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Dividends or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Other Earnings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Paid on Stock or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Option Awards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Not Otherwise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Included for PEO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1394"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Total - Inclusion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Equity Values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for PEO ($)</w:t>
            </w:r>
          </w:p>
        </w:tc>
      </w:tr>
      <w:tr>
        <w:trPr/>
        <w:tc>
          <w:tcPr>
            <w:tcW w:w="521" w:type="dxa"/>
            <w:tcBorders/>
            <w:shd w:fill="auto" w:val="clear"/>
            <w:vAlign w:val="center"/>
          </w:tcPr>
          <w:p>
            <w:pPr>
              <w:pStyle w:val="TableContents"/>
              <w:pBdr/>
              <w:spacing w:before="0" w:after="45"/>
              <w:ind w:left="0" w:right="0" w:hanging="0"/>
              <w:jc w:val="center"/>
              <w:rPr>
                <w:color w:val="000000"/>
              </w:rPr>
            </w:pPr>
            <w:r>
              <w:rPr>
                <w:color w:val="000000"/>
              </w:rPr>
              <w:t> </w:t>
            </w:r>
          </w:p>
        </w:tc>
        <w:tc>
          <w:tcPr>
            <w:tcW w:w="526"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2022</w:t>
            </w:r>
          </w:p>
        </w:tc>
        <w:tc>
          <w:tcPr>
            <w:tcW w:w="1360"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0</w:t>
            </w:r>
          </w:p>
        </w:tc>
        <w:tc>
          <w:tcPr>
            <w:tcW w:w="189"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 </w:t>
            </w:r>
          </w:p>
        </w:tc>
        <w:tc>
          <w:tcPr>
            <w:tcW w:w="1462"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color w:val="000000"/>
              </w:rPr>
            </w:pPr>
            <w:r>
              <w:rPr>
                <w:color w:val="000000"/>
              </w:rPr>
              <w:t>     </w:t>
            </w:r>
            <w:r>
              <w:rPr>
                <w:rFonts w:ascii="Arial" w:hAnsi="Arial"/>
                <w:color w:val="000000"/>
                <w:sz w:val="18"/>
              </w:rPr>
              <w:t>85,439,496</w:t>
            </w:r>
          </w:p>
        </w:tc>
        <w:tc>
          <w:tcPr>
            <w:tcW w:w="1325"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365"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aps w:val="false"/>
                <w:smallCaps w:val="false"/>
                <w:color w:val="000000"/>
              </w:rPr>
            </w:pPr>
            <w:r>
              <w:rPr>
                <w:caps w:val="false"/>
                <w:smallCaps w:val="false"/>
                <w:color w:val="000000"/>
              </w:rPr>
              <w:t>      </w:t>
            </w:r>
            <w:r>
              <w:rPr>
                <w:rFonts w:ascii="Arial" w:hAnsi="Arial"/>
                <w:b w:val="false"/>
                <w:i w:val="false"/>
                <w:caps w:val="false"/>
                <w:smallCaps w:val="false"/>
                <w:color w:val="000000"/>
                <w:sz w:val="18"/>
              </w:rPr>
              <w:t>6,343,018</w:t>
            </w:r>
          </w:p>
        </w:tc>
        <w:tc>
          <w:tcPr>
            <w:tcW w:w="978"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085"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394"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color w:val="000000"/>
              </w:rPr>
            </w:pPr>
            <w:r>
              <w:rPr>
                <w:color w:val="000000"/>
              </w:rPr>
              <w:t xml:space="preserve">    </w:t>
            </w:r>
            <w:r>
              <w:rPr>
                <w:rFonts w:ascii="Arial" w:hAnsi="Arial"/>
                <w:color w:val="000000"/>
                <w:sz w:val="18"/>
              </w:rPr>
              <w:t>91,782,514</w:t>
            </w:r>
          </w:p>
        </w:tc>
      </w:tr>
      <w:tr>
        <w:trPr/>
        <w:tc>
          <w:tcPr>
            <w:tcW w:w="521" w:type="dxa"/>
            <w:tcBorders/>
            <w:shd w:fill="auto" w:val="clear"/>
            <w:vAlign w:val="center"/>
          </w:tcPr>
          <w:p>
            <w:pPr>
              <w:pStyle w:val="TableContents"/>
              <w:pBdr/>
              <w:spacing w:before="0" w:after="45"/>
              <w:ind w:left="0" w:right="0" w:hanging="0"/>
              <w:jc w:val="center"/>
              <w:rPr>
                <w:color w:val="000000"/>
              </w:rPr>
            </w:pPr>
            <w:r>
              <w:rPr>
                <w:color w:val="000000"/>
              </w:rPr>
              <w:t> </w:t>
            </w:r>
          </w:p>
        </w:tc>
        <w:tc>
          <w:tcPr>
            <w:tcW w:w="526" w:type="dxa"/>
            <w:tcBorders>
              <w:top w:val="single" w:sz="2" w:space="0" w:color="F2F2F2"/>
              <w:left w:val="single" w:sz="2" w:space="0" w:color="F2F2F2"/>
              <w:bottom w:val="single" w:sz="2" w:space="0" w:color="575756"/>
              <w:right w:val="single" w:sz="2" w:space="0" w:color="F2F2F2"/>
            </w:tcBorders>
            <w:shd w:fill="F2F2F2" w:val="clear"/>
            <w:tcMar>
              <w:top w:w="45" w:type="dxa"/>
              <w:bottom w:w="3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2021</w:t>
            </w:r>
          </w:p>
        </w:tc>
        <w:tc>
          <w:tcPr>
            <w:tcW w:w="1360"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0</w:t>
            </w:r>
          </w:p>
        </w:tc>
        <w:tc>
          <w:tcPr>
            <w:tcW w:w="189"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right"/>
              <w:rPr>
                <w:color w:val="000000"/>
              </w:rPr>
            </w:pPr>
            <w:r>
              <w:rPr>
                <w:color w:val="000000"/>
              </w:rPr>
              <w:t> </w:t>
            </w:r>
          </w:p>
        </w:tc>
        <w:tc>
          <w:tcPr>
            <w:tcW w:w="1462"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center"/>
              <w:rPr>
                <w:color w:val="000000"/>
              </w:rPr>
            </w:pPr>
            <w:r>
              <w:rPr>
                <w:color w:val="000000"/>
              </w:rPr>
              <w:t>   </w:t>
            </w:r>
            <w:r>
              <w:rPr>
                <w:rFonts w:ascii="Arial" w:hAnsi="Arial"/>
                <w:color w:val="000000"/>
                <w:sz w:val="18"/>
              </w:rPr>
              <w:t>103,743,322</w:t>
            </w:r>
          </w:p>
        </w:tc>
        <w:tc>
          <w:tcPr>
            <w:tcW w:w="1325"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365"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right"/>
              <w:rPr>
                <w:caps w:val="false"/>
                <w:smallCaps w:val="false"/>
                <w:color w:val="000000"/>
              </w:rPr>
            </w:pPr>
            <w:r>
              <w:rPr>
                <w:caps w:val="false"/>
                <w:smallCaps w:val="false"/>
                <w:color w:val="000000"/>
              </w:rPr>
              <w:t>    </w:t>
            </w:r>
            <w:r>
              <w:rPr>
                <w:rFonts w:ascii="Arial" w:hAnsi="Arial"/>
                <w:b w:val="false"/>
                <w:i w:val="false"/>
                <w:caps w:val="false"/>
                <w:smallCaps w:val="false"/>
                <w:color w:val="000000"/>
                <w:sz w:val="18"/>
              </w:rPr>
              <w:t>13,530,815</w:t>
            </w:r>
          </w:p>
        </w:tc>
        <w:tc>
          <w:tcPr>
            <w:tcW w:w="978"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085"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394"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center"/>
              <w:rPr>
                <w:color w:val="000000"/>
              </w:rPr>
            </w:pPr>
            <w:r>
              <w:rPr>
                <w:color w:val="000000"/>
              </w:rPr>
              <w:t>  </w:t>
            </w:r>
            <w:r>
              <w:rPr>
                <w:rFonts w:ascii="Arial" w:hAnsi="Arial"/>
                <w:color w:val="000000"/>
                <w:sz w:val="18"/>
              </w:rPr>
              <w:t>117,274,138</w:t>
            </w:r>
          </w:p>
        </w:tc>
      </w:tr>
      <w:tr>
        <w:trPr/>
        <w:tc>
          <w:tcPr>
            <w:tcW w:w="521" w:type="dxa"/>
            <w:tcBorders/>
            <w:shd w:fill="auto" w:val="clear"/>
            <w:vAlign w:val="center"/>
          </w:tcPr>
          <w:p>
            <w:pPr>
              <w:pStyle w:val="TableContents"/>
              <w:pBdr/>
              <w:spacing w:before="0" w:after="45"/>
              <w:ind w:left="0" w:right="0" w:hanging="0"/>
              <w:jc w:val="center"/>
              <w:rPr>
                <w:color w:val="000000"/>
              </w:rPr>
            </w:pPr>
            <w:r>
              <w:rPr>
                <w:color w:val="000000"/>
              </w:rPr>
              <w:t> </w:t>
            </w:r>
          </w:p>
        </w:tc>
        <w:tc>
          <w:tcPr>
            <w:tcW w:w="526"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2020</w:t>
            </w:r>
          </w:p>
        </w:tc>
        <w:tc>
          <w:tcPr>
            <w:tcW w:w="1360"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130,000,012</w:t>
            </w:r>
          </w:p>
        </w:tc>
        <w:tc>
          <w:tcPr>
            <w:tcW w:w="189"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olor w:val="000000"/>
              </w:rPr>
            </w:pPr>
            <w:r>
              <w:rPr>
                <w:color w:val="000000"/>
              </w:rPr>
              <w:t> </w:t>
            </w:r>
          </w:p>
        </w:tc>
        <w:tc>
          <w:tcPr>
            <w:tcW w:w="1462"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color w:val="000000"/>
              </w:rPr>
            </w:pPr>
            <w:r>
              <w:rPr>
                <w:color w:val="000000"/>
              </w:rPr>
              <w:t>    </w:t>
            </w:r>
            <w:r>
              <w:rPr>
                <w:rFonts w:ascii="Arial" w:hAnsi="Arial"/>
                <w:color w:val="000000"/>
                <w:sz w:val="18"/>
              </w:rPr>
              <w:t>10,518,426</w:t>
            </w:r>
          </w:p>
        </w:tc>
        <w:tc>
          <w:tcPr>
            <w:tcW w:w="1325"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365"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right"/>
              <w:rPr>
                <w:caps w:val="false"/>
                <w:smallCaps w:val="false"/>
                <w:color w:val="000000"/>
              </w:rPr>
            </w:pPr>
            <w:r>
              <w:rPr>
                <w:caps w:val="false"/>
                <w:smallCaps w:val="false"/>
                <w:color w:val="000000"/>
              </w:rPr>
              <w:t>    </w:t>
            </w:r>
            <w:r>
              <w:rPr>
                <w:rFonts w:ascii="Arial" w:hAnsi="Arial"/>
                <w:b w:val="false"/>
                <w:i w:val="false"/>
                <w:caps w:val="false"/>
                <w:smallCaps w:val="false"/>
                <w:color w:val="000000"/>
                <w:sz w:val="18"/>
              </w:rPr>
              <w:t>7,166,994</w:t>
            </w:r>
          </w:p>
        </w:tc>
        <w:tc>
          <w:tcPr>
            <w:tcW w:w="978"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085"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394"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color w:val="000000"/>
              </w:rPr>
            </w:pPr>
            <w:r>
              <w:rPr>
                <w:color w:val="000000"/>
              </w:rPr>
              <w:t>  </w:t>
            </w:r>
            <w:r>
              <w:rPr>
                <w:rFonts w:ascii="Arial" w:hAnsi="Arial"/>
                <w:color w:val="000000"/>
                <w:sz w:val="18"/>
              </w:rPr>
              <w:t>147,685,433</w:t>
            </w:r>
          </w:p>
        </w:tc>
      </w:tr>
    </w:tbl>
    <w:tbl>
      <w:tblPr>
        <w:tblW w:w="10205" w:type="dxa"/>
        <w:jc w:val="left"/>
        <w:tblInd w:w="0" w:type="dxa"/>
        <w:tblCellMar>
          <w:top w:w="28" w:type="dxa"/>
          <w:left w:w="28" w:type="dxa"/>
          <w:bottom w:w="28" w:type="dxa"/>
          <w:right w:w="28" w:type="dxa"/>
        </w:tblCellMar>
      </w:tblPr>
      <w:tblGrid>
        <w:gridCol w:w="577"/>
        <w:gridCol w:w="582"/>
        <w:gridCol w:w="1358"/>
        <w:gridCol w:w="1433"/>
        <w:gridCol w:w="1444"/>
        <w:gridCol w:w="1175"/>
        <w:gridCol w:w="1101"/>
        <w:gridCol w:w="1207"/>
        <w:gridCol w:w="1328"/>
      </w:tblGrid>
      <w:tr>
        <w:trPr/>
        <w:tc>
          <w:tcPr>
            <w:tcW w:w="577" w:type="dxa"/>
            <w:tcBorders/>
            <w:shd w:fill="auto" w:val="clear"/>
            <w:vAlign w:val="center"/>
          </w:tcPr>
          <w:p>
            <w:pPr>
              <w:pStyle w:val="TableContents"/>
              <w:pBdr/>
              <w:spacing w:before="15" w:after="0"/>
              <w:ind w:left="0" w:right="0" w:hanging="0"/>
              <w:jc w:val="center"/>
              <w:rPr>
                <w:color w:val="000000"/>
              </w:rPr>
            </w:pPr>
            <w:r>
              <w:rPr>
                <w:color w:val="000000"/>
              </w:rPr>
              <w:t>       </w:t>
            </w:r>
          </w:p>
        </w:tc>
        <w:tc>
          <w:tcPr>
            <w:tcW w:w="582"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rPr>
                <w:rFonts w:ascii="Arial" w:hAnsi="Arial"/>
                <w:b/>
                <w:color w:val="245BA7"/>
                <w:sz w:val="18"/>
              </w:rPr>
            </w:pPr>
            <w:r>
              <w:rPr>
                <w:rFonts w:ascii="Arial" w:hAnsi="Arial"/>
                <w:b/>
                <w:color w:val="245BA7"/>
                <w:sz w:val="18"/>
              </w:rPr>
              <w:t>Year</w:t>
            </w:r>
          </w:p>
        </w:tc>
        <w:tc>
          <w:tcPr>
            <w:tcW w:w="1358"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Average Year-End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Fair Value of Equity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Awards Granted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During Year That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Remained Unvested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as of Last Day of Year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for Non-PEO NEOs ($)</w:t>
            </w:r>
          </w:p>
        </w:tc>
        <w:tc>
          <w:tcPr>
            <w:tcW w:w="1433"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Average Change in Fair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Value from Last Day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Prior Year to Last Day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of Year of Unvested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Equity Awards for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Non-PEO NEOs ($)</w:t>
            </w:r>
          </w:p>
        </w:tc>
        <w:tc>
          <w:tcPr>
            <w:tcW w:w="1444"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Average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Vesting-Date Fair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Value of Equity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Awards Granted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During Year that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Vested During Year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for Non-PEO NEOs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1175"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Average Change in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Fair Value from Last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Day of Prior Year to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Vesting Date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Unvested Equity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Awards that Vested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During Year for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Non-PEO NEOs ($)</w:t>
            </w:r>
          </w:p>
        </w:tc>
        <w:tc>
          <w:tcPr>
            <w:tcW w:w="1101"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Average Fair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Value at Last Day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of Prior Year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Equity Awards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Forfeited During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Year for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Non-PEO NEOs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1207"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Average Value of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Dividends or Other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Earnings Paid on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Stock or Option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Awards Not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Otherwise Included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for Non-PEO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NEOs ($)</w:t>
            </w:r>
          </w:p>
        </w:tc>
        <w:tc>
          <w:tcPr>
            <w:tcW w:w="1328" w:type="dxa"/>
            <w:tcBorders>
              <w:bottom w:val="single" w:sz="12" w:space="0" w:color="245BA7"/>
            </w:tcBorders>
            <w:shd w:fill="auto" w:val="clear"/>
            <w:tcMar>
              <w:top w:w="0" w:type="dxa"/>
              <w:left w:w="0" w:type="dxa"/>
              <w:bottom w:w="75" w:type="dxa"/>
              <w:right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Total—Average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Inclusion of Equity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Values for Non-PEO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NEOs ($)</w:t>
            </w:r>
          </w:p>
        </w:tc>
      </w:tr>
      <w:tr>
        <w:trPr/>
        <w:tc>
          <w:tcPr>
            <w:tcW w:w="577" w:type="dxa"/>
            <w:tcBorders/>
            <w:shd w:fill="auto" w:val="clear"/>
            <w:vAlign w:val="center"/>
          </w:tcPr>
          <w:p>
            <w:pPr>
              <w:pStyle w:val="TableContents"/>
              <w:pBdr/>
              <w:spacing w:before="0" w:after="45"/>
              <w:ind w:left="0" w:right="0" w:hanging="0"/>
              <w:jc w:val="center"/>
              <w:rPr>
                <w:color w:val="000000"/>
              </w:rPr>
            </w:pPr>
            <w:r>
              <w:rPr>
                <w:color w:val="000000"/>
              </w:rPr>
              <w:t> </w:t>
            </w:r>
          </w:p>
        </w:tc>
        <w:tc>
          <w:tcPr>
            <w:tcW w:w="582"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2022</w:t>
            </w:r>
          </w:p>
        </w:tc>
        <w:tc>
          <w:tcPr>
            <w:tcW w:w="1358"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color w:val="000000"/>
              </w:rPr>
            </w:pPr>
            <w:r>
              <w:rPr>
                <w:color w:val="000000"/>
              </w:rPr>
              <w:t xml:space="preserve">   </w:t>
            </w:r>
            <w:r>
              <w:rPr>
                <w:rFonts w:ascii="Arial" w:hAnsi="Arial"/>
                <w:color w:val="000000"/>
                <w:sz w:val="18"/>
              </w:rPr>
              <w:t>5,298,332</w:t>
            </w:r>
          </w:p>
        </w:tc>
        <w:tc>
          <w:tcPr>
            <w:tcW w:w="1433"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color w:val="000000"/>
              </w:rPr>
            </w:pPr>
            <w:r>
              <w:rPr>
                <w:color w:val="000000"/>
              </w:rPr>
              <w:t>  </w:t>
            </w:r>
            <w:r>
              <w:rPr>
                <w:rFonts w:ascii="Arial" w:hAnsi="Arial"/>
                <w:color w:val="000000"/>
                <w:sz w:val="18"/>
              </w:rPr>
              <w:t>20,772,973</w:t>
            </w:r>
          </w:p>
        </w:tc>
        <w:tc>
          <w:tcPr>
            <w:tcW w:w="1444"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175"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3,401,006</w:t>
            </w:r>
          </w:p>
        </w:tc>
        <w:tc>
          <w:tcPr>
            <w:tcW w:w="1101"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207"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328"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29,472,311</w:t>
            </w:r>
          </w:p>
        </w:tc>
      </w:tr>
      <w:tr>
        <w:trPr/>
        <w:tc>
          <w:tcPr>
            <w:tcW w:w="577" w:type="dxa"/>
            <w:tcBorders/>
            <w:shd w:fill="auto" w:val="clear"/>
            <w:vAlign w:val="center"/>
          </w:tcPr>
          <w:p>
            <w:pPr>
              <w:pStyle w:val="TableContents"/>
              <w:pBdr/>
              <w:spacing w:before="0" w:after="45"/>
              <w:ind w:left="0" w:right="0" w:hanging="0"/>
              <w:jc w:val="center"/>
              <w:rPr>
                <w:color w:val="000000"/>
              </w:rPr>
            </w:pPr>
            <w:r>
              <w:rPr>
                <w:color w:val="000000"/>
              </w:rPr>
              <w:t> </w:t>
            </w:r>
          </w:p>
        </w:tc>
        <w:tc>
          <w:tcPr>
            <w:tcW w:w="582" w:type="dxa"/>
            <w:tcBorders>
              <w:top w:val="single" w:sz="2" w:space="0" w:color="F2F2F2"/>
              <w:left w:val="single" w:sz="2" w:space="0" w:color="F2F2F2"/>
              <w:bottom w:val="single" w:sz="2" w:space="0" w:color="575756"/>
              <w:right w:val="single" w:sz="2" w:space="0" w:color="F2F2F2"/>
            </w:tcBorders>
            <w:shd w:fill="F2F2F2" w:val="clear"/>
            <w:tcMar>
              <w:top w:w="45" w:type="dxa"/>
              <w:bottom w:w="3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2021</w:t>
            </w:r>
          </w:p>
        </w:tc>
        <w:tc>
          <w:tcPr>
            <w:tcW w:w="1358"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center"/>
              <w:rPr>
                <w:color w:val="000000"/>
              </w:rPr>
            </w:pPr>
            <w:r>
              <w:rPr>
                <w:color w:val="000000"/>
              </w:rPr>
              <w:t xml:space="preserve">   </w:t>
            </w:r>
            <w:r>
              <w:rPr>
                <w:rFonts w:ascii="Arial" w:hAnsi="Arial"/>
                <w:color w:val="000000"/>
                <w:sz w:val="18"/>
              </w:rPr>
              <w:t>4,742,911</w:t>
            </w:r>
          </w:p>
        </w:tc>
        <w:tc>
          <w:tcPr>
            <w:tcW w:w="1433"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center"/>
              <w:rPr>
                <w:color w:val="000000"/>
              </w:rPr>
            </w:pPr>
            <w:r>
              <w:rPr>
                <w:color w:val="000000"/>
              </w:rPr>
              <w:t> </w:t>
            </w:r>
            <w:r>
              <w:rPr>
                <w:rFonts w:ascii="Arial" w:hAnsi="Arial"/>
                <w:color w:val="000000"/>
                <w:sz w:val="18"/>
              </w:rPr>
              <w:t>26,554,774</w:t>
            </w:r>
          </w:p>
        </w:tc>
        <w:tc>
          <w:tcPr>
            <w:tcW w:w="1444"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175"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6,193,555</w:t>
            </w:r>
          </w:p>
        </w:tc>
        <w:tc>
          <w:tcPr>
            <w:tcW w:w="1101"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207"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328" w:type="dxa"/>
            <w:tcBorders>
              <w:top w:val="single" w:sz="2" w:space="0" w:color="F2F2F2"/>
              <w:left w:val="single" w:sz="2" w:space="0" w:color="F2F2F2"/>
              <w:bottom w:val="single" w:sz="2" w:space="0" w:color="575756"/>
              <w:right w:val="single" w:sz="2" w:space="0" w:color="F2F2F2"/>
            </w:tcBorders>
            <w:shd w:fill="F2F2F2" w:val="clear"/>
            <w:tcMar>
              <w:top w:w="90" w:type="dxa"/>
              <w:bottom w:w="45"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37,491,239</w:t>
            </w:r>
          </w:p>
        </w:tc>
      </w:tr>
      <w:tr>
        <w:trPr/>
        <w:tc>
          <w:tcPr>
            <w:tcW w:w="577" w:type="dxa"/>
            <w:tcBorders/>
            <w:shd w:fill="auto" w:val="clear"/>
            <w:vAlign w:val="center"/>
          </w:tcPr>
          <w:p>
            <w:pPr>
              <w:pStyle w:val="TableContents"/>
              <w:pBdr/>
              <w:spacing w:before="0" w:after="45"/>
              <w:ind w:left="0" w:right="0" w:hanging="0"/>
              <w:jc w:val="center"/>
              <w:rPr>
                <w:color w:val="000000"/>
              </w:rPr>
            </w:pPr>
            <w:r>
              <w:rPr>
                <w:color w:val="000000"/>
              </w:rPr>
              <w:t> </w:t>
            </w:r>
          </w:p>
        </w:tc>
        <w:tc>
          <w:tcPr>
            <w:tcW w:w="582" w:type="dxa"/>
            <w:tcBorders>
              <w:bottom w:val="single" w:sz="2" w:space="0" w:color="575756"/>
            </w:tcBorders>
            <w:shd w:fill="auto" w:val="clear"/>
            <w:tcMar>
              <w:top w:w="0" w:type="dxa"/>
              <w:left w:w="0" w:type="dxa"/>
              <w:bottom w:w="30" w:type="dxa"/>
              <w:right w:w="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2020</w:t>
            </w:r>
          </w:p>
        </w:tc>
        <w:tc>
          <w:tcPr>
            <w:tcW w:w="1358"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color w:val="000000"/>
              </w:rPr>
            </w:pPr>
            <w:r>
              <w:rPr>
                <w:color w:val="000000"/>
              </w:rPr>
              <w:t> </w:t>
            </w:r>
            <w:r>
              <w:rPr>
                <w:rFonts w:ascii="Arial" w:hAnsi="Arial"/>
                <w:color w:val="000000"/>
                <w:sz w:val="18"/>
              </w:rPr>
              <w:t>37,311,859</w:t>
            </w:r>
          </w:p>
        </w:tc>
        <w:tc>
          <w:tcPr>
            <w:tcW w:w="1433"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color w:val="000000"/>
              </w:rPr>
            </w:pPr>
            <w:r>
              <w:rPr>
                <w:color w:val="000000"/>
              </w:rPr>
              <w:t xml:space="preserve">   </w:t>
            </w:r>
            <w:r>
              <w:rPr>
                <w:rFonts w:ascii="Arial" w:hAnsi="Arial"/>
                <w:color w:val="000000"/>
                <w:sz w:val="18"/>
              </w:rPr>
              <w:t>5,691,658</w:t>
            </w:r>
          </w:p>
        </w:tc>
        <w:tc>
          <w:tcPr>
            <w:tcW w:w="1444"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175"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3,155,119</w:t>
            </w:r>
          </w:p>
        </w:tc>
        <w:tc>
          <w:tcPr>
            <w:tcW w:w="1101"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207"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0</w:t>
            </w:r>
          </w:p>
        </w:tc>
        <w:tc>
          <w:tcPr>
            <w:tcW w:w="1328" w:type="dxa"/>
            <w:tcBorders>
              <w:bottom w:val="single" w:sz="2" w:space="0" w:color="575756"/>
            </w:tcBorders>
            <w:shd w:fill="auto" w:val="clear"/>
            <w:tcMar>
              <w:top w:w="0" w:type="dxa"/>
              <w:left w:w="0" w:type="dxa"/>
              <w:bottom w:w="45" w:type="dxa"/>
              <w:right w:w="0" w:type="dxa"/>
            </w:tcMar>
            <w:vAlign w:val="center"/>
          </w:tcPr>
          <w:p>
            <w:pPr>
              <w:pStyle w:val="TableContents"/>
              <w:pBdr/>
              <w:spacing w:before="0" w:after="45"/>
              <w:ind w:left="15" w:right="15" w:hanging="0"/>
              <w:jc w:val="center"/>
              <w:rPr>
                <w:rFonts w:ascii="Arial" w:hAnsi="Arial"/>
                <w:color w:val="000000"/>
                <w:sz w:val="18"/>
              </w:rPr>
            </w:pPr>
            <w:r>
              <w:rPr>
                <w:rFonts w:ascii="Arial" w:hAnsi="Arial"/>
                <w:color w:val="000000"/>
                <w:sz w:val="18"/>
              </w:rPr>
              <w:t>46,158,636</w:t>
            </w:r>
          </w:p>
        </w:tc>
      </w:tr>
      <w:tr>
        <w:trPr/>
        <w:tc>
          <w:tcPr>
            <w:tcW w:w="10205" w:type="dxa"/>
            <w:gridSpan w:val="9"/>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4</w:t>
            </w:r>
          </w:p>
          <w:p>
            <w:pPr>
              <w:pStyle w:val="TableContents"/>
              <w:pBdr/>
              <w:spacing w:before="0" w:after="0"/>
              <w:ind w:left="0" w:right="30" w:hanging="0"/>
              <w:rPr>
                <w:rFonts w:ascii="Arial" w:hAnsi="Arial"/>
                <w:color w:val="000000"/>
                <w:sz w:val="20"/>
              </w:rPr>
            </w:pPr>
            <w:r>
              <w:rPr>
                <w:rFonts w:ascii="Arial" w:hAnsi="Arial"/>
                <w:color w:val="000000"/>
                <w:sz w:val="20"/>
              </w:rPr>
              <w:t xml:space="preserve">The Peer Group TSR shown in this table utilizes the NASDAQ US Benchmark Pharmaceuticals Total Return Index (“NQ US Pharma Index”), which we also utilize in the stock performance graph required by Item 201(e) of Regulation S-K included in our Annual Reports on Form 10-K for the years reflected in the table above. The comparison assumes $100 was invested for the period starting December 31, 2019 through December 31 of the applicable fiscal year in each of the Company’s common stock and the NQ US Pharma Index. All dollar values assume reinvestment of the pre-tax value of dividends paid by companies included in the NQ US Pharma Index. The historical stock price performance of our common stock shown is not necessarily indicative of future stock price performance. </w:t>
            </w:r>
          </w:p>
          <w:p>
            <w:pPr>
              <w:pStyle w:val="TableContents"/>
              <w:spacing w:before="0" w:after="0"/>
              <w:ind w:left="0" w:right="30" w:hanging="0"/>
              <w:rPr>
                <w:rFonts w:ascii="Arial" w:hAnsi="Arial"/>
                <w:color w:val="245BA7"/>
                <w:sz w:val="20"/>
              </w:rPr>
            </w:pPr>
            <w:r>
              <w:rPr>
                <w:rFonts w:ascii="Arial" w:hAnsi="Arial"/>
                <w:color w:val="245BA7"/>
                <w:sz w:val="20"/>
              </w:rPr>
              <w:t>5</w:t>
            </w:r>
          </w:p>
          <w:p>
            <w:pPr>
              <w:pStyle w:val="TableContents"/>
              <w:pBdr/>
              <w:spacing w:before="0" w:after="0"/>
              <w:ind w:left="0" w:right="30" w:hanging="0"/>
              <w:rPr>
                <w:rFonts w:ascii="Arial" w:hAnsi="Arial"/>
                <w:color w:val="000000"/>
                <w:sz w:val="20"/>
              </w:rPr>
            </w:pPr>
            <w:r>
              <w:rPr>
                <w:rFonts w:ascii="Arial" w:hAnsi="Arial"/>
                <w:color w:val="000000"/>
                <w:sz w:val="20"/>
              </w:rPr>
              <w:t>Pursuant to Item 402(v) of Regulation S-K, we determined our stock price to be the most important financial performance measure used to link Company performance to Compensation “Actually Paid” to our PEO and other NEOs in 2022. This performance measure may not have been the most important financial performance measure for years 2021 and 2020 and we may determine a different financial performance measure to be the most important such measure in future years.</w:t>
            </w:r>
          </w:p>
        </w:tc>
      </w:tr>
    </w:tbl>
    <w:p>
      <w:pPr>
        <w:pStyle w:val="Heading4"/>
        <w:pBdr/>
        <w:spacing w:before="0" w:after="150"/>
        <w:ind w:left="0" w:right="0" w:hanging="0"/>
        <w:rPr>
          <w:rFonts w:ascii="Arial" w:hAnsi="Arial"/>
          <w:b/>
          <w:i w:val="false"/>
          <w:caps w:val="false"/>
          <w:smallCaps w:val="false"/>
          <w:color w:val="245BA7"/>
          <w:sz w:val="24"/>
        </w:rPr>
      </w:pPr>
      <w:bookmarkStart w:id="164" w:name="new_id-155"/>
      <w:bookmarkEnd w:id="164"/>
      <w:r>
        <w:rPr>
          <w:rFonts w:ascii="Arial" w:hAnsi="Arial"/>
          <w:b/>
          <w:i w:val="false"/>
          <w:caps w:val="false"/>
          <w:smallCaps w:val="false"/>
          <w:color w:val="245BA7"/>
          <w:sz w:val="24"/>
        </w:rPr>
        <w:t xml:space="preserve">Description of Relationship Between NEO Compensation “Actually Paid” and Company Total Shareholder Return (“TSR”) </w:t>
      </w:r>
    </w:p>
    <w:p>
      <w:pPr>
        <w:pStyle w:val="TextBody"/>
        <w:pBdr/>
        <w:spacing w:before="0" w:after="210"/>
        <w:ind w:left="0" w:right="0" w:hanging="0"/>
        <w:rPr>
          <w:rFonts w:ascii="Arial" w:hAnsi="Arial"/>
          <w:color w:val="000000"/>
          <w:sz w:val="21"/>
        </w:rPr>
      </w:pPr>
      <w:r>
        <w:rPr>
          <w:rFonts w:ascii="Arial" w:hAnsi="Arial"/>
          <w:color w:val="000000"/>
          <w:sz w:val="21"/>
        </w:rPr>
        <w:t>The following chart sets forth the relationship between Compensation “Actually Paid” to our PEO, the average of Compensation “Actually Paid” to our Non-PEO NEOs, each as set forth in the Table above, and the Company’s cumulative TSR over the three-year period from 2020 through 2022.</w:t>
      </w:r>
    </w:p>
    <w:p>
      <w:pPr>
        <w:pStyle w:val="TextBody"/>
        <w:pBdr/>
        <w:spacing w:before="0" w:after="105"/>
        <w:ind w:left="0" w:right="0" w:hanging="0"/>
        <w:jc w:val="left"/>
        <w:rPr>
          <w:rFonts w:ascii="Arial" w:hAnsi="Arial"/>
          <w:b/>
          <w:i w:val="false"/>
          <w:caps w:val="false"/>
          <w:smallCaps w:val="false"/>
          <w:color w:val="D31B5D"/>
          <w:sz w:val="18"/>
        </w:rPr>
      </w:pPr>
      <w:bookmarkStart w:id="165" w:name="new_id-156"/>
      <w:bookmarkEnd w:id="165"/>
      <w:r>
        <w:rPr>
          <w:rFonts w:ascii="Arial" w:hAnsi="Arial"/>
          <w:b/>
          <w:i w:val="false"/>
          <w:caps w:val="false"/>
          <w:smallCaps w:val="false"/>
          <w:color w:val="D31B5D"/>
          <w:sz w:val="18"/>
        </w:rPr>
        <w:t xml:space="preserve">PEO and Average NEO Compensation “Actually Paid” Versus Regeneron TSR, 2020-2022 </w:t>
      </w:r>
    </w:p>
    <w:p>
      <w:pPr>
        <w:pStyle w:val="TextBody"/>
        <w:pBdr/>
        <w:spacing w:before="0" w:after="0"/>
        <w:ind w:left="0" w:right="0" w:hanging="0"/>
        <w:rPr>
          <w:color w:val="000000"/>
        </w:rPr>
      </w:pPr>
      <w:r>
        <w:rPr>
          <w:color w:val="000000"/>
        </w:rPr>
        <w:t> </w:t>
      </w:r>
    </w:p>
    <w:p>
      <w:pPr>
        <w:pStyle w:val="TextBody"/>
        <w:spacing w:before="0" w:after="0"/>
        <w:jc w:val="center"/>
        <w:rPr/>
      </w:pPr>
      <w:r>
        <w:rPr/>
        <w:drawing>
          <wp:inline distT="0" distB="0" distL="0" distR="0">
            <wp:extent cx="4857750" cy="2028825"/>
            <wp:effectExtent l="0" t="0" r="0" b="0"/>
            <wp:docPr id="300"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32" descr=""/>
                    <pic:cNvPicPr>
                      <a:picLocks noChangeAspect="1" noChangeArrowheads="1"/>
                    </pic:cNvPicPr>
                  </pic:nvPicPr>
                  <pic:blipFill>
                    <a:blip r:embed="rId233"/>
                    <a:stretch>
                      <a:fillRect/>
                    </a:stretch>
                  </pic:blipFill>
                  <pic:spPr bwMode="auto">
                    <a:xfrm>
                      <a:off x="0" y="0"/>
                      <a:ext cx="4857750" cy="2028825"/>
                    </a:xfrm>
                    <a:prstGeom prst="rect">
                      <a:avLst/>
                    </a:prstGeom>
                  </pic:spPr>
                </pic:pic>
              </a:graphicData>
            </a:graphic>
          </wp:inline>
        </w:drawing>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575" w:type="dxa"/>
            <w:tcBorders/>
            <w:shd w:fill="auto" w:val="clear"/>
            <w:vAlign w:val="center"/>
          </w:tcPr>
          <w:p>
            <w:pPr>
              <w:pStyle w:val="TableContents"/>
              <w:spacing w:before="0" w:after="283"/>
              <w:jc w:val="right"/>
              <w:rPr/>
            </w:pPr>
            <w:r>
              <w:rPr/>
              <w:t> </w:t>
            </w:r>
          </w:p>
        </w:tc>
      </w:tr>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01"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33" descr=""/>
                          <pic:cNvPicPr>
                            <a:picLocks noChangeAspect="1" noChangeArrowheads="1"/>
                          </pic:cNvPicPr>
                        </pic:nvPicPr>
                        <pic:blipFill>
                          <a:blip r:embed="rId234"/>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97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245BA7"/>
          <w:sz w:val="24"/>
        </w:rPr>
      </w:pPr>
      <w:bookmarkStart w:id="166" w:name="new_id-157"/>
      <w:bookmarkEnd w:id="166"/>
      <w:r>
        <w:rPr>
          <w:rFonts w:ascii="Arial" w:hAnsi="Arial"/>
          <w:b/>
          <w:i w:val="false"/>
          <w:caps w:val="false"/>
          <w:smallCaps w:val="false"/>
          <w:color w:val="245BA7"/>
          <w:sz w:val="24"/>
        </w:rPr>
        <w:t xml:space="preserve">Description of Relationship Between NEO Compensation “Actually Paid” and Net Income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following chart sets forth the relationship between Compensation “Actually Paid” to our PEO, the average of Compensation “Actually Paid” to our Non-PEO NEOs, and our net income during years 2020 through 2022, each as set forth in the table above.</w:t>
      </w:r>
    </w:p>
    <w:p>
      <w:pPr>
        <w:pStyle w:val="TextBody"/>
        <w:pBdr/>
        <w:spacing w:before="0" w:after="105"/>
        <w:ind w:left="0" w:right="0" w:hanging="0"/>
        <w:jc w:val="left"/>
        <w:rPr>
          <w:rFonts w:ascii="Arial" w:hAnsi="Arial"/>
          <w:b/>
          <w:i w:val="false"/>
          <w:caps w:val="false"/>
          <w:smallCaps w:val="false"/>
          <w:color w:val="D31B5D"/>
          <w:sz w:val="18"/>
        </w:rPr>
      </w:pPr>
      <w:bookmarkStart w:id="167" w:name="new_id-158"/>
      <w:bookmarkEnd w:id="167"/>
      <w:r>
        <w:rPr>
          <w:rFonts w:ascii="Arial" w:hAnsi="Arial"/>
          <w:b/>
          <w:i w:val="false"/>
          <w:caps w:val="false"/>
          <w:smallCaps w:val="false"/>
          <w:color w:val="D31B5D"/>
          <w:sz w:val="18"/>
        </w:rPr>
        <w:t xml:space="preserve">PEO and Average NEO Compensation “Actually Paid” Versus Regeneron Net Income, 2020-2022 </w:t>
      </w:r>
    </w:p>
    <w:p>
      <w:pPr>
        <w:pStyle w:val="TextBody"/>
        <w:pBdr/>
        <w:spacing w:before="0" w:after="0"/>
        <w:ind w:left="0" w:right="0" w:hanging="0"/>
        <w:rPr>
          <w:color w:val="000000"/>
        </w:rPr>
      </w:pPr>
      <w:r>
        <w:rPr>
          <w:color w:val="000000"/>
        </w:rPr>
        <w:t> </w:t>
      </w:r>
    </w:p>
    <w:p>
      <w:pPr>
        <w:pStyle w:val="TextBody"/>
        <w:jc w:val="center"/>
        <w:rPr/>
      </w:pPr>
      <w:r>
        <w:rPr/>
        <w:drawing>
          <wp:inline distT="0" distB="0" distL="0" distR="0">
            <wp:extent cx="4857750" cy="1981200"/>
            <wp:effectExtent l="0" t="0" r="0" b="0"/>
            <wp:docPr id="302"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34" descr=""/>
                    <pic:cNvPicPr>
                      <a:picLocks noChangeAspect="1" noChangeArrowheads="1"/>
                    </pic:cNvPicPr>
                  </pic:nvPicPr>
                  <pic:blipFill>
                    <a:blip r:embed="rId235"/>
                    <a:stretch>
                      <a:fillRect/>
                    </a:stretch>
                  </pic:blipFill>
                  <pic:spPr bwMode="auto">
                    <a:xfrm>
                      <a:off x="0" y="0"/>
                      <a:ext cx="4857750" cy="1981200"/>
                    </a:xfrm>
                    <a:prstGeom prst="rect">
                      <a:avLst/>
                    </a:prstGeom>
                  </pic:spPr>
                </pic:pic>
              </a:graphicData>
            </a:graphic>
          </wp:inline>
        </w:drawing>
      </w:r>
      <w:r>
        <w:rPr/>
        <w:t xml:space="preserve"> </w:t>
      </w:r>
    </w:p>
    <w:p>
      <w:pPr>
        <w:pStyle w:val="TextBody"/>
        <w:pBdr/>
        <w:spacing w:before="0" w:after="0"/>
        <w:ind w:left="0" w:right="0" w:hanging="0"/>
        <w:jc w:val="center"/>
        <w:rPr>
          <w:color w:val="000000"/>
        </w:rPr>
      </w:pPr>
      <w:r>
        <w:rPr>
          <w:color w:val="000000"/>
        </w:rPr>
        <w:t> </w:t>
      </w:r>
    </w:p>
    <w:p>
      <w:pPr>
        <w:pStyle w:val="Heading4"/>
        <w:pBdr/>
        <w:spacing w:before="0" w:after="150"/>
        <w:ind w:left="0" w:right="0" w:hanging="0"/>
        <w:jc w:val="left"/>
        <w:rPr>
          <w:rFonts w:ascii="Arial" w:hAnsi="Arial"/>
          <w:b/>
          <w:i w:val="false"/>
          <w:caps w:val="false"/>
          <w:smallCaps w:val="false"/>
          <w:color w:val="245BA7"/>
          <w:sz w:val="24"/>
        </w:rPr>
      </w:pPr>
      <w:bookmarkStart w:id="168" w:name="new_id-159"/>
      <w:bookmarkEnd w:id="168"/>
      <w:r>
        <w:rPr>
          <w:rFonts w:ascii="Arial" w:hAnsi="Arial"/>
          <w:b/>
          <w:i w:val="false"/>
          <w:caps w:val="false"/>
          <w:smallCaps w:val="false"/>
          <w:color w:val="245BA7"/>
          <w:sz w:val="24"/>
        </w:rPr>
        <w:t xml:space="preserve">Description of Relationship Between NEO Compensation” Actually Paid” and Stock Price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following chart sets forth the relationship between Compensation “Actually Paid” to our PEO, the average of Compensation “Actually Paid” to our Non-PEO NEOs, and the closing price of our common stock on the last trading day of years 2020 through 2022, each as set forth in the table above.</w:t>
      </w:r>
    </w:p>
    <w:p>
      <w:pPr>
        <w:pStyle w:val="TextBody"/>
        <w:pBdr/>
        <w:spacing w:before="0" w:after="105"/>
        <w:ind w:left="0" w:right="0" w:hanging="0"/>
        <w:jc w:val="left"/>
        <w:rPr>
          <w:rFonts w:ascii="Arial" w:hAnsi="Arial"/>
          <w:b/>
          <w:i w:val="false"/>
          <w:caps w:val="false"/>
          <w:smallCaps w:val="false"/>
          <w:color w:val="D31B5D"/>
          <w:sz w:val="18"/>
        </w:rPr>
      </w:pPr>
      <w:bookmarkStart w:id="169" w:name="new_id-160"/>
      <w:bookmarkEnd w:id="169"/>
      <w:r>
        <w:rPr>
          <w:rFonts w:ascii="Arial" w:hAnsi="Arial"/>
          <w:b/>
          <w:i w:val="false"/>
          <w:caps w:val="false"/>
          <w:smallCaps w:val="false"/>
          <w:color w:val="D31B5D"/>
          <w:sz w:val="18"/>
        </w:rPr>
        <w:t xml:space="preserve">PEO and Average NEO Compensation “Actually Paid” Versus Regeneron Stock Price, 2020-2022 </w:t>
      </w:r>
    </w:p>
    <w:p>
      <w:pPr>
        <w:pStyle w:val="TextBody"/>
        <w:pBdr/>
        <w:spacing w:before="0" w:after="0"/>
        <w:ind w:left="0" w:right="0" w:hanging="0"/>
        <w:jc w:val="center"/>
        <w:rPr>
          <w:color w:val="000000"/>
        </w:rPr>
      </w:pPr>
      <w:r>
        <w:rPr>
          <w:color w:val="000000"/>
        </w:rPr>
        <w:t> </w:t>
      </w:r>
    </w:p>
    <w:p>
      <w:pPr>
        <w:pStyle w:val="TextBody"/>
        <w:jc w:val="center"/>
        <w:rPr/>
      </w:pPr>
      <w:r>
        <w:rPr/>
        <w:drawing>
          <wp:inline distT="0" distB="0" distL="0" distR="0">
            <wp:extent cx="4857750" cy="1981200"/>
            <wp:effectExtent l="0" t="0" r="0" b="0"/>
            <wp:docPr id="303"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35" descr=""/>
                    <pic:cNvPicPr>
                      <a:picLocks noChangeAspect="1" noChangeArrowheads="1"/>
                    </pic:cNvPicPr>
                  </pic:nvPicPr>
                  <pic:blipFill>
                    <a:blip r:embed="rId236"/>
                    <a:stretch>
                      <a:fillRect/>
                    </a:stretch>
                  </pic:blipFill>
                  <pic:spPr bwMode="auto">
                    <a:xfrm>
                      <a:off x="0" y="0"/>
                      <a:ext cx="4857750" cy="1981200"/>
                    </a:xfrm>
                    <a:prstGeom prst="rect">
                      <a:avLst/>
                    </a:prstGeom>
                  </pic:spPr>
                </pic:pic>
              </a:graphicData>
            </a:graphic>
          </wp:inline>
        </w:drawing>
      </w:r>
      <w:r>
        <w:rPr/>
        <w:t xml:space="preserve"> </w:t>
      </w:r>
    </w:p>
    <w:p>
      <w:pPr>
        <w:pStyle w:val="TextBody"/>
        <w:pBdr/>
        <w:spacing w:before="0" w:after="60"/>
        <w:ind w:left="0" w:right="0" w:hanging="0"/>
        <w:jc w:val="center"/>
        <w:rPr>
          <w:color w:val="000000"/>
        </w:rPr>
      </w:pPr>
      <w:r>
        <w:rPr>
          <w:color w:val="000000"/>
        </w:rPr>
        <w:t> </w:t>
      </w:r>
    </w:p>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04"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36" descr=""/>
                          <pic:cNvPicPr>
                            <a:picLocks noChangeAspect="1" noChangeArrowheads="1"/>
                          </pic:cNvPicPr>
                        </pic:nvPicPr>
                        <pic:blipFill>
                          <a:blip r:embed="rId237"/>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98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245BA7"/>
          <w:sz w:val="24"/>
        </w:rPr>
      </w:pPr>
      <w:bookmarkStart w:id="170" w:name="new_id-161"/>
      <w:bookmarkEnd w:id="170"/>
      <w:r>
        <w:rPr>
          <w:rFonts w:ascii="Arial" w:hAnsi="Arial"/>
          <w:b/>
          <w:i w:val="false"/>
          <w:caps w:val="false"/>
          <w:smallCaps w:val="false"/>
          <w:color w:val="245BA7"/>
          <w:sz w:val="24"/>
        </w:rPr>
        <w:t xml:space="preserve">Description of Relationship Between Company TSR and Peer Group TSR </w:t>
      </w:r>
    </w:p>
    <w:p>
      <w:pPr>
        <w:pStyle w:val="TextBody"/>
        <w:pBdr/>
        <w:spacing w:before="0" w:after="210"/>
        <w:ind w:left="0" w:right="0" w:hanging="0"/>
        <w:rPr>
          <w:rFonts w:ascii="Arial" w:hAnsi="Arial"/>
          <w:color w:val="000000"/>
          <w:sz w:val="21"/>
        </w:rPr>
      </w:pPr>
      <w:r>
        <w:rPr>
          <w:rFonts w:ascii="Arial" w:hAnsi="Arial"/>
          <w:color w:val="000000"/>
          <w:sz w:val="21"/>
        </w:rPr>
        <w:t>The following chart compares our cumulative TSR over the three-year period from 2020 through 2022 to that of the NQ US Pharma Index over the same time period.</w:t>
      </w:r>
    </w:p>
    <w:p>
      <w:pPr>
        <w:pStyle w:val="TextBody"/>
        <w:pBdr/>
        <w:spacing w:before="0" w:after="105"/>
        <w:ind w:left="0" w:right="0" w:hanging="0"/>
        <w:jc w:val="left"/>
        <w:rPr>
          <w:rFonts w:ascii="Arial" w:hAnsi="Arial"/>
          <w:b/>
          <w:i w:val="false"/>
          <w:caps w:val="false"/>
          <w:smallCaps w:val="false"/>
          <w:color w:val="D31B5D"/>
          <w:sz w:val="18"/>
        </w:rPr>
      </w:pPr>
      <w:bookmarkStart w:id="171" w:name="new_id-162"/>
      <w:bookmarkEnd w:id="171"/>
      <w:r>
        <w:rPr>
          <w:rFonts w:ascii="Arial" w:hAnsi="Arial"/>
          <w:b/>
          <w:i w:val="false"/>
          <w:caps w:val="false"/>
          <w:smallCaps w:val="false"/>
          <w:color w:val="D31B5D"/>
          <w:sz w:val="18"/>
        </w:rPr>
        <w:t xml:space="preserve">Comparison of Regeneron Cumulative TSR to the NQ US Pharma Total Return Index, 2020-2022 </w:t>
      </w:r>
    </w:p>
    <w:p>
      <w:pPr>
        <w:pStyle w:val="TextBody"/>
        <w:pBdr/>
        <w:spacing w:before="0" w:after="0"/>
        <w:ind w:left="0" w:right="0" w:hanging="0"/>
        <w:rPr>
          <w:color w:val="000000"/>
        </w:rPr>
      </w:pPr>
      <w:r>
        <w:rPr>
          <w:color w:val="000000"/>
        </w:rPr>
        <w:t> </w:t>
      </w:r>
    </w:p>
    <w:p>
      <w:pPr>
        <w:pStyle w:val="TextBody"/>
        <w:jc w:val="center"/>
        <w:rPr/>
      </w:pPr>
      <w:r>
        <w:rPr/>
        <w:drawing>
          <wp:inline distT="0" distB="0" distL="0" distR="0">
            <wp:extent cx="4857750" cy="2219325"/>
            <wp:effectExtent l="0" t="0" r="0" b="0"/>
            <wp:docPr id="305"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37" descr=""/>
                    <pic:cNvPicPr>
                      <a:picLocks noChangeAspect="1" noChangeArrowheads="1"/>
                    </pic:cNvPicPr>
                  </pic:nvPicPr>
                  <pic:blipFill>
                    <a:blip r:embed="rId238"/>
                    <a:stretch>
                      <a:fillRect/>
                    </a:stretch>
                  </pic:blipFill>
                  <pic:spPr bwMode="auto">
                    <a:xfrm>
                      <a:off x="0" y="0"/>
                      <a:ext cx="4857750" cy="2219325"/>
                    </a:xfrm>
                    <a:prstGeom prst="rect">
                      <a:avLst/>
                    </a:prstGeom>
                  </pic:spPr>
                </pic:pic>
              </a:graphicData>
            </a:graphic>
          </wp:inline>
        </w:drawing>
      </w:r>
    </w:p>
    <w:p>
      <w:pPr>
        <w:pStyle w:val="TextBody"/>
        <w:pBdr/>
        <w:spacing w:before="0" w:after="0"/>
        <w:ind w:left="0" w:right="0" w:hanging="0"/>
        <w:jc w:val="center"/>
        <w:rPr>
          <w:color w:val="000000"/>
        </w:rPr>
      </w:pPr>
      <w:r>
        <w:rPr>
          <w:color w:val="000000"/>
        </w:rPr>
        <w:t> </w:t>
      </w:r>
    </w:p>
    <w:p>
      <w:pPr>
        <w:pStyle w:val="Heading4"/>
        <w:pBdr/>
        <w:spacing w:before="0" w:after="150"/>
        <w:ind w:left="0" w:right="0" w:hanging="0"/>
        <w:jc w:val="left"/>
        <w:rPr>
          <w:rFonts w:ascii="Arial" w:hAnsi="Arial"/>
          <w:b/>
          <w:i w:val="false"/>
          <w:caps w:val="false"/>
          <w:smallCaps w:val="false"/>
          <w:color w:val="245BA7"/>
          <w:sz w:val="24"/>
        </w:rPr>
      </w:pPr>
      <w:bookmarkStart w:id="172" w:name="new_id-163"/>
      <w:bookmarkEnd w:id="172"/>
      <w:r>
        <w:rPr>
          <w:rFonts w:ascii="Arial" w:hAnsi="Arial"/>
          <w:b/>
          <w:i w:val="false"/>
          <w:caps w:val="false"/>
          <w:smallCaps w:val="false"/>
          <w:color w:val="245BA7"/>
          <w:sz w:val="24"/>
        </w:rPr>
        <w:t xml:space="preserve">2022 Tabular List of Most Important Financial and Non-Financial Performance Measures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following table presents the financial and non-financial performance measures that the Company considers to have been the most important in linking Compensation “Actually Paid” to our PEO and our Non-PEO NEOs in 2022 to Company performance. The measures in this table are not ranked.</w:t>
      </w:r>
    </w:p>
    <w:tbl>
      <w:tblPr>
        <w:tblW w:w="7870" w:type="dxa"/>
        <w:jc w:val="center"/>
        <w:tblInd w:w="0" w:type="dxa"/>
        <w:tblCellMar>
          <w:top w:w="0" w:type="dxa"/>
          <w:left w:w="0" w:type="dxa"/>
          <w:bottom w:w="75" w:type="dxa"/>
          <w:right w:w="0" w:type="dxa"/>
        </w:tblCellMar>
      </w:tblPr>
      <w:tblGrid>
        <w:gridCol w:w="3335"/>
        <w:gridCol w:w="4535"/>
      </w:tblGrid>
      <w:tr>
        <w:trPr/>
        <w:tc>
          <w:tcPr>
            <w:tcW w:w="3335" w:type="dxa"/>
            <w:tcBorders>
              <w:bottom w:val="single" w:sz="12" w:space="0" w:color="245BA7"/>
            </w:tcBorders>
            <w:shd w:fill="auto" w:val="clear"/>
            <w:vAlign w:val="center"/>
          </w:tcPr>
          <w:p>
            <w:pPr>
              <w:pStyle w:val="TableContents"/>
              <w:pBdr/>
              <w:spacing w:before="15" w:after="0"/>
              <w:ind w:left="15" w:right="15" w:hanging="0"/>
              <w:rPr>
                <w:color w:val="245BA7"/>
              </w:rPr>
            </w:pPr>
            <w:r>
              <w:rPr>
                <w:color w:val="245BA7"/>
              </w:rPr>
              <w:t> </w:t>
            </w:r>
          </w:p>
        </w:tc>
        <w:tc>
          <w:tcPr>
            <w:tcW w:w="4535" w:type="dxa"/>
            <w:tcBorders>
              <w:bottom w:val="single" w:sz="12" w:space="0" w:color="245BA7"/>
            </w:tcBorders>
            <w:shd w:fill="auto" w:val="clear"/>
            <w:vAlign w:val="center"/>
          </w:tcPr>
          <w:p>
            <w:pPr>
              <w:pStyle w:val="TableContents"/>
              <w:pBdr/>
              <w:spacing w:before="15" w:after="0"/>
              <w:ind w:left="15" w:right="15" w:hanging="0"/>
              <w:rPr>
                <w:color w:val="245BA7"/>
              </w:rPr>
            </w:pPr>
            <w:r>
              <w:rPr>
                <w:color w:val="245BA7"/>
              </w:rPr>
              <w:t> </w:t>
            </w:r>
          </w:p>
        </w:tc>
      </w:tr>
      <w:tr>
        <w:trPr/>
        <w:tc>
          <w:tcPr>
            <w:tcW w:w="3335" w:type="dxa"/>
            <w:tcBorders>
              <w:bottom w:val="single" w:sz="2" w:space="0" w:color="000000"/>
            </w:tcBorders>
            <w:shd w:fill="auto" w:val="clear"/>
            <w:tcMar>
              <w:bottom w:w="30"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Stock Price</w:t>
            </w:r>
          </w:p>
        </w:tc>
        <w:tc>
          <w:tcPr>
            <w:tcW w:w="4535" w:type="dxa"/>
            <w:tcBorders>
              <w:bottom w:val="single" w:sz="2" w:space="0" w:color="000000"/>
            </w:tcBorders>
            <w:shd w:fill="auto" w:val="clear"/>
            <w:tcMar>
              <w:bottom w:w="30"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Regulatory submissions for new products or indications</w:t>
            </w:r>
          </w:p>
        </w:tc>
      </w:tr>
      <w:tr>
        <w:trPr/>
        <w:tc>
          <w:tcPr>
            <w:tcW w:w="3335" w:type="dxa"/>
            <w:tcBorders>
              <w:top w:val="single" w:sz="2" w:space="0" w:color="F2F2F2"/>
              <w:left w:val="single" w:sz="2" w:space="0" w:color="F2F2F2"/>
              <w:bottom w:val="single" w:sz="2" w:space="0" w:color="000000"/>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TSR</w:t>
            </w:r>
          </w:p>
        </w:tc>
        <w:tc>
          <w:tcPr>
            <w:tcW w:w="4535" w:type="dxa"/>
            <w:tcBorders>
              <w:top w:val="single" w:sz="2" w:space="0" w:color="F2F2F2"/>
              <w:left w:val="single" w:sz="2" w:space="0" w:color="F2F2F2"/>
              <w:bottom w:val="single" w:sz="2" w:space="0" w:color="000000"/>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Positive data readouts</w:t>
            </w:r>
          </w:p>
        </w:tc>
      </w:tr>
      <w:tr>
        <w:trPr/>
        <w:tc>
          <w:tcPr>
            <w:tcW w:w="3335" w:type="dxa"/>
            <w:tcBorders>
              <w:bottom w:val="single" w:sz="2" w:space="0" w:color="000000"/>
            </w:tcBorders>
            <w:shd w:fill="auto" w:val="clear"/>
            <w:tcMar>
              <w:bottom w:w="30"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Non-GAAP diluted EPS</w:t>
            </w:r>
          </w:p>
        </w:tc>
        <w:tc>
          <w:tcPr>
            <w:tcW w:w="4535" w:type="dxa"/>
            <w:tcBorders>
              <w:bottom w:val="single" w:sz="2" w:space="0" w:color="000000"/>
            </w:tcBorders>
            <w:shd w:fill="auto" w:val="clear"/>
            <w:tcMar>
              <w:bottom w:w="30"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New Investigational New Drug Applications</w:t>
            </w:r>
          </w:p>
        </w:tc>
      </w:tr>
      <w:tr>
        <w:trPr/>
        <w:tc>
          <w:tcPr>
            <w:tcW w:w="3335" w:type="dxa"/>
            <w:tcBorders>
              <w:top w:val="single" w:sz="2" w:space="0" w:color="F2F2F2"/>
              <w:left w:val="single" w:sz="2" w:space="0" w:color="F2F2F2"/>
              <w:bottom w:val="single" w:sz="2" w:space="0" w:color="245BA7"/>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Approvals of new products or indications</w:t>
            </w:r>
          </w:p>
        </w:tc>
        <w:tc>
          <w:tcPr>
            <w:tcW w:w="4535" w:type="dxa"/>
            <w:tcBorders>
              <w:top w:val="single" w:sz="2" w:space="0" w:color="F2F2F2"/>
              <w:left w:val="single" w:sz="2" w:space="0" w:color="F2F2F2"/>
              <w:bottom w:val="single" w:sz="2" w:space="0" w:color="245BA7"/>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color w:val="000000"/>
              </w:rPr>
            </w:pPr>
            <w:r>
              <w:rPr>
                <w:color w:val="000000"/>
              </w:rPr>
              <w:t> </w:t>
            </w:r>
          </w:p>
        </w:tc>
      </w:tr>
    </w:tbl>
    <w:tbl>
      <w:tblPr>
        <w:tblW w:w="10205" w:type="dxa"/>
        <w:jc w:val="left"/>
        <w:tblInd w:w="0" w:type="dxa"/>
        <w:tblCellMar>
          <w:top w:w="0" w:type="dxa"/>
          <w:left w:w="0" w:type="dxa"/>
          <w:bottom w:w="0" w:type="dxa"/>
          <w:right w:w="0" w:type="dxa"/>
        </w:tblCellMar>
      </w:tblPr>
      <w:tblGrid>
        <w:gridCol w:w="8250"/>
        <w:gridCol w:w="1380"/>
        <w:gridCol w:w="575"/>
      </w:tblGrid>
      <w:tr>
        <w:trPr/>
        <w:tc>
          <w:tcPr>
            <w:tcW w:w="825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06"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38" descr=""/>
                          <pic:cNvPicPr>
                            <a:picLocks noChangeAspect="1" noChangeArrowheads="1"/>
                          </pic:cNvPicPr>
                        </pic:nvPicPr>
                        <pic:blipFill>
                          <a:blip r:embed="rId239"/>
                          <a:stretch>
                            <a:fillRect/>
                          </a:stretch>
                        </pic:blipFill>
                        <pic:spPr bwMode="auto">
                          <a:xfrm>
                            <a:off x="0" y="0"/>
                            <a:ext cx="838200" cy="142875"/>
                          </a:xfrm>
                          <a:prstGeom prst="rect">
                            <a:avLst/>
                          </a:prstGeom>
                        </pic:spPr>
                      </pic:pic>
                    </a:graphicData>
                  </a:graphic>
                </wp:inline>
              </w:drawing>
            </w:r>
            <w:r>
              <w:rPr/>
              <w:t> </w:t>
            </w:r>
          </w:p>
        </w:tc>
        <w:tc>
          <w:tcPr>
            <w:tcW w:w="575" w:type="dxa"/>
            <w:tcBorders/>
            <w:shd w:fill="auto" w:val="clear"/>
            <w:vAlign w:val="center"/>
          </w:tcPr>
          <w:p>
            <w:pPr>
              <w:pStyle w:val="TableContents"/>
              <w:spacing w:before="0" w:after="283"/>
              <w:jc w:val="right"/>
              <w:rPr/>
            </w:pPr>
            <w:r>
              <w:rPr>
                <w:color w:val="00ADEE"/>
              </w:rPr>
              <w:t>  </w:t>
            </w:r>
            <w:r>
              <w:rPr>
                <w:b/>
                <w:color w:val="00ADEE"/>
              </w:rPr>
              <w:t>/  </w:t>
            </w:r>
            <w:r>
              <w:rPr>
                <w:b/>
              </w:rPr>
              <w:t>99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0"/>
        <w:ind w:left="0" w:right="0" w:hanging="0"/>
        <w:rPr>
          <w:rFonts w:ascii="Arial" w:hAnsi="Arial"/>
          <w:b/>
          <w:i w:val="false"/>
          <w:caps w:val="false"/>
          <w:smallCaps w:val="false"/>
          <w:color w:val="D31B5D"/>
          <w:sz w:val="30"/>
          <w:bdr w:val="single" w:sz="12" w:space="2" w:color="245BA7"/>
        </w:rPr>
      </w:pPr>
      <w:bookmarkStart w:id="173" w:name="new_id-164"/>
      <w:bookmarkEnd w:id="173"/>
      <w:r>
        <w:rPr>
          <w:rFonts w:ascii="Arial" w:hAnsi="Arial"/>
          <w:b/>
          <w:i w:val="false"/>
          <w:caps w:val="false"/>
          <w:smallCaps w:val="false"/>
          <w:color w:val="D31B5D"/>
          <w:sz w:val="30"/>
          <w:bdr w:val="single" w:sz="12" w:space="2" w:color="245BA7"/>
        </w:rPr>
        <w:t xml:space="preserve">EQUITY COMPENSATION INFORMATION </w:t>
      </w:r>
    </w:p>
    <w:p>
      <w:pPr>
        <w:pStyle w:val="Heading4"/>
        <w:pBdr/>
        <w:spacing w:before="0" w:after="150"/>
        <w:ind w:left="0" w:right="0" w:hanging="0"/>
        <w:rPr>
          <w:rFonts w:ascii="Arial" w:hAnsi="Arial"/>
          <w:b/>
          <w:i w:val="false"/>
          <w:caps w:val="false"/>
          <w:smallCaps w:val="false"/>
          <w:color w:val="245BA7"/>
          <w:sz w:val="24"/>
        </w:rPr>
      </w:pPr>
      <w:bookmarkStart w:id="174" w:name="new_id-165"/>
      <w:bookmarkEnd w:id="174"/>
      <w:r>
        <w:rPr>
          <w:rFonts w:ascii="Arial" w:hAnsi="Arial"/>
          <w:b/>
          <w:i w:val="false"/>
          <w:caps w:val="false"/>
          <w:smallCaps w:val="false"/>
          <w:color w:val="245BA7"/>
          <w:sz w:val="24"/>
        </w:rPr>
        <w:t xml:space="preserve">Corporate Governance Aspects of the Second Amended and Restated Regeneron Pharmaceuticals, Inc. 2014 Long-Term Incentive Plan </w:t>
      </w:r>
    </w:p>
    <w:p>
      <w:pPr>
        <w:pStyle w:val="TextBody"/>
        <w:pBdr/>
        <w:spacing w:before="0" w:after="210"/>
        <w:ind w:left="0" w:right="0" w:hanging="0"/>
        <w:rPr>
          <w:rFonts w:ascii="Arial" w:hAnsi="Arial"/>
          <w:color w:val="000000"/>
          <w:sz w:val="21"/>
        </w:rPr>
      </w:pPr>
      <w:r>
        <w:rPr>
          <w:rFonts w:ascii="Arial" w:hAnsi="Arial"/>
          <w:color w:val="000000"/>
          <w:sz w:val="21"/>
        </w:rPr>
        <w:t>The Second Amended and Restated Regeneron Pharmaceuticals, Inc. 2014 Long-Term Incentive Plan (referred to in this subsection as the “Plan”) is the only plan currently used by the Company to grant equity awards. The Plan was approved by shareholders and is designed to promote best practices by reinforcing the alignment between equity compensation arrangements for employees and non-employee directors and the interests of shareholders. The provisions that promote such best practices include:</w:t>
      </w:r>
    </w:p>
    <w:tbl>
      <w:tblPr>
        <w:tblW w:w="10205" w:type="dxa"/>
        <w:jc w:val="left"/>
        <w:tblInd w:w="0" w:type="dxa"/>
        <w:tblCellMar>
          <w:top w:w="0" w:type="dxa"/>
          <w:left w:w="0" w:type="dxa"/>
          <w:bottom w:w="75" w:type="dxa"/>
          <w:right w:w="0" w:type="dxa"/>
        </w:tblCellMar>
      </w:tblPr>
      <w:tblGrid>
        <w:gridCol w:w="2093"/>
        <w:gridCol w:w="8112"/>
      </w:tblGrid>
      <w:tr>
        <w:trPr/>
        <w:tc>
          <w:tcPr>
            <w:tcW w:w="2093" w:type="dxa"/>
            <w:tcBorders>
              <w:bottom w:val="single" w:sz="12" w:space="0" w:color="245BA7"/>
            </w:tcBorders>
            <w:shd w:fill="auto" w:val="clear"/>
            <w:vAlign w:val="center"/>
          </w:tcPr>
          <w:p>
            <w:pPr>
              <w:pStyle w:val="TableContents"/>
              <w:pBdr/>
              <w:spacing w:before="15" w:after="0"/>
              <w:ind w:left="15" w:right="15" w:hanging="0"/>
              <w:rPr>
                <w:rFonts w:ascii="Arial" w:hAnsi="Arial"/>
                <w:b/>
                <w:color w:val="245BA7"/>
                <w:sz w:val="18"/>
              </w:rPr>
            </w:pPr>
            <w:r>
              <w:rPr>
                <w:rFonts w:ascii="Arial" w:hAnsi="Arial"/>
                <w:b/>
                <w:color w:val="245BA7"/>
                <w:sz w:val="18"/>
              </w:rPr>
              <w:t>Provision</w:t>
            </w:r>
          </w:p>
        </w:tc>
        <w:tc>
          <w:tcPr>
            <w:tcW w:w="8112" w:type="dxa"/>
            <w:tcBorders>
              <w:bottom w:val="single" w:sz="1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Description</w:t>
            </w:r>
          </w:p>
        </w:tc>
      </w:tr>
      <w:tr>
        <w:trPr/>
        <w:tc>
          <w:tcPr>
            <w:tcW w:w="2093"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No Discounted Stock Options or Stock Appreciation Rights</w:t>
            </w:r>
          </w:p>
        </w:tc>
        <w:tc>
          <w:tcPr>
            <w:tcW w:w="8112" w:type="dxa"/>
            <w:tcBorders>
              <w:bottom w:val="single" w:sz="2" w:space="0" w:color="575756"/>
            </w:tcBorders>
            <w:shd w:fill="auto" w:val="clear"/>
            <w:tcMar>
              <w:bottom w:w="45" w:type="dxa"/>
            </w:tcMar>
            <w:vAlign w:val="center"/>
          </w:tcPr>
          <w:p>
            <w:pPr>
              <w:pStyle w:val="TableContents"/>
              <w:pBdr/>
              <w:spacing w:before="0" w:after="45"/>
              <w:ind w:left="15" w:right="15" w:hanging="0"/>
              <w:jc w:val="left"/>
              <w:rPr>
                <w:rFonts w:ascii="Arial" w:hAnsi="Arial"/>
                <w:color w:val="000000"/>
                <w:sz w:val="18"/>
              </w:rPr>
            </w:pPr>
            <w:r>
              <w:rPr>
                <w:rFonts w:ascii="Arial" w:hAnsi="Arial"/>
                <w:color w:val="000000"/>
                <w:sz w:val="18"/>
              </w:rPr>
              <w:t>Stock options and stock appreciation rights are not granted with an exercise or base price less than the fair market value of common stock (as defined in the Plan) on the date of grant.</w:t>
            </w:r>
          </w:p>
        </w:tc>
      </w:tr>
      <w:tr>
        <w:trPr/>
        <w:tc>
          <w:tcPr>
            <w:tcW w:w="2093" w:type="dxa"/>
            <w:tcBorders>
              <w:top w:val="single" w:sz="2" w:space="0" w:color="F2F2F2"/>
              <w:left w:val="single" w:sz="2" w:space="0" w:color="F2F2F2"/>
              <w:bottom w:val="single" w:sz="2" w:space="0" w:color="575756"/>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No Stock Option or Stock Appreciation Right Re-pricing or Exchange</w:t>
            </w:r>
          </w:p>
        </w:tc>
        <w:tc>
          <w:tcPr>
            <w:tcW w:w="8112"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left"/>
              <w:rPr>
                <w:rFonts w:ascii="Arial" w:hAnsi="Arial"/>
                <w:color w:val="000000"/>
                <w:sz w:val="18"/>
              </w:rPr>
            </w:pPr>
            <w:r>
              <w:rPr>
                <w:rFonts w:ascii="Arial" w:hAnsi="Arial"/>
                <w:color w:val="000000"/>
                <w:sz w:val="18"/>
              </w:rPr>
              <w:t>Except for equitable adjustments in connection with specific corporate transactions (such as stock splits, recapitalizations, reorganizations, mergers, consolidations, and similar transactions), the Plan does not permit a decrease in the exercise price or base price of a stock option or stock appreciation right granted under the Plan through settlement, cancellation, forfeiture, exchange, surrender, or otherwise below the fair market value of common stock (as defined in the Plan) on the date of grant.</w:t>
            </w:r>
          </w:p>
        </w:tc>
      </w:tr>
      <w:tr>
        <w:trPr/>
        <w:tc>
          <w:tcPr>
            <w:tcW w:w="2093"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Recoupment (Clawback) Policy</w:t>
            </w:r>
          </w:p>
        </w:tc>
        <w:tc>
          <w:tcPr>
            <w:tcW w:w="8112" w:type="dxa"/>
            <w:tcBorders>
              <w:bottom w:val="single" w:sz="2" w:space="0" w:color="575756"/>
            </w:tcBorders>
            <w:shd w:fill="auto" w:val="clear"/>
            <w:tcMar>
              <w:bottom w:w="45" w:type="dxa"/>
            </w:tcMar>
            <w:vAlign w:val="center"/>
          </w:tcPr>
          <w:p>
            <w:pPr>
              <w:pStyle w:val="TableContents"/>
              <w:pBdr/>
              <w:spacing w:before="0" w:after="45"/>
              <w:ind w:left="15" w:right="15" w:hanging="0"/>
              <w:jc w:val="left"/>
              <w:rPr>
                <w:rFonts w:ascii="Arial" w:hAnsi="Arial"/>
                <w:color w:val="000000"/>
                <w:sz w:val="18"/>
              </w:rPr>
            </w:pPr>
            <w:r>
              <w:rPr>
                <w:rFonts w:ascii="Arial" w:hAnsi="Arial"/>
                <w:color w:val="000000"/>
                <w:sz w:val="18"/>
              </w:rPr>
              <w:t xml:space="preserve">Awards granted to our officers and other employees under the Plan are subject to recoupment or reduction in accordance with the terms of our policy regarding recoupment or reduction of incentive compensation (sometimes referred to as our “clawback policy”). </w:t>
            </w:r>
          </w:p>
        </w:tc>
      </w:tr>
      <w:tr>
        <w:trPr/>
        <w:tc>
          <w:tcPr>
            <w:tcW w:w="2093" w:type="dxa"/>
            <w:tcBorders>
              <w:top w:val="single" w:sz="2" w:space="0" w:color="F2F2F2"/>
              <w:left w:val="single" w:sz="2" w:space="0" w:color="F2F2F2"/>
              <w:bottom w:val="single" w:sz="2" w:space="0" w:color="575756"/>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Independent Administration</w:t>
            </w:r>
          </w:p>
        </w:tc>
        <w:tc>
          <w:tcPr>
            <w:tcW w:w="8112"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left"/>
              <w:rPr>
                <w:rFonts w:ascii="Arial" w:hAnsi="Arial"/>
                <w:color w:val="000000"/>
                <w:sz w:val="18"/>
              </w:rPr>
            </w:pPr>
            <w:r>
              <w:rPr>
                <w:rFonts w:ascii="Arial" w:hAnsi="Arial"/>
                <w:color w:val="000000"/>
                <w:sz w:val="18"/>
              </w:rPr>
              <w:t>The Plan is administered by the Compensation Committee, which is intended to be comprised solely of non-employee directors each of whom meets the additional independence criteria applicable to compensation committee members under the listing standards of the Nasdaq Stock Market LLC and qualifies as a “Non-Employee Director” pursuant to Rule 16b-3 under the Exchange Act.</w:t>
            </w:r>
          </w:p>
        </w:tc>
      </w:tr>
      <w:tr>
        <w:trPr/>
        <w:tc>
          <w:tcPr>
            <w:tcW w:w="2093"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No “Evergreen” Provision</w:t>
            </w:r>
          </w:p>
        </w:tc>
        <w:tc>
          <w:tcPr>
            <w:tcW w:w="8112" w:type="dxa"/>
            <w:tcBorders>
              <w:bottom w:val="single" w:sz="2" w:space="0" w:color="575756"/>
            </w:tcBorders>
            <w:shd w:fill="auto" w:val="clear"/>
            <w:tcMar>
              <w:bottom w:w="45" w:type="dxa"/>
            </w:tcMar>
            <w:vAlign w:val="center"/>
          </w:tcPr>
          <w:p>
            <w:pPr>
              <w:pStyle w:val="TableContents"/>
              <w:pBdr/>
              <w:spacing w:before="0" w:after="45"/>
              <w:ind w:left="15" w:right="15" w:hanging="0"/>
              <w:jc w:val="left"/>
              <w:rPr>
                <w:rFonts w:ascii="Arial" w:hAnsi="Arial"/>
                <w:color w:val="000000"/>
                <w:sz w:val="18"/>
              </w:rPr>
            </w:pPr>
            <w:r>
              <w:rPr>
                <w:rFonts w:ascii="Arial" w:hAnsi="Arial"/>
                <w:color w:val="000000"/>
                <w:sz w:val="18"/>
              </w:rPr>
              <w:t>The Plan does not contain an “evergreen” feature pursuant to which the shares authorized for issuance thereunder can be automatically replenished.</w:t>
            </w:r>
          </w:p>
        </w:tc>
      </w:tr>
      <w:tr>
        <w:trPr/>
        <w:tc>
          <w:tcPr>
            <w:tcW w:w="2093" w:type="dxa"/>
            <w:tcBorders>
              <w:top w:val="single" w:sz="2" w:space="0" w:color="F2F2F2"/>
              <w:left w:val="single" w:sz="2" w:space="0" w:color="F2F2F2"/>
              <w:bottom w:val="single" w:sz="2" w:space="0" w:color="245BA7"/>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No Tax Gross-ups</w:t>
            </w:r>
          </w:p>
        </w:tc>
        <w:tc>
          <w:tcPr>
            <w:tcW w:w="8112"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left"/>
              <w:rPr>
                <w:rFonts w:ascii="Arial" w:hAnsi="Arial"/>
                <w:color w:val="000000"/>
                <w:sz w:val="18"/>
              </w:rPr>
            </w:pPr>
            <w:r>
              <w:rPr>
                <w:rFonts w:ascii="Arial" w:hAnsi="Arial"/>
                <w:color w:val="000000"/>
                <w:sz w:val="18"/>
              </w:rPr>
              <w:t>The Plan does not provide for any tax gross-ups.</w:t>
            </w:r>
          </w:p>
        </w:tc>
      </w:tr>
    </w:tbl>
    <w:p>
      <w:pPr>
        <w:pStyle w:val="Heading4"/>
        <w:pBdr/>
        <w:spacing w:before="0" w:after="150"/>
        <w:ind w:left="0" w:right="0" w:hanging="0"/>
        <w:rPr>
          <w:rFonts w:ascii="Arial" w:hAnsi="Arial"/>
          <w:b/>
          <w:i w:val="false"/>
          <w:caps w:val="false"/>
          <w:smallCaps w:val="false"/>
          <w:color w:val="245BA7"/>
          <w:sz w:val="24"/>
        </w:rPr>
      </w:pPr>
      <w:bookmarkStart w:id="175" w:name="new_id-166"/>
      <w:bookmarkEnd w:id="175"/>
      <w:r>
        <w:rPr>
          <w:rFonts w:ascii="Arial" w:hAnsi="Arial"/>
          <w:b/>
          <w:i w:val="false"/>
          <w:caps w:val="false"/>
          <w:smallCaps w:val="false"/>
          <w:color w:val="245BA7"/>
          <w:sz w:val="24"/>
        </w:rPr>
        <w:t xml:space="preserve">Key Equity Metrics </w:t>
      </w:r>
    </w:p>
    <w:p>
      <w:pPr>
        <w:pStyle w:val="TextBody"/>
        <w:pBdr/>
        <w:spacing w:before="0" w:after="210"/>
        <w:ind w:left="0" w:right="0" w:hanging="0"/>
        <w:rPr>
          <w:rFonts w:ascii="Arial" w:hAnsi="Arial"/>
          <w:color w:val="000000"/>
          <w:sz w:val="21"/>
        </w:rPr>
      </w:pPr>
      <w:r>
        <w:rPr>
          <w:rFonts w:ascii="Arial" w:hAnsi="Arial"/>
          <w:color w:val="000000"/>
          <w:sz w:val="21"/>
        </w:rPr>
        <w:t>The following table summarizes some key metrics relating to the equity component of our compensation program. When evaluating the information below, it is important to keep in mind the 46% increase in the number of our employees over the 2020—2022 period and our all-employee equity award strategy encompassing initial equity grants to all new hires as well as a comprehensive annual equity program covering all levels of employees. See “Compensation Discussion and Analysis—Compensation Program Overview — 2022 Compensation Highlights” for more information on our burn rate, which in 2022 was at the lowest level in more than a decade, and headcount growth over the same time period.</w:t>
      </w:r>
    </w:p>
    <w:tbl>
      <w:tblPr>
        <w:tblW w:w="4852" w:type="dxa"/>
        <w:jc w:val="left"/>
        <w:tblInd w:w="0" w:type="dxa"/>
        <w:tblCellMar>
          <w:top w:w="0" w:type="dxa"/>
          <w:left w:w="0" w:type="dxa"/>
          <w:bottom w:w="75" w:type="dxa"/>
          <w:right w:w="0" w:type="dxa"/>
        </w:tblCellMar>
      </w:tblPr>
      <w:tblGrid>
        <w:gridCol w:w="2116"/>
        <w:gridCol w:w="161"/>
        <w:gridCol w:w="736"/>
        <w:gridCol w:w="161"/>
        <w:gridCol w:w="736"/>
        <w:gridCol w:w="161"/>
        <w:gridCol w:w="781"/>
      </w:tblGrid>
      <w:tr>
        <w:trPr/>
        <w:tc>
          <w:tcPr>
            <w:tcW w:w="2116" w:type="dxa"/>
            <w:tcBorders>
              <w:bottom w:val="single" w:sz="12" w:space="0" w:color="245BA7"/>
            </w:tcBorders>
            <w:shd w:fill="auto" w:val="clear"/>
            <w:vAlign w:val="center"/>
          </w:tcPr>
          <w:p>
            <w:pPr>
              <w:pStyle w:val="TableContents"/>
              <w:pBdr/>
              <w:spacing w:before="15" w:after="0"/>
              <w:ind w:left="15" w:right="15" w:hanging="0"/>
              <w:rPr>
                <w:color w:val="245BA7"/>
              </w:rPr>
            </w:pPr>
            <w:r>
              <w:rPr>
                <w:color w:val="245BA7"/>
              </w:rPr>
              <w:t> </w:t>
            </w:r>
          </w:p>
        </w:tc>
        <w:tc>
          <w:tcPr>
            <w:tcW w:w="161"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736" w:type="dxa"/>
            <w:tcBorders>
              <w:bottom w:val="single" w:sz="12" w:space="0" w:color="245BA7"/>
            </w:tcBorders>
            <w:shd w:fill="auto" w:val="clear"/>
            <w:vAlign w:val="center"/>
          </w:tcPr>
          <w:p>
            <w:pPr>
              <w:pStyle w:val="TableContents"/>
              <w:pBdr/>
              <w:spacing w:before="15" w:after="0"/>
              <w:jc w:val="center"/>
              <w:rPr>
                <w:rFonts w:ascii="Arial" w:hAnsi="Arial"/>
                <w:b/>
                <w:i w:val="false"/>
                <w:caps w:val="false"/>
                <w:smallCaps w:val="false"/>
                <w:color w:val="245BA7"/>
                <w:sz w:val="18"/>
              </w:rPr>
            </w:pPr>
            <w:r>
              <w:rPr>
                <w:rFonts w:ascii="Arial" w:hAnsi="Arial"/>
                <w:b/>
                <w:i w:val="false"/>
                <w:caps w:val="false"/>
                <w:smallCaps w:val="false"/>
                <w:color w:val="245BA7"/>
                <w:sz w:val="18"/>
              </w:rPr>
              <w:t>2022</w:t>
            </w:r>
          </w:p>
        </w:tc>
        <w:tc>
          <w:tcPr>
            <w:tcW w:w="161"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736" w:type="dxa"/>
            <w:tcBorders>
              <w:bottom w:val="single" w:sz="12" w:space="0" w:color="245BA7"/>
            </w:tcBorders>
            <w:shd w:fill="auto" w:val="clear"/>
            <w:vAlign w:val="center"/>
          </w:tcPr>
          <w:p>
            <w:pPr>
              <w:pStyle w:val="TableContents"/>
              <w:pBdr/>
              <w:spacing w:before="15" w:after="0"/>
              <w:jc w:val="center"/>
              <w:rPr>
                <w:rFonts w:ascii="Arial" w:hAnsi="Arial"/>
                <w:b/>
                <w:i w:val="false"/>
                <w:caps w:val="false"/>
                <w:smallCaps w:val="false"/>
                <w:color w:val="245BA7"/>
                <w:sz w:val="18"/>
              </w:rPr>
            </w:pPr>
            <w:r>
              <w:rPr>
                <w:rFonts w:ascii="Arial" w:hAnsi="Arial"/>
                <w:b/>
                <w:i w:val="false"/>
                <w:caps w:val="false"/>
                <w:smallCaps w:val="false"/>
                <w:color w:val="245BA7"/>
                <w:sz w:val="18"/>
              </w:rPr>
              <w:t>2021</w:t>
            </w:r>
          </w:p>
        </w:tc>
        <w:tc>
          <w:tcPr>
            <w:tcW w:w="161" w:type="dxa"/>
            <w:tcBorders>
              <w:bottom w:val="single" w:sz="12" w:space="0" w:color="245BA7"/>
            </w:tcBorders>
            <w:shd w:fill="auto" w:val="clear"/>
            <w:vAlign w:val="center"/>
          </w:tcPr>
          <w:p>
            <w:pPr>
              <w:pStyle w:val="TableContents"/>
              <w:pBdr/>
              <w:spacing w:before="15" w:after="0"/>
              <w:ind w:left="15" w:right="15" w:hanging="0"/>
              <w:jc w:val="center"/>
              <w:rPr>
                <w:color w:val="245BA7"/>
              </w:rPr>
            </w:pPr>
            <w:r>
              <w:rPr>
                <w:color w:val="245BA7"/>
              </w:rPr>
              <w:t> </w:t>
            </w:r>
          </w:p>
        </w:tc>
        <w:tc>
          <w:tcPr>
            <w:tcW w:w="781" w:type="dxa"/>
            <w:tcBorders>
              <w:bottom w:val="single" w:sz="12" w:space="0" w:color="245BA7"/>
            </w:tcBorders>
            <w:shd w:fill="auto" w:val="clear"/>
            <w:vAlign w:val="center"/>
          </w:tcPr>
          <w:p>
            <w:pPr>
              <w:pStyle w:val="TableContents"/>
              <w:pBdr/>
              <w:spacing w:before="15" w:after="0"/>
              <w:jc w:val="center"/>
              <w:rPr>
                <w:rFonts w:ascii="Arial" w:hAnsi="Arial"/>
                <w:b/>
                <w:i w:val="false"/>
                <w:caps w:val="false"/>
                <w:smallCaps w:val="false"/>
                <w:color w:val="245BA7"/>
                <w:sz w:val="18"/>
              </w:rPr>
            </w:pPr>
            <w:r>
              <w:rPr>
                <w:rFonts w:ascii="Arial" w:hAnsi="Arial"/>
                <w:b/>
                <w:i w:val="false"/>
                <w:caps w:val="false"/>
                <w:smallCaps w:val="false"/>
                <w:color w:val="245BA7"/>
                <w:sz w:val="18"/>
              </w:rPr>
              <w:t>2020</w:t>
            </w:r>
          </w:p>
        </w:tc>
      </w:tr>
      <w:tr>
        <w:trPr/>
        <w:tc>
          <w:tcPr>
            <w:tcW w:w="2116"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Unadjusted Burn Rate1</w:t>
            </w:r>
          </w:p>
        </w:tc>
        <w:tc>
          <w:tcPr>
            <w:tcW w:w="16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736" w:type="dxa"/>
            <w:tcBorders>
              <w:bottom w:val="single" w:sz="2" w:space="0" w:color="575756"/>
            </w:tcBorders>
            <w:shd w:fill="auto" w:val="clear"/>
            <w:tcMar>
              <w:bottom w:w="45"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2.71%</w:t>
            </w:r>
          </w:p>
        </w:tc>
        <w:tc>
          <w:tcPr>
            <w:tcW w:w="16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736" w:type="dxa"/>
            <w:tcBorders>
              <w:bottom w:val="single" w:sz="2" w:space="0" w:color="575756"/>
            </w:tcBorders>
            <w:shd w:fill="auto" w:val="clear"/>
            <w:tcMar>
              <w:bottom w:w="45"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3.14%</w:t>
            </w:r>
          </w:p>
        </w:tc>
        <w:tc>
          <w:tcPr>
            <w:tcW w:w="16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781" w:type="dxa"/>
            <w:tcBorders>
              <w:bottom w:val="single" w:sz="2" w:space="0" w:color="575756"/>
            </w:tcBorders>
            <w:shd w:fill="auto" w:val="clear"/>
            <w:tcMar>
              <w:bottom w:w="45"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3.25%</w:t>
            </w:r>
          </w:p>
        </w:tc>
      </w:tr>
      <w:tr>
        <w:trPr/>
        <w:tc>
          <w:tcPr>
            <w:tcW w:w="2116" w:type="dxa"/>
            <w:tcBorders>
              <w:top w:val="single" w:sz="2" w:space="0" w:color="F2F2F2"/>
              <w:left w:val="single" w:sz="2" w:space="0" w:color="F2F2F2"/>
              <w:bottom w:val="single" w:sz="2" w:space="0" w:color="575756"/>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Adjusted Burn Rate1</w:t>
            </w:r>
          </w:p>
        </w:tc>
        <w:tc>
          <w:tcPr>
            <w:tcW w:w="16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 </w:t>
            </w:r>
          </w:p>
        </w:tc>
        <w:tc>
          <w:tcPr>
            <w:tcW w:w="736"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4.00%</w:t>
            </w:r>
          </w:p>
        </w:tc>
        <w:tc>
          <w:tcPr>
            <w:tcW w:w="16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 </w:t>
            </w:r>
          </w:p>
        </w:tc>
        <w:tc>
          <w:tcPr>
            <w:tcW w:w="736"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4.53%</w:t>
            </w:r>
          </w:p>
        </w:tc>
        <w:tc>
          <w:tcPr>
            <w:tcW w:w="16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 </w:t>
            </w:r>
          </w:p>
        </w:tc>
        <w:tc>
          <w:tcPr>
            <w:tcW w:w="781"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4.15%</w:t>
            </w:r>
          </w:p>
        </w:tc>
      </w:tr>
      <w:tr>
        <w:trPr/>
        <w:tc>
          <w:tcPr>
            <w:tcW w:w="2116" w:type="dxa"/>
            <w:tcBorders>
              <w:bottom w:val="single" w:sz="2" w:space="0" w:color="575756"/>
            </w:tcBorders>
            <w:shd w:fill="auto" w:val="clear"/>
            <w:tcMar>
              <w:bottom w:w="30"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Overhang2</w:t>
            </w:r>
          </w:p>
        </w:tc>
        <w:tc>
          <w:tcPr>
            <w:tcW w:w="16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736" w:type="dxa"/>
            <w:tcBorders>
              <w:bottom w:val="single" w:sz="2" w:space="0" w:color="575756"/>
            </w:tcBorders>
            <w:shd w:fill="auto" w:val="clear"/>
            <w:tcMar>
              <w:bottom w:w="45"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25.01%</w:t>
            </w:r>
          </w:p>
        </w:tc>
        <w:tc>
          <w:tcPr>
            <w:tcW w:w="16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736" w:type="dxa"/>
            <w:tcBorders>
              <w:bottom w:val="single" w:sz="2" w:space="0" w:color="575756"/>
            </w:tcBorders>
            <w:shd w:fill="auto" w:val="clear"/>
            <w:tcMar>
              <w:bottom w:w="45"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26.92%</w:t>
            </w:r>
          </w:p>
        </w:tc>
        <w:tc>
          <w:tcPr>
            <w:tcW w:w="161" w:type="dxa"/>
            <w:tcBorders>
              <w:bottom w:val="single" w:sz="2" w:space="0" w:color="575756"/>
            </w:tcBorders>
            <w:shd w:fill="auto" w:val="clear"/>
            <w:tcMar>
              <w:bottom w:w="45" w:type="dxa"/>
            </w:tcMar>
            <w:vAlign w:val="center"/>
          </w:tcPr>
          <w:p>
            <w:pPr>
              <w:pStyle w:val="TableContents"/>
              <w:pBdr/>
              <w:spacing w:before="0" w:after="45"/>
              <w:ind w:left="15" w:right="15" w:hanging="0"/>
              <w:jc w:val="right"/>
              <w:rPr>
                <w:color w:val="000000"/>
              </w:rPr>
            </w:pPr>
            <w:r>
              <w:rPr>
                <w:color w:val="000000"/>
              </w:rPr>
              <w:t> </w:t>
            </w:r>
          </w:p>
        </w:tc>
        <w:tc>
          <w:tcPr>
            <w:tcW w:w="781" w:type="dxa"/>
            <w:tcBorders>
              <w:bottom w:val="single" w:sz="2" w:space="0" w:color="575756"/>
            </w:tcBorders>
            <w:shd w:fill="auto" w:val="clear"/>
            <w:tcMar>
              <w:bottom w:w="45"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29.27%</w:t>
            </w:r>
          </w:p>
        </w:tc>
      </w:tr>
      <w:tr>
        <w:trPr/>
        <w:tc>
          <w:tcPr>
            <w:tcW w:w="2116" w:type="dxa"/>
            <w:tcBorders>
              <w:top w:val="single" w:sz="2" w:space="0" w:color="F2F2F2"/>
              <w:left w:val="single" w:sz="2" w:space="0" w:color="F2F2F2"/>
              <w:bottom w:val="single" w:sz="2" w:space="0" w:color="245BA7"/>
              <w:right w:val="single" w:sz="2" w:space="0" w:color="F2F2F2"/>
            </w:tcBorders>
            <w:shd w:fill="F2F2F2" w:val="clear"/>
            <w:tcMar>
              <w:top w:w="45" w:type="dxa"/>
              <w:left w:w="28" w:type="dxa"/>
              <w:bottom w:w="30" w:type="dxa"/>
              <w:right w:w="28" w:type="dxa"/>
            </w:tcMar>
            <w:vAlign w:val="center"/>
          </w:tcPr>
          <w:p>
            <w:pPr>
              <w:pStyle w:val="TableContents"/>
              <w:pBdr/>
              <w:spacing w:before="0" w:after="45"/>
              <w:ind w:left="15" w:right="0" w:hanging="0"/>
              <w:rPr>
                <w:rFonts w:ascii="Arial" w:hAnsi="Arial"/>
                <w:b/>
                <w:color w:val="000000"/>
                <w:sz w:val="18"/>
              </w:rPr>
            </w:pPr>
            <w:r>
              <w:rPr>
                <w:rFonts w:ascii="Arial" w:hAnsi="Arial"/>
                <w:b/>
                <w:color w:val="000000"/>
                <w:sz w:val="18"/>
              </w:rPr>
              <w:t>Dilution3</w:t>
            </w:r>
          </w:p>
        </w:tc>
        <w:tc>
          <w:tcPr>
            <w:tcW w:w="161"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 </w:t>
            </w:r>
          </w:p>
        </w:tc>
        <w:tc>
          <w:tcPr>
            <w:tcW w:w="736"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15.63%</w:t>
            </w:r>
          </w:p>
        </w:tc>
        <w:tc>
          <w:tcPr>
            <w:tcW w:w="161"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 </w:t>
            </w:r>
          </w:p>
        </w:tc>
        <w:tc>
          <w:tcPr>
            <w:tcW w:w="736"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16.71%</w:t>
            </w:r>
          </w:p>
        </w:tc>
        <w:tc>
          <w:tcPr>
            <w:tcW w:w="161"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 </w:t>
            </w:r>
          </w:p>
        </w:tc>
        <w:tc>
          <w:tcPr>
            <w:tcW w:w="781" w:type="dxa"/>
            <w:tcBorders>
              <w:top w:val="single" w:sz="2" w:space="0" w:color="F2F2F2"/>
              <w:left w:val="single" w:sz="2" w:space="0" w:color="F2F2F2"/>
              <w:bottom w:val="single" w:sz="2" w:space="0" w:color="245BA7"/>
              <w:right w:val="single" w:sz="2" w:space="0" w:color="F2F2F2"/>
            </w:tcBorders>
            <w:shd w:fill="F2F2F2" w:val="clear"/>
            <w:tcMar>
              <w:top w:w="90" w:type="dxa"/>
              <w:left w:w="28" w:type="dxa"/>
              <w:bottom w:w="45" w:type="dxa"/>
              <w:right w:w="28" w:type="dxa"/>
            </w:tcMar>
            <w:vAlign w:val="center"/>
          </w:tcPr>
          <w:p>
            <w:pPr>
              <w:pStyle w:val="TableContents"/>
              <w:pBdr/>
              <w:spacing w:before="0" w:after="45"/>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18.98%</w:t>
            </w:r>
          </w:p>
        </w:tc>
      </w:tr>
    </w:tbl>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w:t>
            </w:r>
          </w:p>
          <w:p>
            <w:pPr>
              <w:pStyle w:val="TableContents"/>
              <w:pBdr/>
              <w:spacing w:before="0" w:after="0"/>
              <w:ind w:left="0" w:right="30" w:hanging="0"/>
              <w:rPr>
                <w:rFonts w:ascii="Arial" w:hAnsi="Arial"/>
                <w:color w:val="000000"/>
                <w:sz w:val="20"/>
              </w:rPr>
            </w:pPr>
            <w:r>
              <w:rPr>
                <w:rFonts w:ascii="Arial" w:hAnsi="Arial"/>
                <w:color w:val="000000"/>
                <w:sz w:val="20"/>
              </w:rPr>
              <w:t xml:space="preserve">Calculated by dividing (a) the sum of the number of shares subject to (i) stock options, RSAs, and RSUs granted during the year and (ii) PSUs earned during the year (if any), by (b) the basic weighted-average number of shares of common stock and Class A stock outstanding during the year. For “Adjusted Burn Rate,” a multiplier of 2.5 is applied to RSAs, RSUs, and PSUs. </w:t>
            </w:r>
          </w:p>
        </w:tc>
      </w:tr>
    </w:tbl>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jc w:val="right"/>
              <w:rPr/>
            </w:pPr>
            <w:r>
              <w:rPr/>
              <w:t> </w:t>
            </w:r>
          </w:p>
        </w:tc>
        <w:tc>
          <w:tcPr>
            <w:tcW w:w="695" w:type="dxa"/>
            <w:tcBorders/>
            <w:shd w:fill="auto" w:val="clear"/>
            <w:vAlign w:val="center"/>
          </w:tcPr>
          <w:p>
            <w:pPr>
              <w:pStyle w:val="TableContents"/>
              <w:spacing w:before="0" w:after="283"/>
              <w:jc w:val="right"/>
              <w:rPr/>
            </w:pPr>
            <w:r>
              <w:rPr/>
              <w:t> </w:t>
            </w:r>
          </w:p>
        </w:tc>
      </w:tr>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07"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39" descr=""/>
                          <pic:cNvPicPr>
                            <a:picLocks noChangeAspect="1" noChangeArrowheads="1"/>
                          </pic:cNvPicPr>
                        </pic:nvPicPr>
                        <pic:blipFill>
                          <a:blip r:embed="rId240"/>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100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2</w:t>
            </w:r>
          </w:p>
          <w:p>
            <w:pPr>
              <w:pStyle w:val="TableContents"/>
              <w:pBdr/>
              <w:spacing w:before="0" w:after="0"/>
              <w:ind w:left="0" w:right="30" w:hanging="0"/>
              <w:rPr>
                <w:rFonts w:ascii="Arial" w:hAnsi="Arial"/>
                <w:color w:val="000000"/>
                <w:sz w:val="20"/>
              </w:rPr>
            </w:pPr>
            <w:r>
              <w:rPr>
                <w:rFonts w:ascii="Arial" w:hAnsi="Arial"/>
                <w:color w:val="000000"/>
                <w:sz w:val="20"/>
              </w:rPr>
              <w:t xml:space="preserve">Calculated by dividing (a) the sum of (i) the number of shares subject to equity awards (stock options and unvested RSAs, RSUs, and PSUs (assuming, in the case of PSUs, maximum payouts earned)) outstanding at the end of the year and (ii) the number of shares available for future grants under the Plan at the end of the year, by (b) the sum of (i) the number of shares of common stock and Class A stock outstanding at the end of the year, (ii) the shares subject to equity awards (stock options and unvested RSAs, RSUs, and PSUs (assuming, in the case of PSUs, maximum payouts earned)) outstanding at the end of the year, and (iii) the number of shares available for future grants under the Plan at the end of the year. </w:t>
            </w:r>
          </w:p>
        </w:tc>
      </w:tr>
    </w:tbl>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3</w:t>
            </w:r>
          </w:p>
          <w:p>
            <w:pPr>
              <w:pStyle w:val="TableContents"/>
              <w:pBdr/>
              <w:spacing w:before="0" w:after="0"/>
              <w:ind w:left="0" w:right="30" w:hanging="0"/>
              <w:rPr>
                <w:rFonts w:ascii="Arial" w:hAnsi="Arial"/>
                <w:color w:val="000000"/>
                <w:sz w:val="20"/>
              </w:rPr>
            </w:pPr>
            <w:r>
              <w:rPr>
                <w:rFonts w:ascii="Arial" w:hAnsi="Arial"/>
                <w:color w:val="000000"/>
                <w:sz w:val="20"/>
              </w:rPr>
              <w:t>Calculated by dividing the number of shares subject to equity awards (stock options and unvested RSAs, RSUs, and PSUs (assuming, in the case of PSUs, maximum payouts earned)) outstanding at the end of the year by the sum of (i) the number of shares of common stock and Class A stock outstanding at the end of the year and (ii) the shares subject to equity awards (stock options and unvested RSAs, RSUs, and PSUs (assuming, in the case of PSUs, maximum payouts earned)) outstanding at the end of the year.</w:t>
            </w:r>
          </w:p>
        </w:tc>
      </w:tr>
    </w:tbl>
    <w:tbl>
      <w:tblPr>
        <w:tblW w:w="120" w:type="dxa"/>
        <w:jc w:val="left"/>
        <w:tblInd w:w="0" w:type="dxa"/>
        <w:tblCellMar>
          <w:top w:w="0" w:type="dxa"/>
          <w:left w:w="0" w:type="dxa"/>
          <w:bottom w:w="0" w:type="dxa"/>
          <w:right w:w="0" w:type="dxa"/>
        </w:tblCellMar>
      </w:tblPr>
      <w:tblGrid>
        <w:gridCol w:w="120"/>
      </w:tblGrid>
      <w:tr>
        <w:trPr/>
        <w:tc>
          <w:tcPr>
            <w:tcW w:w="120" w:type="dxa"/>
            <w:tcBorders/>
            <w:shd w:fill="auto" w:val="clear"/>
            <w:vAlign w:val="center"/>
          </w:tcPr>
          <w:p>
            <w:pPr>
              <w:pStyle w:val="TableContents"/>
              <w:pBdr/>
              <w:spacing w:before="0" w:after="0"/>
              <w:ind w:left="0" w:right="30" w:hanging="0"/>
              <w:rPr>
                <w:color w:val="000000"/>
              </w:rPr>
            </w:pPr>
            <w:r>
              <w:rPr>
                <w:color w:val="000000"/>
              </w:rPr>
              <w:t> </w:t>
            </w:r>
          </w:p>
        </w:tc>
      </w:tr>
    </w:tbl>
    <w:p>
      <w:pPr>
        <w:pStyle w:val="Heading4"/>
        <w:pBdr/>
        <w:spacing w:before="0" w:after="150"/>
        <w:ind w:left="0" w:right="0" w:hanging="0"/>
        <w:rPr>
          <w:rFonts w:ascii="Arial" w:hAnsi="Arial"/>
          <w:b/>
          <w:i w:val="false"/>
          <w:caps w:val="false"/>
          <w:smallCaps w:val="false"/>
          <w:color w:val="245BA7"/>
          <w:sz w:val="24"/>
        </w:rPr>
      </w:pPr>
      <w:bookmarkStart w:id="176" w:name="new_id-167"/>
      <w:bookmarkEnd w:id="176"/>
      <w:r>
        <w:rPr>
          <w:rFonts w:ascii="Arial" w:hAnsi="Arial"/>
          <w:b/>
          <w:i w:val="false"/>
          <w:caps w:val="false"/>
          <w:smallCaps w:val="false"/>
          <w:color w:val="245BA7"/>
          <w:sz w:val="24"/>
        </w:rPr>
        <w:t xml:space="preserve">Equity Compensation Plan Information </w:t>
      </w:r>
    </w:p>
    <w:p>
      <w:pPr>
        <w:pStyle w:val="TextBody"/>
        <w:pBdr/>
        <w:spacing w:before="0" w:after="210"/>
        <w:ind w:left="0" w:right="0" w:hanging="0"/>
        <w:rPr>
          <w:rFonts w:ascii="Arial" w:hAnsi="Arial"/>
          <w:color w:val="000000"/>
          <w:sz w:val="21"/>
        </w:rPr>
      </w:pPr>
      <w:r>
        <w:rPr>
          <w:rFonts w:ascii="Arial" w:hAnsi="Arial"/>
          <w:color w:val="000000"/>
          <w:sz w:val="21"/>
        </w:rPr>
        <w:t xml:space="preserve">The following table shows information with respect to securities authorized for issuance under the equity compensation plans maintained by the Company as of December 31, 2022. </w:t>
      </w:r>
    </w:p>
    <w:tbl>
      <w:tblPr>
        <w:tblW w:w="10205" w:type="dxa"/>
        <w:jc w:val="left"/>
        <w:tblInd w:w="0" w:type="dxa"/>
        <w:tblCellMar>
          <w:top w:w="45" w:type="dxa"/>
          <w:left w:w="0" w:type="dxa"/>
          <w:bottom w:w="75" w:type="dxa"/>
          <w:right w:w="0" w:type="dxa"/>
        </w:tblCellMar>
      </w:tblPr>
      <w:tblGrid>
        <w:gridCol w:w="3161"/>
        <w:gridCol w:w="1948"/>
        <w:gridCol w:w="2489"/>
        <w:gridCol w:w="2607"/>
      </w:tblGrid>
      <w:tr>
        <w:trPr/>
        <w:tc>
          <w:tcPr>
            <w:tcW w:w="3161" w:type="dxa"/>
            <w:tcBorders>
              <w:top w:val="single" w:sz="2" w:space="0" w:color="245BA7"/>
              <w:bottom w:val="single" w:sz="2" w:space="0" w:color="245BA7"/>
            </w:tcBorders>
            <w:shd w:fill="auto" w:val="clear"/>
            <w:vAlign w:val="center"/>
          </w:tcPr>
          <w:p>
            <w:pPr>
              <w:pStyle w:val="TableContents"/>
              <w:spacing w:before="0" w:after="283"/>
              <w:rPr/>
            </w:pPr>
            <w:r>
              <w:rPr/>
              <w:t> </w:t>
            </w:r>
          </w:p>
        </w:tc>
        <w:tc>
          <w:tcPr>
            <w:tcW w:w="1948"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A</w:t>
            </w:r>
          </w:p>
        </w:tc>
        <w:tc>
          <w:tcPr>
            <w:tcW w:w="2489"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B</w:t>
            </w:r>
          </w:p>
        </w:tc>
        <w:tc>
          <w:tcPr>
            <w:tcW w:w="2607" w:type="dxa"/>
            <w:tcBorders>
              <w:top w:val="single" w:sz="2" w:space="0" w:color="245BA7"/>
              <w:bottom w:val="single" w:sz="2" w:space="0" w:color="245BA7"/>
            </w:tcBorders>
            <w:shd w:fill="auto" w:val="cle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C</w:t>
            </w:r>
          </w:p>
        </w:tc>
      </w:tr>
      <w:tr>
        <w:trPr/>
        <w:tc>
          <w:tcPr>
            <w:tcW w:w="3161" w:type="dxa"/>
            <w:tcBorders>
              <w:bottom w:val="single" w:sz="12" w:space="0" w:color="245BA7"/>
            </w:tcBorders>
            <w:shd w:fill="auto" w:val="clear"/>
            <w:tcMar>
              <w:top w:w="0" w:type="dxa"/>
            </w:tcMar>
            <w:vAlign w:val="center"/>
          </w:tcPr>
          <w:p>
            <w:pPr>
              <w:pStyle w:val="TableContents"/>
              <w:pBdr/>
              <w:spacing w:before="15" w:after="0"/>
              <w:ind w:left="15" w:right="15" w:hanging="0"/>
              <w:rPr>
                <w:rFonts w:ascii="Arial" w:hAnsi="Arial"/>
                <w:b/>
                <w:color w:val="245BA7"/>
                <w:sz w:val="18"/>
              </w:rPr>
            </w:pPr>
            <w:r>
              <w:rPr>
                <w:rFonts w:ascii="Arial" w:hAnsi="Arial"/>
                <w:b/>
                <w:color w:val="245BA7"/>
                <w:sz w:val="18"/>
              </w:rPr>
              <w:t>Plan Category</w:t>
            </w:r>
          </w:p>
        </w:tc>
        <w:tc>
          <w:tcPr>
            <w:tcW w:w="1948" w:type="dxa"/>
            <w:tcBorders>
              <w:bottom w:val="single" w:sz="12" w:space="0" w:color="245B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Number of securities to be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issued upon exercise of </w:t>
            </w:r>
          </w:p>
          <w:p>
            <w:pPr>
              <w:pStyle w:val="TableContents"/>
              <w:pBdr/>
              <w:spacing w:before="0" w:after="15"/>
              <w:jc w:val="center"/>
              <w:rPr>
                <w:rFonts w:ascii="Arial" w:hAnsi="Arial"/>
                <w:b/>
                <w:i w:val="false"/>
                <w:caps w:val="false"/>
                <w:smallCaps w:val="false"/>
                <w:color w:val="245BA7"/>
                <w:sz w:val="18"/>
              </w:rPr>
            </w:pPr>
            <w:r>
              <w:rPr>
                <w:rFonts w:ascii="Arial" w:hAnsi="Arial"/>
                <w:b/>
                <w:i w:val="false"/>
                <w:caps w:val="false"/>
                <w:smallCaps w:val="false"/>
                <w:color w:val="245BA7"/>
                <w:sz w:val="18"/>
              </w:rPr>
              <w:t xml:space="preserve">outstanding options,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warrants, and rights</w:t>
            </w:r>
          </w:p>
          <w:p>
            <w:pPr>
              <w:pStyle w:val="TableContents"/>
              <w:pBdr/>
              <w:spacing w:before="15" w:after="0"/>
              <w:ind w:left="15" w:right="15" w:hanging="0"/>
              <w:jc w:val="center"/>
              <w:rPr>
                <w:color w:val="245BA7"/>
              </w:rPr>
            </w:pPr>
            <w:r>
              <w:rPr>
                <w:color w:val="245BA7"/>
              </w:rPr>
              <w:t> </w:t>
            </w:r>
          </w:p>
        </w:tc>
        <w:tc>
          <w:tcPr>
            <w:tcW w:w="2489" w:type="dxa"/>
            <w:tcBorders>
              <w:bottom w:val="single" w:sz="12" w:space="0" w:color="245B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Weighted-average exercise </w:t>
            </w:r>
          </w:p>
          <w:p>
            <w:pPr>
              <w:pStyle w:val="TableContents"/>
              <w:pBdr/>
              <w:spacing w:before="0" w:after="15"/>
              <w:jc w:val="center"/>
              <w:rPr>
                <w:rFonts w:ascii="Arial" w:hAnsi="Arial"/>
                <w:b/>
                <w:i w:val="false"/>
                <w:caps w:val="false"/>
                <w:smallCaps w:val="false"/>
                <w:color w:val="245BA7"/>
                <w:sz w:val="18"/>
              </w:rPr>
            </w:pPr>
            <w:r>
              <w:rPr>
                <w:rFonts w:ascii="Arial" w:hAnsi="Arial"/>
                <w:b/>
                <w:i w:val="false"/>
                <w:caps w:val="false"/>
                <w:smallCaps w:val="false"/>
                <w:color w:val="245BA7"/>
                <w:sz w:val="18"/>
              </w:rPr>
              <w:t xml:space="preserve">price of outstanding options,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warrants, and rights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w:t>
            </w:r>
          </w:p>
        </w:tc>
        <w:tc>
          <w:tcPr>
            <w:tcW w:w="2607" w:type="dxa"/>
            <w:tcBorders>
              <w:bottom w:val="single" w:sz="12" w:space="0" w:color="245BA7"/>
            </w:tcBorders>
            <w:shd w:fill="auto" w:val="clear"/>
            <w:tcMar>
              <w:top w:w="0" w:type="dxa"/>
            </w:tcMar>
            <w:vAlign w:val="center"/>
          </w:tcPr>
          <w:p>
            <w:pPr>
              <w:pStyle w:val="TableContents"/>
              <w:pBdr/>
              <w:spacing w:before="15" w:after="0"/>
              <w:ind w:left="15" w:right="15" w:hanging="0"/>
              <w:jc w:val="center"/>
              <w:rPr>
                <w:rFonts w:ascii="Arial" w:hAnsi="Arial"/>
                <w:b/>
                <w:color w:val="245BA7"/>
                <w:sz w:val="18"/>
              </w:rPr>
            </w:pPr>
            <w:r>
              <w:rPr>
                <w:rFonts w:ascii="Arial" w:hAnsi="Arial"/>
                <w:b/>
                <w:color w:val="245BA7"/>
                <w:sz w:val="18"/>
              </w:rPr>
              <w:t xml:space="preserve">Number of securities remaining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available for future issuance </w:t>
            </w:r>
          </w:p>
          <w:p>
            <w:pPr>
              <w:pStyle w:val="TableContents"/>
              <w:pBdr/>
              <w:spacing w:before="0" w:after="15"/>
              <w:ind w:left="15" w:right="15" w:hanging="0"/>
              <w:jc w:val="center"/>
              <w:rPr>
                <w:rFonts w:ascii="Arial" w:hAnsi="Arial"/>
                <w:b/>
                <w:color w:val="245BA7"/>
                <w:sz w:val="18"/>
              </w:rPr>
            </w:pPr>
            <w:r>
              <w:rPr>
                <w:rFonts w:ascii="Arial" w:hAnsi="Arial"/>
                <w:b/>
                <w:color w:val="245BA7"/>
                <w:sz w:val="18"/>
              </w:rPr>
              <w:t xml:space="preserve">under equity compensation plans </w:t>
            </w:r>
          </w:p>
          <w:p>
            <w:pPr>
              <w:pStyle w:val="TableContents"/>
              <w:pBdr/>
              <w:spacing w:before="0" w:after="15"/>
              <w:jc w:val="center"/>
              <w:rPr>
                <w:rFonts w:ascii="Arial" w:hAnsi="Arial"/>
                <w:b/>
                <w:i w:val="false"/>
                <w:caps w:val="false"/>
                <w:smallCaps w:val="false"/>
                <w:color w:val="245BA7"/>
                <w:sz w:val="18"/>
              </w:rPr>
            </w:pPr>
            <w:r>
              <w:rPr>
                <w:rFonts w:ascii="Arial" w:hAnsi="Arial"/>
                <w:b/>
                <w:i w:val="false"/>
                <w:caps w:val="false"/>
                <w:smallCaps w:val="false"/>
                <w:color w:val="245BA7"/>
                <w:sz w:val="18"/>
              </w:rPr>
              <w:t xml:space="preserve">(excluding securities reflected in </w:t>
            </w:r>
          </w:p>
          <w:p>
            <w:pPr>
              <w:pStyle w:val="TableContents"/>
              <w:pBdr/>
              <w:spacing w:before="0" w:after="0"/>
              <w:ind w:left="15" w:right="15" w:hanging="0"/>
              <w:jc w:val="center"/>
              <w:rPr>
                <w:rFonts w:ascii="Arial" w:hAnsi="Arial"/>
                <w:b/>
                <w:color w:val="245BA7"/>
                <w:sz w:val="18"/>
              </w:rPr>
            </w:pPr>
            <w:r>
              <w:rPr>
                <w:rFonts w:ascii="Arial" w:hAnsi="Arial"/>
                <w:b/>
                <w:color w:val="245BA7"/>
                <w:sz w:val="18"/>
              </w:rPr>
              <w:t xml:space="preserve">column A) </w:t>
            </w:r>
          </w:p>
          <w:p>
            <w:pPr>
              <w:pStyle w:val="TableContents"/>
              <w:pBdr/>
              <w:spacing w:before="15" w:after="0"/>
              <w:ind w:left="15" w:right="15" w:hanging="0"/>
              <w:jc w:val="center"/>
              <w:rPr>
                <w:color w:val="245BA7"/>
              </w:rPr>
            </w:pPr>
            <w:r>
              <w:rPr>
                <w:color w:val="245BA7"/>
              </w:rPr>
              <w:t> </w:t>
            </w:r>
          </w:p>
        </w:tc>
      </w:tr>
      <w:tr>
        <w:trPr/>
        <w:tc>
          <w:tcPr>
            <w:tcW w:w="3161" w:type="dxa"/>
            <w:tcBorders>
              <w:bottom w:val="single" w:sz="2" w:space="0" w:color="575756"/>
            </w:tcBorders>
            <w:shd w:fill="auto" w:val="clear"/>
            <w:tcMar>
              <w:top w:w="0" w:type="dxa"/>
              <w:bottom w:w="30"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Equity compensation plans approved by security holders1</w:t>
            </w:r>
          </w:p>
        </w:tc>
        <w:tc>
          <w:tcPr>
            <w:tcW w:w="1948"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 xml:space="preserve">17,367,2713 </w:t>
              <w:br/>
              <w:t>shares of common stock</w:t>
            </w:r>
          </w:p>
        </w:tc>
        <w:tc>
          <w:tcPr>
            <w:tcW w:w="2489"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481.624</w:t>
            </w:r>
          </w:p>
        </w:tc>
        <w:tc>
          <w:tcPr>
            <w:tcW w:w="2607" w:type="dxa"/>
            <w:tcBorders>
              <w:bottom w:val="single" w:sz="2" w:space="0" w:color="575756"/>
            </w:tcBorders>
            <w:shd w:fill="auto" w:val="clear"/>
            <w:tcMar>
              <w:top w:w="0" w:type="dxa"/>
              <w:bottom w:w="45"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 xml:space="preserve">15,872,560 </w:t>
              <w:br/>
              <w:t>shares of common stock5</w:t>
            </w:r>
          </w:p>
        </w:tc>
      </w:tr>
      <w:tr>
        <w:trPr/>
        <w:tc>
          <w:tcPr>
            <w:tcW w:w="3161" w:type="dxa"/>
            <w:tcBorders>
              <w:top w:val="single" w:sz="2" w:space="0" w:color="F2F2F2"/>
              <w:left w:val="single" w:sz="2" w:space="0" w:color="F2F2F2"/>
              <w:bottom w:val="single" w:sz="2" w:space="0" w:color="575756"/>
              <w:right w:val="single" w:sz="2" w:space="0" w:color="F2F2F2"/>
            </w:tcBorders>
            <w:shd w:fill="F2F2F2" w:val="clear"/>
            <w:tcMar>
              <w:left w:w="28" w:type="dxa"/>
              <w:bottom w:w="30" w:type="dxa"/>
              <w:right w:w="28"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Equity compensation plans not approved by security holders2</w:t>
            </w:r>
          </w:p>
        </w:tc>
        <w:tc>
          <w:tcPr>
            <w:tcW w:w="1948"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w:t>
            </w:r>
          </w:p>
        </w:tc>
        <w:tc>
          <w:tcPr>
            <w:tcW w:w="2489"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color w:val="000000"/>
              </w:rPr>
            </w:pPr>
            <w:r>
              <w:rPr>
                <w:color w:val="000000"/>
              </w:rPr>
              <w:t>—</w:t>
            </w:r>
          </w:p>
        </w:tc>
        <w:tc>
          <w:tcPr>
            <w:tcW w:w="2607" w:type="dxa"/>
            <w:tcBorders>
              <w:top w:val="single" w:sz="2" w:space="0" w:color="F2F2F2"/>
              <w:left w:val="single" w:sz="2" w:space="0" w:color="F2F2F2"/>
              <w:bottom w:val="single" w:sz="2" w:space="0" w:color="575756"/>
              <w:right w:val="single" w:sz="2" w:space="0" w:color="F2F2F2"/>
            </w:tcBorders>
            <w:shd w:fill="F2F2F2" w:val="clear"/>
            <w:tcMar>
              <w:top w:w="90" w:type="dxa"/>
              <w:left w:w="28" w:type="dxa"/>
              <w:bottom w:w="45" w:type="dxa"/>
              <w:right w:w="28" w:type="dxa"/>
            </w:tcMar>
            <w:vAlign w:val="center"/>
          </w:tcPr>
          <w:p>
            <w:pPr>
              <w:pStyle w:val="TableContents"/>
              <w:pBdr/>
              <w:spacing w:before="0" w:after="45"/>
              <w:ind w:left="15" w:right="15" w:hanging="0"/>
              <w:jc w:val="right"/>
              <w:rPr>
                <w:rFonts w:ascii="Arial" w:hAnsi="Arial"/>
                <w:color w:val="000000"/>
                <w:sz w:val="18"/>
              </w:rPr>
            </w:pPr>
            <w:r>
              <w:rPr>
                <w:rFonts w:ascii="Arial" w:hAnsi="Arial"/>
                <w:color w:val="000000"/>
                <w:sz w:val="18"/>
              </w:rPr>
              <w:t xml:space="preserve">44,246 </w:t>
              <w:br/>
              <w:t>shares of Class A stock</w:t>
            </w:r>
          </w:p>
        </w:tc>
      </w:tr>
      <w:tr>
        <w:trPr/>
        <w:tc>
          <w:tcPr>
            <w:tcW w:w="3161" w:type="dxa"/>
            <w:tcBorders>
              <w:bottom w:val="single" w:sz="2" w:space="0" w:color="245BA7"/>
            </w:tcBorders>
            <w:shd w:fill="auto" w:val="clear"/>
            <w:tcMar>
              <w:top w:w="0" w:type="dxa"/>
              <w:bottom w:w="30" w:type="dxa"/>
            </w:tcMar>
            <w:vAlign w:val="center"/>
          </w:tcPr>
          <w:p>
            <w:pPr>
              <w:pStyle w:val="TableContents"/>
              <w:pBdr/>
              <w:spacing w:before="0" w:after="45"/>
              <w:ind w:left="15" w:right="0" w:hanging="0"/>
              <w:rPr>
                <w:rFonts w:ascii="Arial" w:hAnsi="Arial"/>
                <w:color w:val="000000"/>
                <w:sz w:val="18"/>
              </w:rPr>
            </w:pPr>
            <w:r>
              <w:rPr>
                <w:rFonts w:ascii="Arial" w:hAnsi="Arial"/>
                <w:color w:val="000000"/>
                <w:sz w:val="18"/>
              </w:rPr>
              <w:t>Total</w:t>
            </w:r>
          </w:p>
        </w:tc>
        <w:tc>
          <w:tcPr>
            <w:tcW w:w="1948" w:type="dxa"/>
            <w:tcBorders>
              <w:bottom w:val="single" w:sz="2" w:space="0" w:color="245BA7"/>
            </w:tcBorders>
            <w:shd w:fill="auto" w:val="clear"/>
            <w:tcMar>
              <w:top w:w="0" w:type="dxa"/>
              <w:bottom w:w="45" w:type="dxa"/>
            </w:tcMar>
            <w:vAlign w:val="center"/>
          </w:tcPr>
          <w:p>
            <w:pPr>
              <w:pStyle w:val="TableContents"/>
              <w:pBdr/>
              <w:spacing w:before="0" w:after="45"/>
              <w:ind w:left="15" w:right="15"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 xml:space="preserve">17,367,271 </w:t>
              <w:br/>
              <w:t>shares of common stock</w:t>
            </w:r>
          </w:p>
        </w:tc>
        <w:tc>
          <w:tcPr>
            <w:tcW w:w="2489" w:type="dxa"/>
            <w:tcBorders>
              <w:bottom w:val="single" w:sz="2" w:space="0" w:color="245BA7"/>
            </w:tcBorders>
            <w:shd w:fill="auto" w:val="clear"/>
            <w:tcMar>
              <w:top w:w="0" w:type="dxa"/>
              <w:bottom w:w="45" w:type="dxa"/>
            </w:tcMar>
            <w:vAlign w:val="center"/>
          </w:tcPr>
          <w:p>
            <w:pPr>
              <w:pStyle w:val="TableContents"/>
              <w:pBdr/>
              <w:spacing w:before="0" w:after="45"/>
              <w:ind w:left="15" w:right="15"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481.62</w:t>
            </w:r>
          </w:p>
        </w:tc>
        <w:tc>
          <w:tcPr>
            <w:tcW w:w="2607" w:type="dxa"/>
            <w:tcBorders>
              <w:bottom w:val="single" w:sz="2" w:space="0" w:color="245BA7"/>
            </w:tcBorders>
            <w:shd w:fill="auto" w:val="clear"/>
            <w:tcMar>
              <w:top w:w="0" w:type="dxa"/>
              <w:bottom w:w="45" w:type="dxa"/>
            </w:tcMar>
            <w:vAlign w:val="center"/>
          </w:tcPr>
          <w:p>
            <w:pPr>
              <w:pStyle w:val="TableContents"/>
              <w:pBdr/>
              <w:spacing w:before="0" w:after="45"/>
              <w:ind w:left="15" w:right="15" w:hanging="0"/>
              <w:jc w:val="righ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 xml:space="preserve">15,916,806 </w:t>
              <w:br/>
              <w:t>shares of common stock and Class A stock</w:t>
            </w:r>
          </w:p>
        </w:tc>
      </w:tr>
      <w:tr>
        <w:trPr/>
        <w:tc>
          <w:tcPr>
            <w:tcW w:w="10205" w:type="dxa"/>
            <w:gridSpan w:val="4"/>
            <w:tcBorders/>
            <w:shd w:fill="auto" w:val="clear"/>
            <w:tcMar>
              <w:top w:w="0" w:type="dxa"/>
              <w:bottom w:w="0" w:type="dxa"/>
            </w:tcMar>
            <w:vAlign w:val="center"/>
          </w:tcPr>
          <w:p>
            <w:pPr>
              <w:pStyle w:val="TableContents"/>
              <w:spacing w:before="0" w:after="0"/>
              <w:ind w:left="0" w:right="30" w:hanging="0"/>
              <w:rPr>
                <w:rFonts w:ascii="Arial" w:hAnsi="Arial"/>
                <w:color w:val="245BA7"/>
                <w:sz w:val="20"/>
              </w:rPr>
            </w:pPr>
            <w:r>
              <w:rPr>
                <w:rFonts w:ascii="Arial" w:hAnsi="Arial"/>
                <w:color w:val="245BA7"/>
                <w:sz w:val="20"/>
              </w:rPr>
              <w:t>1</w:t>
            </w:r>
          </w:p>
          <w:p>
            <w:pPr>
              <w:pStyle w:val="TableContents"/>
              <w:pBdr/>
              <w:spacing w:before="0" w:after="0"/>
              <w:ind w:left="0" w:right="30" w:hanging="0"/>
              <w:rPr>
                <w:rFonts w:ascii="Arial" w:hAnsi="Arial"/>
                <w:color w:val="000000"/>
                <w:sz w:val="20"/>
              </w:rPr>
            </w:pPr>
            <w:r>
              <w:rPr>
                <w:rFonts w:ascii="Arial" w:hAnsi="Arial"/>
                <w:color w:val="000000"/>
                <w:sz w:val="20"/>
              </w:rPr>
              <w:t>The equity compensation plans approved by the security holders are the Regeneron Pharmaceuticals, Inc. Second Amended and Restated 2000 Long-Term Incentive Plan; the Regeneron Pharmaceuticals, Inc. 2014 Long-Term Incentive Plan; the Amended and Restated Regeneron Pharmaceuticals, Inc. 2014 Long-Term Incentive Plan; and the Second Amended and Restated Regeneron Pharmaceuticals, Inc. 2014 Long-Term Incentive Plan. The Second Amended and Restated Regeneron Pharmaceuticals, Inc. 2014 Long-Term Incentive Plan is the only plan currently used by the Company to grant equity awards.</w:t>
            </w:r>
          </w:p>
          <w:p>
            <w:pPr>
              <w:pStyle w:val="TableContents"/>
              <w:spacing w:before="0" w:after="0"/>
              <w:ind w:left="0" w:right="30" w:hanging="0"/>
              <w:rPr>
                <w:rFonts w:ascii="Arial" w:hAnsi="Arial"/>
                <w:color w:val="245BA7"/>
                <w:sz w:val="20"/>
              </w:rPr>
            </w:pPr>
            <w:r>
              <w:rPr>
                <w:rFonts w:ascii="Arial" w:hAnsi="Arial"/>
                <w:color w:val="245BA7"/>
                <w:sz w:val="20"/>
              </w:rPr>
              <w:t>2</w:t>
            </w:r>
          </w:p>
          <w:p>
            <w:pPr>
              <w:pStyle w:val="TableContents"/>
              <w:pBdr/>
              <w:spacing w:before="0" w:after="0"/>
              <w:ind w:left="0" w:right="30" w:hanging="0"/>
              <w:rPr>
                <w:rFonts w:ascii="Arial" w:hAnsi="Arial"/>
                <w:color w:val="000000"/>
                <w:sz w:val="20"/>
              </w:rPr>
            </w:pPr>
            <w:r>
              <w:rPr>
                <w:rFonts w:ascii="Arial" w:hAnsi="Arial"/>
                <w:color w:val="000000"/>
                <w:sz w:val="20"/>
              </w:rPr>
              <w:t>The equity compensation plan not approved by the security holders is the Executive Stock Purchase Plan. It was adopted in 1989 and provides for the Compensation Committee of the board of directors to award employees, directors, consultants, and other individuals who render service to the Company the right to purchase Class A stock at a price set by the Compensation Committee. The Plan provides for the vesting of shares as determined by the Compensation Committee; should the Company’s relationship with a Plan participant terminate before all shares are vested, unvested shares will be repurchased by the Company at a price per share equal to the original amount paid by the Plan participant. As of December 31, 2022, there were no unvested shares and 44,246 shares of Class A stock available for future grants under the Plan.</w:t>
            </w:r>
          </w:p>
          <w:p>
            <w:pPr>
              <w:pStyle w:val="TableContents"/>
              <w:spacing w:before="0" w:after="0"/>
              <w:ind w:left="0" w:right="30" w:hanging="0"/>
              <w:rPr>
                <w:rFonts w:ascii="Arial" w:hAnsi="Arial"/>
                <w:color w:val="245BA7"/>
                <w:sz w:val="20"/>
              </w:rPr>
            </w:pPr>
            <w:r>
              <w:rPr>
                <w:rFonts w:ascii="Arial" w:hAnsi="Arial"/>
                <w:color w:val="245BA7"/>
                <w:sz w:val="20"/>
              </w:rPr>
              <w:t>3</w:t>
            </w:r>
          </w:p>
          <w:p>
            <w:pPr>
              <w:pStyle w:val="TableContents"/>
              <w:pBdr/>
              <w:spacing w:before="0" w:after="0"/>
              <w:ind w:left="0" w:right="30" w:hanging="0"/>
              <w:rPr>
                <w:rFonts w:ascii="Arial" w:hAnsi="Arial"/>
                <w:color w:val="000000"/>
                <w:sz w:val="20"/>
              </w:rPr>
            </w:pPr>
            <w:r>
              <w:rPr>
                <w:rFonts w:ascii="Arial" w:hAnsi="Arial"/>
                <w:color w:val="000000"/>
                <w:sz w:val="20"/>
              </w:rPr>
              <w:t>This amount includes (i) 15,636,891 shares to be issued upon exercise of outstanding options, (ii) 230,444 shares to be issued upon vesting of outstanding RSUs, and (iii) 1,499,936 shares to be issued upon vesting of outstanding PSUs (assuming, in the case of PSUs, maximum payouts earned).</w:t>
            </w:r>
          </w:p>
          <w:p>
            <w:pPr>
              <w:pStyle w:val="TableContents"/>
              <w:spacing w:before="0" w:after="0"/>
              <w:ind w:left="0" w:right="30" w:hanging="0"/>
              <w:rPr>
                <w:rFonts w:ascii="Arial" w:hAnsi="Arial"/>
                <w:color w:val="245BA7"/>
                <w:sz w:val="20"/>
              </w:rPr>
            </w:pPr>
            <w:r>
              <w:rPr>
                <w:rFonts w:ascii="Arial" w:hAnsi="Arial"/>
                <w:color w:val="245BA7"/>
                <w:sz w:val="20"/>
              </w:rPr>
              <w:t>4</w:t>
            </w:r>
          </w:p>
          <w:p>
            <w:pPr>
              <w:pStyle w:val="TableContents"/>
              <w:pBdr/>
              <w:spacing w:before="0" w:after="0"/>
              <w:ind w:left="0" w:right="30" w:hanging="0"/>
              <w:rPr>
                <w:rFonts w:ascii="Arial" w:hAnsi="Arial"/>
                <w:color w:val="000000"/>
                <w:sz w:val="20"/>
              </w:rPr>
            </w:pPr>
            <w:r>
              <w:rPr>
                <w:rFonts w:ascii="Arial" w:hAnsi="Arial"/>
                <w:color w:val="000000"/>
                <w:sz w:val="20"/>
              </w:rPr>
              <w:t>The calculation of the weighted-average exercise price does not include the 230,444 shares to be issued upon vesting of RSUs or the 1,499,936 shares to be issued upon vesting of PSUs (assuming, in the case of PSUs, maximum payouts earned), as RSUs and PSUs do not have an exercise price.</w:t>
            </w:r>
          </w:p>
          <w:p>
            <w:pPr>
              <w:pStyle w:val="TableContents"/>
              <w:spacing w:before="0" w:after="0"/>
              <w:ind w:left="0" w:right="30" w:hanging="0"/>
              <w:rPr>
                <w:rFonts w:ascii="Arial" w:hAnsi="Arial"/>
                <w:color w:val="245BA7"/>
                <w:sz w:val="20"/>
              </w:rPr>
            </w:pPr>
            <w:r>
              <w:rPr>
                <w:rFonts w:ascii="Arial" w:hAnsi="Arial"/>
                <w:color w:val="245BA7"/>
                <w:sz w:val="20"/>
              </w:rPr>
              <w:t>5</w:t>
            </w:r>
          </w:p>
          <w:p>
            <w:pPr>
              <w:pStyle w:val="TableContents"/>
              <w:pBdr/>
              <w:spacing w:before="0" w:after="0"/>
              <w:ind w:left="0" w:right="30" w:hanging="0"/>
              <w:rPr>
                <w:rFonts w:ascii="Arial" w:hAnsi="Arial"/>
                <w:color w:val="000000"/>
                <w:sz w:val="20"/>
              </w:rPr>
            </w:pPr>
            <w:r>
              <w:rPr>
                <w:rFonts w:ascii="Arial" w:hAnsi="Arial"/>
                <w:color w:val="000000"/>
                <w:sz w:val="20"/>
              </w:rPr>
              <w:t>This amount is net of 2,467,042 outstanding RSAs. As these shares are considered issued and outstanding upon grant, they are not included in the amounts reported in column A.</w:t>
            </w:r>
          </w:p>
        </w:tc>
      </w:tr>
    </w:tbl>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08"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40" descr=""/>
                          <pic:cNvPicPr>
                            <a:picLocks noChangeAspect="1" noChangeArrowheads="1"/>
                          </pic:cNvPicPr>
                        </pic:nvPicPr>
                        <pic:blipFill>
                          <a:blip r:embed="rId241"/>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101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0"/>
        <w:ind w:left="0" w:right="0" w:hanging="0"/>
        <w:jc w:val="left"/>
        <w:rPr>
          <w:caps w:val="false"/>
          <w:smallCaps w:val="false"/>
          <w:color w:val="D31B5D"/>
        </w:rPr>
      </w:pPr>
      <w:r>
        <w:rPr>
          <w:caps w:val="false"/>
          <w:smallCaps w:val="false"/>
          <w:color w:val="D31B5D"/>
        </w:rPr>
        <w:drawing>
          <wp:inline distT="0" distB="0" distL="0" distR="0">
            <wp:extent cx="7620000" cy="9639300"/>
            <wp:effectExtent l="0" t="0" r="0" b="0"/>
            <wp:docPr id="309"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41" descr=""/>
                    <pic:cNvPicPr>
                      <a:picLocks noChangeAspect="1" noChangeArrowheads="1"/>
                    </pic:cNvPicPr>
                  </pic:nvPicPr>
                  <pic:blipFill>
                    <a:blip r:embed="rId242"/>
                    <a:stretch>
                      <a:fillRect/>
                    </a:stretch>
                  </pic:blipFill>
                  <pic:spPr bwMode="auto">
                    <a:xfrm>
                      <a:off x="0" y="0"/>
                      <a:ext cx="7620000" cy="9639300"/>
                    </a:xfrm>
                    <a:prstGeom prst="rect">
                      <a:avLst/>
                    </a:prstGeom>
                  </pic:spPr>
                </pic:pic>
              </a:graphicData>
            </a:graphic>
          </wp:inline>
        </w:drawing>
      </w:r>
    </w:p>
    <w:p>
      <w:pPr>
        <w:pStyle w:val="TextBody"/>
        <w:pBdr/>
        <w:spacing w:before="0" w:after="0"/>
        <w:ind w:left="0" w:right="0" w:hanging="0"/>
        <w:jc w:val="left"/>
        <w:rPr>
          <w:caps w:val="false"/>
          <w:smallCaps w:val="false"/>
          <w:color w:val="D31B5D"/>
        </w:rPr>
      </w:pPr>
      <w:r>
        <w:rPr>
          <w:caps w:val="false"/>
          <w:smallCaps w:val="false"/>
          <w:color w:val="D31B5D"/>
        </w:rPr>
        <w:t> </w:t>
      </w:r>
    </w:p>
    <w:p>
      <w:pPr>
        <w:pStyle w:val="Normal"/>
        <w:spacing w:before="0" w:after="0"/>
        <w:ind w:left="0" w:right="0" w:hanging="0"/>
        <w:rPr>
          <w:sz w:val="4"/>
          <w:szCs w:val="4"/>
        </w:rPr>
      </w:pPr>
      <w:r>
        <w:rPr>
          <w:sz w:val="4"/>
          <w:szCs w:val="4"/>
        </w:rPr>
      </w:r>
      <w:bookmarkStart w:id="177" w:name="new_id-168"/>
      <w:bookmarkStart w:id="178" w:name="new_id-168"/>
      <w:bookmarkEnd w:id="178"/>
    </w:p>
    <w:tbl>
      <w:tblPr>
        <w:tblW w:w="10205" w:type="dxa"/>
        <w:jc w:val="left"/>
        <w:tblInd w:w="0" w:type="dxa"/>
        <w:tblCellMar>
          <w:top w:w="0" w:type="dxa"/>
          <w:left w:w="0" w:type="dxa"/>
          <w:bottom w:w="0" w:type="dxa"/>
          <w:right w:w="0" w:type="dxa"/>
        </w:tblCellMar>
      </w:tblPr>
      <w:tblGrid>
        <w:gridCol w:w="10014"/>
        <w:gridCol w:w="191"/>
      </w:tblGrid>
      <w:tr>
        <w:trPr/>
        <w:tc>
          <w:tcPr>
            <w:tcW w:w="10014" w:type="dxa"/>
            <w:tcBorders/>
            <w:shd w:fill="auto" w:val="clear"/>
            <w:vAlign w:val="center"/>
          </w:tcPr>
          <w:p>
            <w:pPr>
              <w:pStyle w:val="Heading1"/>
              <w:pBdr/>
              <w:spacing w:before="0" w:after="405"/>
              <w:ind w:left="0" w:right="0" w:hanging="0"/>
              <w:rPr>
                <w:rFonts w:ascii="Arial" w:hAnsi="Arial"/>
                <w:b/>
                <w:i w:val="false"/>
                <w:caps w:val="false"/>
                <w:smallCaps w:val="false"/>
                <w:color w:val="245BA7"/>
                <w:sz w:val="72"/>
              </w:rPr>
            </w:pPr>
            <w:r>
              <w:rPr>
                <w:rFonts w:ascii="Arial" w:hAnsi="Arial"/>
                <w:b/>
                <w:i w:val="false"/>
                <w:caps w:val="false"/>
                <w:smallCaps w:val="false"/>
                <w:color w:val="000000"/>
                <w:sz w:val="50"/>
              </w:rPr>
              <w:t>PROPOSAL 3</w:t>
            </w:r>
            <w:r>
              <w:rPr>
                <w:rFonts w:ascii="Arial" w:hAnsi="Arial"/>
                <w:b/>
                <w:i w:val="false"/>
                <w:caps w:val="false"/>
                <w:smallCaps w:val="false"/>
                <w:color w:val="245BA7"/>
                <w:sz w:val="72"/>
              </w:rPr>
              <w:br/>
              <w:t xml:space="preserve">ADVISORY VOTE ON COMPENSATION OF NAMED EXECUTIVE OFFICERS (SAY-ON-PAY) </w:t>
            </w:r>
          </w:p>
        </w:tc>
        <w:tc>
          <w:tcPr>
            <w:tcW w:w="191" w:type="dxa"/>
            <w:tcBorders/>
            <w:shd w:fill="auto" w:val="clear"/>
            <w:tcMar>
              <w:top w:w="28" w:type="dxa"/>
              <w:left w:w="28" w:type="dxa"/>
              <w:bottom w:w="28" w:type="dxa"/>
              <w:right w:w="28" w:type="dxa"/>
            </w:tcMar>
            <w:vAlign w:val="center"/>
          </w:tcPr>
          <w:p>
            <w:pPr>
              <w:pStyle w:val="TableContents"/>
              <w:spacing w:before="0" w:after="283"/>
              <w:rPr/>
            </w:pPr>
            <w:r>
              <w:rPr/>
              <w:t> </w:t>
            </w:r>
          </w:p>
        </w:tc>
      </w:tr>
      <w:tr>
        <w:trPr/>
        <w:tc>
          <w:tcPr>
            <w:tcW w:w="10014" w:type="dxa"/>
            <w:tcBorders/>
            <w:shd w:fill="auto" w:val="clear"/>
            <w:vAlign w:val="center"/>
          </w:tcPr>
          <w:p>
            <w:pPr>
              <w:pStyle w:val="TableContents"/>
              <w:spacing w:before="0" w:after="283"/>
              <w:rPr/>
            </w:pPr>
            <w:r>
              <w:rPr/>
              <w:t> </w:t>
            </w:r>
          </w:p>
        </w:tc>
        <w:tc>
          <w:tcPr>
            <w:tcW w:w="191" w:type="dxa"/>
            <w:tcBorders/>
            <w:shd w:fill="auto" w:val="clear"/>
            <w:tcMar>
              <w:top w:w="28" w:type="dxa"/>
              <w:left w:w="28" w:type="dxa"/>
              <w:bottom w:w="28" w:type="dxa"/>
              <w:right w:w="28" w:type="dxa"/>
            </w:tcMar>
            <w:vAlign w:val="center"/>
          </w:tcPr>
          <w:p>
            <w:pPr>
              <w:pStyle w:val="TableContents"/>
              <w:spacing w:before="0" w:after="283"/>
              <w:rPr/>
            </w:pPr>
            <w:r>
              <w:rPr/>
              <w:t> </w:t>
            </w:r>
          </w:p>
        </w:tc>
      </w:tr>
    </w:tbl>
    <w:p>
      <w:pPr>
        <w:pStyle w:val="TextBody"/>
        <w:pBdr/>
        <w:spacing w:before="0" w:after="0"/>
        <w:ind w:left="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0014"/>
        <w:gridCol w:w="191"/>
      </w:tblGrid>
      <w:tr>
        <w:trPr/>
        <w:tc>
          <w:tcPr>
            <w:tcW w:w="10014" w:type="dxa"/>
            <w:tcBorders/>
            <w:shd w:fill="auto" w:val="clear"/>
            <w:vAlign w:val="center"/>
          </w:tcPr>
          <w:p>
            <w:pPr>
              <w:pStyle w:val="TableContents"/>
              <w:pBdr/>
              <w:spacing w:before="60" w:after="60"/>
              <w:ind w:left="0" w:right="0" w:hanging="0"/>
              <w:jc w:val="left"/>
              <w:rPr>
                <w:rFonts w:ascii="Arial" w:hAnsi="Arial"/>
                <w:b w:val="false"/>
                <w:i w:val="false"/>
                <w:caps w:val="false"/>
                <w:smallCaps w:val="false"/>
                <w:color w:val="245BA7"/>
                <w:sz w:val="26"/>
              </w:rPr>
            </w:pPr>
            <w:r>
              <w:rPr>
                <w:rFonts w:ascii="Arial" w:hAnsi="Arial"/>
                <w:b w:val="false"/>
                <w:i w:val="false"/>
                <w:caps w:val="false"/>
                <w:smallCaps w:val="false"/>
                <w:color w:val="245BA7"/>
                <w:sz w:val="26"/>
              </w:rPr>
              <w:t xml:space="preserve">The Board of Directors Unanimously Recommends a Vote, on an Advisory Basis, </w:t>
            </w:r>
            <w:r>
              <w:rPr>
                <w:rFonts w:ascii="Arial" w:hAnsi="Arial"/>
                <w:b/>
                <w:i w:val="false"/>
                <w:caps w:val="false"/>
                <w:smallCaps w:val="false"/>
                <w:color w:val="245BA7"/>
                <w:sz w:val="26"/>
              </w:rPr>
              <w:t>FOR</w:t>
            </w:r>
            <w:r>
              <w:rPr>
                <w:rFonts w:ascii="Arial" w:hAnsi="Arial"/>
                <w:b w:val="false"/>
                <w:i w:val="false"/>
                <w:caps w:val="false"/>
                <w:smallCaps w:val="false"/>
                <w:color w:val="245BA7"/>
                <w:sz w:val="26"/>
              </w:rPr>
              <w:t xml:space="preserve"> Approval of the Compensation of Our Named Executive Officers as Disclosed in This Proxy Statement.</w:t>
            </w:r>
          </w:p>
        </w:tc>
        <w:tc>
          <w:tcPr>
            <w:tcW w:w="191" w:type="dxa"/>
            <w:tcBorders/>
            <w:shd w:fill="auto" w:val="clear"/>
            <w:tcMar>
              <w:top w:w="28" w:type="dxa"/>
              <w:left w:w="28" w:type="dxa"/>
              <w:bottom w:w="28" w:type="dxa"/>
              <w:right w:w="28" w:type="dxa"/>
            </w:tcMar>
            <w:vAlign w:val="center"/>
          </w:tcPr>
          <w:p>
            <w:pPr>
              <w:pStyle w:val="TableContents"/>
              <w:spacing w:before="0" w:after="283"/>
              <w:jc w:val="right"/>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10"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42" descr=""/>
                          <pic:cNvPicPr>
                            <a:picLocks noChangeAspect="1" noChangeArrowheads="1"/>
                          </pic:cNvPicPr>
                        </pic:nvPicPr>
                        <pic:blipFill>
                          <a:blip r:embed="rId243"/>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102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As required by Section 14A of the Exchange Act, we are seeking, on an advisory basis, shareholder approval of the compensation of our NEOs as disclosed above (“say-on-pay” proposal). Specifically, shareholders are being asked to approve the following advisory resolution:</w:t>
      </w:r>
    </w:p>
    <w:p>
      <w:pPr>
        <w:pStyle w:val="TextBody"/>
        <w:pBdr/>
        <w:spacing w:before="0" w:after="210"/>
        <w:ind w:left="660" w:right="0" w:hanging="0"/>
        <w:rPr>
          <w:rFonts w:ascii="Arial" w:hAnsi="Arial"/>
          <w:color w:val="000000"/>
          <w:sz w:val="21"/>
        </w:rPr>
      </w:pPr>
      <w:r>
        <w:rPr>
          <w:rFonts w:ascii="Arial" w:hAnsi="Arial"/>
          <w:b/>
          <w:color w:val="000000"/>
          <w:sz w:val="21"/>
        </w:rPr>
        <w:t>RESOLVED,</w:t>
      </w:r>
      <w:r>
        <w:rPr>
          <w:rFonts w:ascii="Arial" w:hAnsi="Arial"/>
          <w:color w:val="000000"/>
          <w:sz w:val="21"/>
        </w:rPr>
        <w:t xml:space="preserve"> that the shareholders of Regeneron Pharmaceuticals, Inc. hereby approve the compensation of the Company’s Named Executive Officers, as disclosed in the Company’s proxy statement relating to the Company’s 2023 Annual Meeting (the “Proxy Statement”) pursuant to the compensation disclosure rules of the Securities and Exchange Commission (which disclosure includes the Compensation Discussion and Analysis, the compensation tables, and the related compensation information contained in the Proxy Statement).</w:t>
      </w:r>
    </w:p>
    <w:p>
      <w:pPr>
        <w:pStyle w:val="TextBody"/>
        <w:pBdr/>
        <w:spacing w:before="0" w:after="210"/>
        <w:ind w:left="0" w:right="0" w:hanging="0"/>
        <w:rPr>
          <w:rFonts w:ascii="Arial" w:hAnsi="Arial"/>
          <w:color w:val="000000"/>
          <w:sz w:val="21"/>
        </w:rPr>
      </w:pPr>
      <w:r>
        <w:rPr>
          <w:rFonts w:ascii="Arial" w:hAnsi="Arial"/>
          <w:color w:val="000000"/>
          <w:sz w:val="21"/>
        </w:rPr>
        <w:t>In determining to recommend that shareholders approve the say-on-pay proposal, the board of directors considered, among other factors discussed under “Compensation Discussion and Analysis” above, that the Company had achieved its corporate goals in 2022. Information regarding compensation of the relevant NEOs for 2022 is provided in the Summary Compensation Table included in this proxy statement.</w:t>
      </w:r>
    </w:p>
    <w:p>
      <w:pPr>
        <w:pStyle w:val="TextBody"/>
        <w:pBdr/>
        <w:spacing w:before="0" w:after="210"/>
        <w:ind w:left="0" w:right="0" w:hanging="0"/>
        <w:rPr>
          <w:rFonts w:ascii="Arial" w:hAnsi="Arial"/>
          <w:color w:val="000000"/>
          <w:sz w:val="21"/>
        </w:rPr>
      </w:pPr>
      <w:r>
        <w:rPr>
          <w:rFonts w:ascii="Arial" w:hAnsi="Arial"/>
          <w:color w:val="000000"/>
          <w:sz w:val="21"/>
        </w:rPr>
        <w:t>The board of directors unanimously recommends a vote FOR approval of the compensation of our Named Executive Officers as disclosed in this proxy statement. As an advisory vote, this proposal is non-binding on the Company. However, the board of directors and the Compensation Committee value your opinion and will review and consider the voting results in connection with their ongoing evaluation of our compensation program.</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11"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43" descr=""/>
                          <pic:cNvPicPr>
                            <a:picLocks noChangeAspect="1" noChangeArrowheads="1"/>
                          </pic:cNvPicPr>
                        </pic:nvPicPr>
                        <pic:blipFill>
                          <a:blip r:embed="rId244"/>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103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rPr>
          <w:caps w:val="false"/>
          <w:smallCaps w:val="false"/>
        </w:rPr>
      </w:pPr>
      <w:r>
        <w:rPr>
          <w:caps w:val="false"/>
          <w:smallCaps w:val="false"/>
        </w:rPr>
        <w:drawing>
          <wp:inline distT="0" distB="0" distL="0" distR="0">
            <wp:extent cx="7620000" cy="9677400"/>
            <wp:effectExtent l="0" t="0" r="0" b="0"/>
            <wp:docPr id="312"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44" descr=""/>
                    <pic:cNvPicPr>
                      <a:picLocks noChangeAspect="1" noChangeArrowheads="1"/>
                    </pic:cNvPicPr>
                  </pic:nvPicPr>
                  <pic:blipFill>
                    <a:blip r:embed="rId245"/>
                    <a:stretch>
                      <a:fillRect/>
                    </a:stretch>
                  </pic:blipFill>
                  <pic:spPr bwMode="auto">
                    <a:xfrm>
                      <a:off x="0" y="0"/>
                      <a:ext cx="7620000" cy="967740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Normal"/>
        <w:spacing w:before="0" w:after="0"/>
        <w:ind w:left="0" w:right="0" w:hanging="0"/>
        <w:rPr>
          <w:sz w:val="4"/>
          <w:szCs w:val="4"/>
        </w:rPr>
      </w:pPr>
      <w:r>
        <w:rPr>
          <w:sz w:val="4"/>
          <w:szCs w:val="4"/>
        </w:rPr>
      </w:r>
      <w:bookmarkStart w:id="179" w:name="new_id-169"/>
      <w:bookmarkStart w:id="180" w:name="new_id-169"/>
      <w:bookmarkEnd w:id="180"/>
    </w:p>
    <w:tbl>
      <w:tblPr>
        <w:tblW w:w="10205" w:type="dxa"/>
        <w:jc w:val="left"/>
        <w:tblInd w:w="0" w:type="dxa"/>
        <w:tblCellMar>
          <w:top w:w="0" w:type="dxa"/>
          <w:left w:w="0" w:type="dxa"/>
          <w:bottom w:w="0" w:type="dxa"/>
          <w:right w:w="0" w:type="dxa"/>
        </w:tblCellMar>
      </w:tblPr>
      <w:tblGrid>
        <w:gridCol w:w="10014"/>
        <w:gridCol w:w="191"/>
      </w:tblGrid>
      <w:tr>
        <w:trPr/>
        <w:tc>
          <w:tcPr>
            <w:tcW w:w="10014" w:type="dxa"/>
            <w:tcBorders/>
            <w:shd w:fill="auto" w:val="clear"/>
            <w:vAlign w:val="center"/>
          </w:tcPr>
          <w:p>
            <w:pPr>
              <w:pStyle w:val="Heading1"/>
              <w:pBdr/>
              <w:spacing w:before="0" w:after="405"/>
              <w:ind w:left="0" w:right="0" w:hanging="0"/>
              <w:rPr>
                <w:rFonts w:ascii="Arial" w:hAnsi="Arial"/>
                <w:b/>
                <w:i w:val="false"/>
                <w:caps w:val="false"/>
                <w:smallCaps w:val="false"/>
                <w:color w:val="245BA7"/>
                <w:sz w:val="72"/>
              </w:rPr>
            </w:pPr>
            <w:r>
              <w:rPr>
                <w:rFonts w:ascii="Arial" w:hAnsi="Arial"/>
                <w:b/>
                <w:i w:val="false"/>
                <w:caps w:val="false"/>
                <w:smallCaps w:val="false"/>
                <w:color w:val="000000"/>
                <w:sz w:val="50"/>
              </w:rPr>
              <w:t>PROPOSAL 4</w:t>
            </w:r>
            <w:r>
              <w:rPr>
                <w:rFonts w:ascii="Arial" w:hAnsi="Arial"/>
                <w:b/>
                <w:i w:val="false"/>
                <w:caps w:val="false"/>
                <w:smallCaps w:val="false"/>
                <w:color w:val="245BA7"/>
                <w:sz w:val="72"/>
              </w:rPr>
              <w:br/>
              <w:t xml:space="preserve">ADVISORY VOTE ON THE FREQUENCY OF FUTURE SAY-ON-PAY VOTES (SAY-ON-FREQUENCY) </w:t>
            </w:r>
          </w:p>
        </w:tc>
        <w:tc>
          <w:tcPr>
            <w:tcW w:w="191" w:type="dxa"/>
            <w:tcBorders/>
            <w:shd w:fill="auto" w:val="clear"/>
            <w:tcMar>
              <w:top w:w="28" w:type="dxa"/>
              <w:left w:w="28" w:type="dxa"/>
              <w:bottom w:w="28" w:type="dxa"/>
              <w:right w:w="28" w:type="dxa"/>
            </w:tcM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0051"/>
        <w:gridCol w:w="154"/>
      </w:tblGrid>
      <w:tr>
        <w:trPr/>
        <w:tc>
          <w:tcPr>
            <w:tcW w:w="10051" w:type="dxa"/>
            <w:tcBorders/>
            <w:shd w:fill="auto" w:val="clear"/>
            <w:vAlign w:val="center"/>
          </w:tcPr>
          <w:p>
            <w:pPr>
              <w:pStyle w:val="TableContents"/>
              <w:pBdr/>
              <w:spacing w:before="60" w:after="60"/>
              <w:ind w:left="0" w:right="0" w:hanging="0"/>
              <w:rPr>
                <w:rFonts w:ascii="Arial" w:hAnsi="Arial"/>
                <w:color w:val="245BA7"/>
                <w:sz w:val="26"/>
              </w:rPr>
            </w:pPr>
            <w:r>
              <w:rPr>
                <w:rFonts w:ascii="Arial" w:hAnsi="Arial"/>
                <w:color w:val="245BA7"/>
                <w:sz w:val="26"/>
              </w:rPr>
              <w:t xml:space="preserve">The Board of Directors Unanimously Recommends a Vote, on an Advisory Basis, for a Frequency of Every </w:t>
            </w:r>
            <w:r>
              <w:rPr>
                <w:rFonts w:ascii="Arial" w:hAnsi="Arial"/>
                <w:b/>
                <w:color w:val="245BA7"/>
                <w:sz w:val="26"/>
              </w:rPr>
              <w:t>ONE</w:t>
            </w:r>
            <w:r>
              <w:rPr>
                <w:rFonts w:ascii="Arial" w:hAnsi="Arial"/>
                <w:color w:val="245BA7"/>
                <w:sz w:val="26"/>
              </w:rPr>
              <w:t xml:space="preserve"> Year for Future Say-on-Pay Votes.</w:t>
            </w:r>
          </w:p>
        </w:tc>
        <w:tc>
          <w:tcPr>
            <w:tcW w:w="154" w:type="dxa"/>
            <w:tcBorders/>
            <w:shd w:fill="auto" w:val="clear"/>
            <w:tcMar>
              <w:top w:w="28" w:type="dxa"/>
              <w:left w:w="28" w:type="dxa"/>
              <w:bottom w:w="28" w:type="dxa"/>
              <w:right w:w="28" w:type="dxa"/>
            </w:tcMar>
            <w:vAlign w:val="center"/>
          </w:tcPr>
          <w:p>
            <w:pPr>
              <w:pStyle w:val="TableContents"/>
              <w:spacing w:before="0" w:after="283"/>
              <w:rPr>
                <w:sz w:val="4"/>
                <w:szCs w:val="4"/>
              </w:rPr>
            </w:pPr>
            <w:r>
              <w:rPr>
                <w:sz w:val="4"/>
                <w:szCs w:val="4"/>
              </w:rPr>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13"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45" descr=""/>
                          <pic:cNvPicPr>
                            <a:picLocks noChangeAspect="1" noChangeArrowheads="1"/>
                          </pic:cNvPicPr>
                        </pic:nvPicPr>
                        <pic:blipFill>
                          <a:blip r:embed="rId246"/>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104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As required by Section 14A of the Exchange Act, at least once every six years we submit to a vote of our shareholders a non-binding advisory proposal on the desired frequency of future say-on-pay votes. Shareholders may vote to hold say-on-pay votes every one, two, or three years, or may abstain.</w:t>
      </w:r>
    </w:p>
    <w:p>
      <w:pPr>
        <w:pStyle w:val="TextBody"/>
        <w:pBdr/>
        <w:spacing w:before="0" w:after="210"/>
        <w:ind w:left="0" w:right="0" w:hanging="0"/>
        <w:rPr>
          <w:rFonts w:ascii="Arial" w:hAnsi="Arial"/>
          <w:color w:val="000000"/>
          <w:sz w:val="21"/>
        </w:rPr>
      </w:pPr>
      <w:r>
        <w:rPr>
          <w:rFonts w:ascii="Arial" w:hAnsi="Arial"/>
          <w:color w:val="000000"/>
          <w:sz w:val="21"/>
        </w:rPr>
        <w:t>Our shareholders last voted on this question at the 2017 annual shareholder meeting.  At that meeting, a frequency of every three years received approximately 55% of the votes cast on the proposal, consistent with the board of directors’ recommendation at such time. Effective at the 2022 annual shareholder meeting, our board of directors voluntarily changed the frequency of our say-on-pay votes from every three years to every year in recognition of shareholder feedback and preference. In light of that feedback and the importance we place on shareholder engagement, including as it relates to executive compensation matters, the board of directors is recommending that shareholders vote for continuing to conduct say-on-pay votes every year.</w:t>
      </w:r>
    </w:p>
    <w:p>
      <w:pPr>
        <w:pStyle w:val="TextBody"/>
        <w:pBdr/>
        <w:spacing w:before="0" w:after="210"/>
        <w:ind w:left="0" w:right="0" w:hanging="0"/>
        <w:rPr>
          <w:rFonts w:ascii="Arial" w:hAnsi="Arial"/>
          <w:color w:val="000000"/>
          <w:sz w:val="21"/>
        </w:rPr>
      </w:pPr>
      <w:r>
        <w:rPr>
          <w:rFonts w:ascii="Arial" w:hAnsi="Arial"/>
          <w:color w:val="000000"/>
          <w:sz w:val="21"/>
        </w:rPr>
        <w:t>Because this shareholder vote is advisory, it will not be binding on the Company or the board of directors. However, the Compensation Committee and the board of directors will take into account the outcome of the vote when determining the frequency of future say-on-pay votes.</w:t>
      </w:r>
    </w:p>
    <w:p>
      <w:pPr>
        <w:pStyle w:val="TextBody"/>
        <w:pBdr/>
        <w:spacing w:before="0" w:after="210"/>
        <w:ind w:left="0" w:right="0" w:hanging="0"/>
        <w:rPr>
          <w:rFonts w:ascii="Arial" w:hAnsi="Arial"/>
          <w:color w:val="000000"/>
          <w:sz w:val="21"/>
        </w:rPr>
      </w:pPr>
      <w:r>
        <w:rPr>
          <w:rFonts w:ascii="Arial" w:hAnsi="Arial"/>
          <w:color w:val="000000"/>
          <w:sz w:val="21"/>
        </w:rPr>
        <w:t>The enclosed proxy allows you to vote for a frequency of every one, two, or three years, or to abstain. Shareholders are not voting to approve or disapprove the board of directors’ recommendation.</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14"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46" descr=""/>
                          <pic:cNvPicPr>
                            <a:picLocks noChangeAspect="1" noChangeArrowheads="1"/>
                          </pic:cNvPicPr>
                        </pic:nvPicPr>
                        <pic:blipFill>
                          <a:blip r:embed="rId247"/>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105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rPr>
          <w:caps w:val="false"/>
          <w:smallCaps w:val="false"/>
        </w:rPr>
      </w:pPr>
      <w:r>
        <w:rPr>
          <w:caps w:val="false"/>
          <w:smallCaps w:val="false"/>
        </w:rPr>
        <w:drawing>
          <wp:inline distT="0" distB="0" distL="0" distR="0">
            <wp:extent cx="7620000" cy="9791700"/>
            <wp:effectExtent l="0" t="0" r="0" b="0"/>
            <wp:docPr id="315"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47" descr=""/>
                    <pic:cNvPicPr>
                      <a:picLocks noChangeAspect="1" noChangeArrowheads="1"/>
                    </pic:cNvPicPr>
                  </pic:nvPicPr>
                  <pic:blipFill>
                    <a:blip r:embed="rId248"/>
                    <a:stretch>
                      <a:fillRect/>
                    </a:stretch>
                  </pic:blipFill>
                  <pic:spPr bwMode="auto">
                    <a:xfrm>
                      <a:off x="0" y="0"/>
                      <a:ext cx="7620000" cy="979170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Normal"/>
        <w:spacing w:before="0" w:after="0"/>
        <w:ind w:left="0" w:right="0" w:hanging="0"/>
        <w:rPr>
          <w:sz w:val="4"/>
          <w:szCs w:val="4"/>
        </w:rPr>
      </w:pPr>
      <w:r>
        <w:rPr>
          <w:sz w:val="4"/>
          <w:szCs w:val="4"/>
        </w:rPr>
      </w:r>
      <w:bookmarkStart w:id="181" w:name="new_id-170"/>
      <w:bookmarkStart w:id="182" w:name="new_id-170"/>
      <w:bookmarkEnd w:id="182"/>
    </w:p>
    <w:tbl>
      <w:tblPr>
        <w:tblW w:w="10205" w:type="dxa"/>
        <w:jc w:val="left"/>
        <w:tblInd w:w="0" w:type="dxa"/>
        <w:tblCellMar>
          <w:top w:w="0" w:type="dxa"/>
          <w:left w:w="0" w:type="dxa"/>
          <w:bottom w:w="0" w:type="dxa"/>
          <w:right w:w="0" w:type="dxa"/>
        </w:tblCellMar>
      </w:tblPr>
      <w:tblGrid>
        <w:gridCol w:w="10014"/>
        <w:gridCol w:w="191"/>
      </w:tblGrid>
      <w:tr>
        <w:trPr/>
        <w:tc>
          <w:tcPr>
            <w:tcW w:w="10014" w:type="dxa"/>
            <w:tcBorders/>
            <w:shd w:fill="auto" w:val="clear"/>
            <w:vAlign w:val="center"/>
          </w:tcPr>
          <w:p>
            <w:pPr>
              <w:pStyle w:val="Heading1"/>
              <w:pBdr/>
              <w:spacing w:before="0" w:after="405"/>
              <w:ind w:left="0" w:right="0" w:hanging="0"/>
              <w:rPr>
                <w:rFonts w:ascii="Arial" w:hAnsi="Arial"/>
                <w:b/>
                <w:i w:val="false"/>
                <w:caps w:val="false"/>
                <w:smallCaps w:val="false"/>
                <w:color w:val="245BA7"/>
                <w:sz w:val="72"/>
              </w:rPr>
            </w:pPr>
            <w:r>
              <w:rPr>
                <w:rFonts w:ascii="Arial" w:hAnsi="Arial"/>
                <w:b/>
                <w:i w:val="false"/>
                <w:caps w:val="false"/>
                <w:smallCaps w:val="false"/>
                <w:color w:val="000000"/>
                <w:sz w:val="50"/>
              </w:rPr>
              <w:t>PROPOSAL 5</w:t>
            </w:r>
            <w:r>
              <w:rPr>
                <w:rFonts w:ascii="Arial" w:hAnsi="Arial"/>
                <w:b/>
                <w:i w:val="false"/>
                <w:caps w:val="false"/>
                <w:smallCaps w:val="false"/>
                <w:color w:val="245BA7"/>
                <w:sz w:val="72"/>
              </w:rPr>
              <w:br/>
              <w:t xml:space="preserve">NON-BINDING SHAREHOLDER PROPOSAL REQUESTING REPORT ON A PROCESS BY WHICH ACCESS TO MEDICINE IS CONSIDERED IN MATTERS RELATED TO PROTECTING INTELLECTUAL PROPERTY </w:t>
            </w:r>
          </w:p>
        </w:tc>
        <w:tc>
          <w:tcPr>
            <w:tcW w:w="191" w:type="dxa"/>
            <w:tcBorders/>
            <w:shd w:fill="auto" w:val="clear"/>
            <w:tcMar>
              <w:top w:w="28" w:type="dxa"/>
              <w:left w:w="28" w:type="dxa"/>
              <w:bottom w:w="28" w:type="dxa"/>
              <w:right w:w="28" w:type="dxa"/>
            </w:tcM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0014"/>
        <w:gridCol w:w="191"/>
      </w:tblGrid>
      <w:tr>
        <w:trPr/>
        <w:tc>
          <w:tcPr>
            <w:tcW w:w="10014" w:type="dxa"/>
            <w:tcBorders/>
            <w:shd w:fill="auto" w:val="clear"/>
            <w:vAlign w:val="center"/>
          </w:tcPr>
          <w:p>
            <w:pPr>
              <w:pStyle w:val="TableContents"/>
              <w:pBdr/>
              <w:spacing w:before="60" w:after="60"/>
              <w:ind w:left="0" w:right="0" w:hanging="0"/>
              <w:rPr>
                <w:rFonts w:ascii="Arial" w:hAnsi="Arial"/>
                <w:color w:val="245BA7"/>
                <w:sz w:val="26"/>
              </w:rPr>
            </w:pPr>
            <w:r>
              <w:rPr>
                <w:rFonts w:ascii="Arial" w:hAnsi="Arial"/>
                <w:color w:val="245BA7"/>
                <w:sz w:val="26"/>
              </w:rPr>
              <w:t xml:space="preserve">The Board of Directors Unanimously Recommends a Vote </w:t>
            </w:r>
            <w:r>
              <w:rPr>
                <w:rFonts w:ascii="Arial" w:hAnsi="Arial"/>
                <w:b/>
                <w:color w:val="245BA7"/>
                <w:sz w:val="26"/>
              </w:rPr>
              <w:t>AGAINST</w:t>
            </w:r>
            <w:r>
              <w:rPr>
                <w:rFonts w:ascii="Arial" w:hAnsi="Arial"/>
                <w:color w:val="245BA7"/>
                <w:sz w:val="26"/>
              </w:rPr>
              <w:t xml:space="preserve"> the Shareholder Proposal.</w:t>
            </w:r>
          </w:p>
        </w:tc>
        <w:tc>
          <w:tcPr>
            <w:tcW w:w="191" w:type="dxa"/>
            <w:tcBorders/>
            <w:shd w:fill="auto" w:val="clear"/>
            <w:tcMar>
              <w:top w:w="28" w:type="dxa"/>
              <w:left w:w="28" w:type="dxa"/>
              <w:bottom w:w="28" w:type="dxa"/>
              <w:right w:w="28" w:type="dxa"/>
            </w:tcMar>
            <w:vAlign w:val="center"/>
          </w:tcPr>
          <w:p>
            <w:pPr>
              <w:pStyle w:val="TableContents"/>
              <w:spacing w:before="0" w:after="283"/>
              <w:jc w:val="right"/>
              <w:rPr/>
            </w:pPr>
            <w:r>
              <w:rPr/>
              <w:t> </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16"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48" descr=""/>
                          <pic:cNvPicPr>
                            <a:picLocks noChangeAspect="1" noChangeArrowheads="1"/>
                          </pic:cNvPicPr>
                        </pic:nvPicPr>
                        <pic:blipFill>
                          <a:blip r:embed="rId249"/>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106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The following shareholder proposal has been submitted to the Company for action at the 2023 Annual Meeting by Boston Common Asset Management, on behalf of Boston Common ESG Impact US Equity Fund (“Boston Common”), a shareholder representing that Boston Common beneficially owned continuously for at least one year shares of the Company’s common stock worth at least $25,000, along with co-filers. The Company is not responsible for any inaccuracies this shareholder proposal may contain. As explained below, the board of directors unanimously recommends a vote AGAINST this proposal. The text of the proposal follows:</w:t>
      </w:r>
    </w:p>
    <w:p>
      <w:pPr>
        <w:pStyle w:val="TextBody"/>
        <w:pBdr/>
        <w:spacing w:before="0" w:after="210"/>
        <w:ind w:left="660" w:right="0" w:hanging="0"/>
        <w:rPr>
          <w:rFonts w:ascii="Arial" w:hAnsi="Arial"/>
          <w:color w:val="000000"/>
          <w:sz w:val="21"/>
        </w:rPr>
      </w:pPr>
      <w:r>
        <w:rPr>
          <w:rFonts w:ascii="Arial" w:hAnsi="Arial"/>
          <w:b/>
          <w:color w:val="000000"/>
          <w:sz w:val="21"/>
        </w:rPr>
        <w:t>RESOLVED</w:t>
      </w:r>
      <w:r>
        <w:rPr>
          <w:rFonts w:ascii="Arial" w:hAnsi="Arial"/>
          <w:color w:val="000000"/>
          <w:sz w:val="21"/>
        </w:rPr>
        <w:t>, that shareholders of Regeneron Pharmaceuticals Inc. (“Regeneron”) ask the Board of Directors to establish and report on a process by which the impact of extended patent exclusivities on product access would be considered in deciding whether to apply for secondary and tertiary patents. Secondary and tertiary patents are patents applied for after the main active ingredient/molecule patent(s) and which relate to the product. The report on the process should be prepared at reasonable cost, omitting confidential and proprietary information, and published on Regeneron’s website.</w:t>
      </w:r>
    </w:p>
    <w:p>
      <w:pPr>
        <w:pStyle w:val="TextBody"/>
        <w:pBdr/>
        <w:spacing w:before="0" w:after="210"/>
        <w:ind w:left="0" w:right="0" w:hanging="0"/>
        <w:jc w:val="left"/>
        <w:rPr>
          <w:rFonts w:ascii="Arial" w:hAnsi="Arial"/>
          <w:b/>
          <w:i/>
          <w:color w:val="000000"/>
          <w:sz w:val="21"/>
        </w:rPr>
      </w:pPr>
      <w:r>
        <w:rPr>
          <w:rFonts w:ascii="Arial" w:hAnsi="Arial"/>
          <w:b/>
          <w:i/>
          <w:color w:val="000000"/>
          <w:sz w:val="21"/>
        </w:rPr>
        <w:t>Supporting Statement</w:t>
      </w:r>
    </w:p>
    <w:p>
      <w:pPr>
        <w:pStyle w:val="TextBody"/>
        <w:pBdr/>
        <w:spacing w:before="0" w:after="210"/>
        <w:ind w:left="0" w:right="0" w:hanging="0"/>
        <w:jc w:val="left"/>
        <w:rPr>
          <w:rFonts w:ascii="Arial" w:hAnsi="Arial"/>
          <w:color w:val="000000"/>
          <w:sz w:val="21"/>
        </w:rPr>
      </w:pPr>
      <w:r>
        <w:rPr>
          <w:rFonts w:ascii="Arial" w:hAnsi="Arial"/>
          <w:color w:val="000000"/>
          <w:sz w:val="21"/>
        </w:rPr>
        <w:t>Access to medicines, especially costly specialty drugs, is the subject of consistent and widespread public debate in the U.S. A 2021 Rand Corporation analysis concluded that U.S. prices for branded drugs were nearly 3.5 times higher than prices in 32 OECD member countries.</w:t>
      </w:r>
      <w:r>
        <w:rPr>
          <w:rFonts w:ascii="Arial" w:hAnsi="Arial"/>
          <w:color w:val="000000"/>
          <w:sz w:val="12"/>
        </w:rPr>
        <w:t>1</w:t>
      </w:r>
      <w:r>
        <w:rPr>
          <w:rFonts w:ascii="Arial" w:hAnsi="Arial"/>
          <w:color w:val="000000"/>
          <w:sz w:val="21"/>
        </w:rPr>
        <w:t xml:space="preserve"> The Kaiser Family Foundation has “consistently found prescription drug costs to be an important health policy area of public interest and public concern.”</w:t>
      </w:r>
      <w:r>
        <w:rPr>
          <w:rFonts w:ascii="Arial" w:hAnsi="Arial"/>
          <w:color w:val="000000"/>
          <w:sz w:val="12"/>
        </w:rPr>
        <w:t>2</w:t>
      </w:r>
      <w:r>
        <w:rPr>
          <w:rFonts w:ascii="Arial" w:hAnsi="Arial"/>
          <w:color w:val="000000"/>
          <w:sz w:val="21"/>
        </w:rPr>
        <w:t xml:space="preserve"> </w:t>
      </w:r>
    </w:p>
    <w:p>
      <w:pPr>
        <w:pStyle w:val="TextBody"/>
        <w:pBdr/>
        <w:spacing w:before="0" w:after="210"/>
        <w:ind w:left="0" w:right="0" w:hanging="0"/>
        <w:rPr>
          <w:rFonts w:ascii="Arial" w:hAnsi="Arial"/>
          <w:color w:val="000000"/>
          <w:sz w:val="21"/>
        </w:rPr>
      </w:pPr>
      <w:r>
        <w:rPr>
          <w:rFonts w:ascii="Arial" w:hAnsi="Arial"/>
          <w:color w:val="000000"/>
          <w:sz w:val="21"/>
        </w:rPr>
        <w:t>This high level of concern has driven policy responses. The Inflation Reduction Act empowers the federal government to negotiate some drug prices.</w:t>
      </w:r>
      <w:r>
        <w:rPr>
          <w:rFonts w:ascii="Arial" w:hAnsi="Arial"/>
          <w:color w:val="000000"/>
          <w:sz w:val="12"/>
        </w:rPr>
        <w:t>3</w:t>
      </w:r>
      <w:r>
        <w:rPr>
          <w:rFonts w:ascii="Arial" w:hAnsi="Arial"/>
          <w:color w:val="000000"/>
          <w:sz w:val="21"/>
        </w:rPr>
        <w:t xml:space="preserve"> State measures, including drug price transparency legislation and Medicaid purchasing programs, have also been adopted.</w:t>
      </w:r>
      <w:r>
        <w:rPr>
          <w:rFonts w:ascii="Arial" w:hAnsi="Arial"/>
          <w:color w:val="000000"/>
          <w:sz w:val="12"/>
        </w:rPr>
        <w:t>4</w:t>
      </w:r>
      <w:r>
        <w:rPr>
          <w:rFonts w:ascii="Arial" w:hAnsi="Arial"/>
          <w:color w:val="000000"/>
          <w:sz w:val="21"/>
        </w:rPr>
        <w:t xml:space="preserve"> The House Committee on Oversight and Reform (the “Committee”) launched an investigation into drug pricing in January 2019.</w:t>
      </w:r>
      <w:r>
        <w:rPr>
          <w:rFonts w:ascii="Arial" w:hAnsi="Arial"/>
          <w:color w:val="000000"/>
          <w:sz w:val="12"/>
        </w:rPr>
        <w:t>5</w:t>
      </w:r>
      <w:r>
        <w:rPr>
          <w:rFonts w:ascii="Arial" w:hAnsi="Arial"/>
          <w:color w:val="000000"/>
          <w:sz w:val="21"/>
        </w:rPr>
        <w:t xml:space="preserve"> </w:t>
      </w:r>
    </w:p>
    <w:p>
      <w:pPr>
        <w:pStyle w:val="TextBody"/>
        <w:pBdr/>
        <w:spacing w:before="0" w:after="210"/>
        <w:ind w:left="0" w:right="0" w:hanging="0"/>
        <w:rPr>
          <w:rFonts w:ascii="Arial" w:hAnsi="Arial"/>
          <w:color w:val="000000"/>
          <w:sz w:val="21"/>
        </w:rPr>
      </w:pPr>
      <w:r>
        <w:rPr>
          <w:rFonts w:ascii="Arial" w:hAnsi="Arial"/>
          <w:color w:val="000000"/>
          <w:sz w:val="21"/>
        </w:rPr>
        <w:t xml:space="preserve">Intellectual property protections on branded drugs play an important role in maintaining high prices and impeding access. When a drug’s patent protection ends, generic manufacturers can enter the market, reducing prices. But branded drug manufacturers may try to delay competition by extending their exclusivity periods. </w:t>
      </w:r>
    </w:p>
    <w:p>
      <w:pPr>
        <w:pStyle w:val="TextBody"/>
        <w:pBdr/>
        <w:spacing w:before="0" w:after="210"/>
        <w:ind w:left="0" w:right="0" w:hanging="0"/>
        <w:rPr>
          <w:rFonts w:ascii="Arial" w:hAnsi="Arial"/>
          <w:color w:val="000000"/>
          <w:sz w:val="21"/>
        </w:rPr>
      </w:pPr>
      <w:r>
        <w:rPr>
          <w:rFonts w:ascii="Arial" w:hAnsi="Arial"/>
          <w:color w:val="000000"/>
          <w:sz w:val="21"/>
        </w:rPr>
        <w:t>Among the abuses described by the Committee’s December 2021 report is construction of a “patent thicket,” which consists of many “secondary patents covering the formulations, dosing, or methods of using, administering, or manufacturing a drug” granted after the drug’s primary patent, covering its main active ingredient or molecule, has been granted.</w:t>
      </w:r>
      <w:r>
        <w:rPr>
          <w:rFonts w:ascii="Arial" w:hAnsi="Arial"/>
          <w:color w:val="000000"/>
          <w:sz w:val="12"/>
        </w:rPr>
        <w:t>6</w:t>
      </w:r>
      <w:r>
        <w:rPr>
          <w:rFonts w:ascii="Arial" w:hAnsi="Arial"/>
          <w:color w:val="000000"/>
          <w:sz w:val="21"/>
        </w:rPr>
        <w:t xml:space="preserve"> The U.S. Patent and Trademark Office, partly in response to a letter from six U.S. Senators requesting measures to address patent thickets,</w:t>
      </w:r>
      <w:r>
        <w:rPr>
          <w:rFonts w:ascii="Arial" w:hAnsi="Arial"/>
          <w:color w:val="000000"/>
          <w:sz w:val="12"/>
        </w:rPr>
        <w:t>7</w:t>
      </w:r>
      <w:r>
        <w:rPr>
          <w:rFonts w:ascii="Arial" w:hAnsi="Arial"/>
          <w:color w:val="000000"/>
          <w:sz w:val="21"/>
        </w:rPr>
        <w:t xml:space="preserve"> recently issued a request for public comment on initiatives to “adequately protect[ ] innovation while not unnecessarily delaying generic and biosimilar competition.”</w:t>
      </w:r>
      <w:r>
        <w:rPr>
          <w:rFonts w:ascii="Arial" w:hAnsi="Arial"/>
          <w:color w:val="000000"/>
          <w:sz w:val="12"/>
        </w:rPr>
        <w:t>8</w:t>
      </w:r>
    </w:p>
    <w:p>
      <w:pPr>
        <w:pStyle w:val="TextBody"/>
        <w:pBdr/>
        <w:spacing w:before="0" w:after="210"/>
        <w:ind w:left="0" w:right="0" w:hanging="0"/>
        <w:rPr>
          <w:rFonts w:ascii="Arial" w:hAnsi="Arial"/>
          <w:color w:val="000000"/>
          <w:sz w:val="21"/>
        </w:rPr>
      </w:pPr>
      <w:r>
        <w:rPr>
          <w:rFonts w:ascii="Arial" w:hAnsi="Arial"/>
          <w:color w:val="000000"/>
          <w:sz w:val="21"/>
        </w:rPr>
        <w:t>Regeneron markets Eylea, which treats eye disorders. According to I-MAK, of the 135 patent applications filed on Eylea, 65% were filed after the drug was approved by the Food and Drug Administration.</w:t>
      </w:r>
      <w:r>
        <w:rPr>
          <w:rFonts w:ascii="Arial" w:hAnsi="Arial"/>
          <w:color w:val="000000"/>
          <w:sz w:val="12"/>
        </w:rPr>
        <w:t>9</w:t>
      </w:r>
      <w:r>
        <w:rPr>
          <w:rFonts w:ascii="Arial" w:hAnsi="Arial"/>
          <w:color w:val="000000"/>
          <w:sz w:val="21"/>
        </w:rPr>
        <w:t xml:space="preserve"> According to I-MAK, such post-approval filings “indicat[e] an attempt to prolong existing exclusivity.”</w:t>
      </w:r>
      <w:r>
        <w:rPr>
          <w:rFonts w:ascii="Arial" w:hAnsi="Arial"/>
          <w:color w:val="000000"/>
          <w:sz w:val="12"/>
        </w:rPr>
        <w:t>10</w:t>
      </w:r>
      <w:r>
        <w:rPr>
          <w:rFonts w:ascii="Arial" w:hAnsi="Arial"/>
          <w:color w:val="000000"/>
          <w:sz w:val="21"/>
        </w:rPr>
        <w:t xml:space="preserve"> </w:t>
      </w:r>
    </w:p>
    <w:p>
      <w:pPr>
        <w:pStyle w:val="TextBody"/>
        <w:pBdr/>
        <w:spacing w:before="0" w:after="210"/>
        <w:ind w:left="0" w:right="0" w:hanging="0"/>
        <w:rPr>
          <w:rFonts w:ascii="Arial" w:hAnsi="Arial"/>
          <w:color w:val="000000"/>
          <w:sz w:val="21"/>
        </w:rPr>
      </w:pPr>
      <w:r>
        <w:rPr>
          <w:rFonts w:ascii="Arial" w:hAnsi="Arial"/>
          <w:color w:val="000000"/>
          <w:sz w:val="21"/>
        </w:rPr>
        <w:t>In our view, a process that considers the impact of extended exclusivity periods on patient access would ensure that Regeneron considers not only whether it can apply for secondary and tertiary patents but also whether it should do so. Regeneron’s current approach subjects the company to reputational risks and potential regulatory blowback resulting from high drug prices and perceptions regarding abusive patenting practices.</w:t>
      </w:r>
    </w:p>
    <w:p>
      <w:pPr>
        <w:pStyle w:val="TextBody"/>
        <w:pBdr/>
        <w:spacing w:before="0" w:after="210"/>
        <w:ind w:left="0" w:right="0" w:hanging="0"/>
        <w:rPr>
          <w:color w:val="000000"/>
        </w:rPr>
      </w:pPr>
      <w:r>
        <w:rPr>
          <w:color w:val="000000"/>
        </w:rPr>
        <w:t> </w:t>
      </w:r>
    </w:p>
    <w:tbl>
      <w:tblPr>
        <w:tblW w:w="3815" w:type="dxa"/>
        <w:jc w:val="left"/>
        <w:tblInd w:w="0" w:type="dxa"/>
        <w:tblCellMar>
          <w:top w:w="0" w:type="dxa"/>
          <w:left w:w="0" w:type="dxa"/>
          <w:bottom w:w="0" w:type="dxa"/>
          <w:right w:w="0" w:type="dxa"/>
        </w:tblCellMar>
      </w:tblPr>
      <w:tblGrid>
        <w:gridCol w:w="3815"/>
      </w:tblGrid>
      <w:tr>
        <w:trPr/>
        <w:tc>
          <w:tcPr>
            <w:tcW w:w="381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w:t>
            </w:r>
          </w:p>
          <w:p>
            <w:pPr>
              <w:pStyle w:val="TableContents"/>
              <w:pBdr/>
              <w:spacing w:before="0" w:after="0"/>
              <w:ind w:left="0" w:right="30" w:hanging="0"/>
              <w:rPr>
                <w:rFonts w:ascii="Arial" w:hAnsi="Arial"/>
                <w:color w:val="000000"/>
                <w:sz w:val="20"/>
              </w:rPr>
            </w:pPr>
            <w:r>
              <w:rPr>
                <w:rFonts w:ascii="Arial" w:hAnsi="Arial"/>
                <w:color w:val="000000"/>
                <w:sz w:val="20"/>
              </w:rPr>
              <w:t xml:space="preserve">www.rand.org/news/press/2021/01/28.html </w:t>
            </w:r>
          </w:p>
        </w:tc>
      </w:tr>
    </w:tbl>
    <w:tbl>
      <w:tblPr>
        <w:tblW w:w="7850" w:type="dxa"/>
        <w:jc w:val="left"/>
        <w:tblInd w:w="0" w:type="dxa"/>
        <w:tblCellMar>
          <w:top w:w="0" w:type="dxa"/>
          <w:left w:w="0" w:type="dxa"/>
          <w:bottom w:w="0" w:type="dxa"/>
          <w:right w:w="0" w:type="dxa"/>
        </w:tblCellMar>
      </w:tblPr>
      <w:tblGrid>
        <w:gridCol w:w="7850"/>
      </w:tblGrid>
      <w:tr>
        <w:trPr/>
        <w:tc>
          <w:tcPr>
            <w:tcW w:w="7850"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2</w:t>
            </w:r>
          </w:p>
          <w:p>
            <w:pPr>
              <w:pStyle w:val="TableContents"/>
              <w:pBdr/>
              <w:spacing w:before="0" w:after="0"/>
              <w:ind w:left="0" w:right="30" w:hanging="0"/>
              <w:rPr>
                <w:rFonts w:ascii="Arial" w:hAnsi="Arial"/>
                <w:color w:val="000000"/>
                <w:sz w:val="20"/>
              </w:rPr>
            </w:pPr>
            <w:r>
              <w:rPr>
                <w:rFonts w:ascii="Arial" w:hAnsi="Arial"/>
                <w:color w:val="000000"/>
                <w:sz w:val="20"/>
              </w:rPr>
              <w:t xml:space="preserve">www.kff.org/health-costs/poll-finding/public-opinion-on-prescription-drugs-and-their-prices/ </w:t>
            </w:r>
          </w:p>
        </w:tc>
      </w:tr>
    </w:tbl>
    <w:tbl>
      <w:tblPr>
        <w:tblW w:w="9200" w:type="dxa"/>
        <w:jc w:val="left"/>
        <w:tblInd w:w="0" w:type="dxa"/>
        <w:tblCellMar>
          <w:top w:w="0" w:type="dxa"/>
          <w:left w:w="0" w:type="dxa"/>
          <w:bottom w:w="0" w:type="dxa"/>
          <w:right w:w="0" w:type="dxa"/>
        </w:tblCellMar>
      </w:tblPr>
      <w:tblGrid>
        <w:gridCol w:w="9200"/>
      </w:tblGrid>
      <w:tr>
        <w:trPr/>
        <w:tc>
          <w:tcPr>
            <w:tcW w:w="9200"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3</w:t>
            </w:r>
          </w:p>
          <w:p>
            <w:pPr>
              <w:pStyle w:val="TableContents"/>
              <w:pBdr/>
              <w:spacing w:before="0" w:after="0"/>
              <w:ind w:left="0" w:right="30" w:hanging="0"/>
              <w:rPr>
                <w:rFonts w:ascii="Arial" w:hAnsi="Arial"/>
                <w:color w:val="000000"/>
                <w:sz w:val="20"/>
              </w:rPr>
            </w:pPr>
            <w:r>
              <w:rPr>
                <w:rFonts w:ascii="Arial" w:hAnsi="Arial"/>
                <w:color w:val="000000"/>
                <w:sz w:val="20"/>
              </w:rPr>
              <w:t xml:space="preserve">www.kff.org/medicare/issue-brief/explaining-the-prescription-drug-provisions-in-the-inflation-reduction-act/ </w:t>
            </w:r>
          </w:p>
        </w:tc>
      </w:tr>
    </w:tbl>
    <w:tbl>
      <w:tblPr>
        <w:tblW w:w="10010" w:type="dxa"/>
        <w:jc w:val="left"/>
        <w:tblInd w:w="0" w:type="dxa"/>
        <w:tblCellMar>
          <w:top w:w="0" w:type="dxa"/>
          <w:left w:w="0" w:type="dxa"/>
          <w:bottom w:w="0" w:type="dxa"/>
          <w:right w:w="0" w:type="dxa"/>
        </w:tblCellMar>
      </w:tblPr>
      <w:tblGrid>
        <w:gridCol w:w="10010"/>
      </w:tblGrid>
      <w:tr>
        <w:trPr/>
        <w:tc>
          <w:tcPr>
            <w:tcW w:w="10010"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4</w:t>
            </w:r>
          </w:p>
          <w:p>
            <w:pPr>
              <w:pStyle w:val="TableContents"/>
              <w:pBdr/>
              <w:spacing w:before="0" w:after="0"/>
              <w:ind w:left="0" w:right="30" w:hanging="0"/>
              <w:rPr>
                <w:rFonts w:ascii="Arial" w:hAnsi="Arial"/>
                <w:color w:val="000000"/>
                <w:sz w:val="20"/>
              </w:rPr>
            </w:pPr>
            <w:r>
              <w:rPr>
                <w:rFonts w:ascii="Arial" w:hAnsi="Arial"/>
                <w:color w:val="000000"/>
                <w:sz w:val="20"/>
              </w:rPr>
              <w:t xml:space="preserve">www.americanprogress.org/article/state-policies-to-address-prescription-drug-affordability-across-the-supply-chain/ </w:t>
            </w:r>
          </w:p>
        </w:tc>
      </w:tr>
    </w:tbl>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5</w:t>
            </w:r>
          </w:p>
          <w:p>
            <w:pPr>
              <w:pStyle w:val="TableContents"/>
              <w:pBdr/>
              <w:spacing w:before="0" w:after="0"/>
              <w:ind w:left="0" w:right="30" w:hanging="0"/>
              <w:rPr>
                <w:rFonts w:ascii="Arial" w:hAnsi="Arial"/>
                <w:color w:val="000000"/>
                <w:sz w:val="20"/>
              </w:rPr>
            </w:pPr>
            <w:r>
              <w:rPr>
                <w:rFonts w:ascii="Arial" w:hAnsi="Arial"/>
                <w:color w:val="000000"/>
                <w:sz w:val="20"/>
              </w:rPr>
              <w:t xml:space="preserve">oversight.house.gov/sites/democrats.oversight.house.gov/files/DRUG%20PRICING%20REPORT%20WITH%20APPENDIX%20v3.pdf, at i. </w:t>
            </w:r>
          </w:p>
        </w:tc>
      </w:tr>
    </w:tbl>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6</w:t>
            </w:r>
          </w:p>
          <w:p>
            <w:pPr>
              <w:pStyle w:val="TableContents"/>
              <w:pBdr/>
              <w:spacing w:before="0" w:after="0"/>
              <w:ind w:left="0" w:right="30" w:hanging="0"/>
              <w:rPr>
                <w:rFonts w:ascii="Arial" w:hAnsi="Arial"/>
                <w:color w:val="000000"/>
                <w:sz w:val="20"/>
              </w:rPr>
            </w:pPr>
            <w:r>
              <w:rPr>
                <w:rFonts w:ascii="Arial" w:hAnsi="Arial"/>
                <w:color w:val="000000"/>
                <w:sz w:val="20"/>
              </w:rPr>
              <w:t xml:space="preserve">oversight.house.gov/sites/democrats.oversight.house.gov/files/DRUG%20PRICING%20REPORT%20WITH%20APPENDIX%20v3.pdf, at 79. </w:t>
            </w:r>
          </w:p>
        </w:tc>
      </w:tr>
    </w:tbl>
    <w:tbl>
      <w:tblPr>
        <w:tblW w:w="9710" w:type="dxa"/>
        <w:jc w:val="left"/>
        <w:tblInd w:w="0" w:type="dxa"/>
        <w:tblCellMar>
          <w:top w:w="0" w:type="dxa"/>
          <w:left w:w="0" w:type="dxa"/>
          <w:bottom w:w="0" w:type="dxa"/>
          <w:right w:w="0" w:type="dxa"/>
        </w:tblCellMar>
      </w:tblPr>
      <w:tblGrid>
        <w:gridCol w:w="9710"/>
      </w:tblGrid>
      <w:tr>
        <w:trPr/>
        <w:tc>
          <w:tcPr>
            <w:tcW w:w="9710"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7</w:t>
            </w:r>
          </w:p>
          <w:p>
            <w:pPr>
              <w:pStyle w:val="TableContents"/>
              <w:pBdr/>
              <w:spacing w:before="0" w:after="0"/>
              <w:ind w:left="0" w:right="30" w:hanging="0"/>
              <w:rPr>
                <w:rFonts w:ascii="Arial" w:hAnsi="Arial"/>
                <w:color w:val="000000"/>
                <w:sz w:val="20"/>
              </w:rPr>
            </w:pPr>
            <w:r>
              <w:rPr>
                <w:rFonts w:ascii="Arial" w:hAnsi="Arial"/>
                <w:color w:val="000000"/>
                <w:sz w:val="20"/>
              </w:rPr>
              <w:t xml:space="preserve">www.leahy.senate.gov/imo/media/doc/20220608%20Letter%20to%20PTO%20on%20repetitive%20patents.pdf </w:t>
            </w:r>
          </w:p>
        </w:tc>
      </w:tr>
    </w:tbl>
    <w:tbl>
      <w:tblPr>
        <w:tblW w:w="5750" w:type="dxa"/>
        <w:jc w:val="left"/>
        <w:tblInd w:w="0" w:type="dxa"/>
        <w:tblCellMar>
          <w:top w:w="0" w:type="dxa"/>
          <w:left w:w="0" w:type="dxa"/>
          <w:bottom w:w="0" w:type="dxa"/>
          <w:right w:w="0" w:type="dxa"/>
        </w:tblCellMar>
      </w:tblPr>
      <w:tblGrid>
        <w:gridCol w:w="5750"/>
      </w:tblGrid>
      <w:tr>
        <w:trPr/>
        <w:tc>
          <w:tcPr>
            <w:tcW w:w="5750"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8</w:t>
            </w:r>
          </w:p>
          <w:p>
            <w:pPr>
              <w:pStyle w:val="TableContents"/>
              <w:pBdr/>
              <w:spacing w:before="0" w:after="0"/>
              <w:ind w:left="0" w:right="30" w:hanging="0"/>
              <w:rPr>
                <w:rFonts w:ascii="Arial" w:hAnsi="Arial"/>
                <w:color w:val="000000"/>
                <w:sz w:val="20"/>
              </w:rPr>
            </w:pPr>
            <w:r>
              <w:rPr>
                <w:rFonts w:ascii="Arial" w:hAnsi="Arial"/>
                <w:color w:val="000000"/>
                <w:sz w:val="20"/>
              </w:rPr>
              <w:t xml:space="preserve">www.govinfo.gov/content/pkg/FR-2022-10-04/pdf/2022-21481.pdf </w:t>
            </w:r>
          </w:p>
        </w:tc>
      </w:tr>
    </w:tbl>
    <w:tbl>
      <w:tblPr>
        <w:tblW w:w="8015" w:type="dxa"/>
        <w:jc w:val="left"/>
        <w:tblInd w:w="0" w:type="dxa"/>
        <w:tblCellMar>
          <w:top w:w="0" w:type="dxa"/>
          <w:left w:w="0" w:type="dxa"/>
          <w:bottom w:w="0" w:type="dxa"/>
          <w:right w:w="0" w:type="dxa"/>
        </w:tblCellMar>
      </w:tblPr>
      <w:tblGrid>
        <w:gridCol w:w="8015"/>
      </w:tblGrid>
      <w:tr>
        <w:trPr/>
        <w:tc>
          <w:tcPr>
            <w:tcW w:w="801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9</w:t>
            </w:r>
          </w:p>
          <w:p>
            <w:pPr>
              <w:pStyle w:val="TableContents"/>
              <w:pBdr/>
              <w:spacing w:before="0" w:after="0"/>
              <w:ind w:left="0" w:right="30" w:hanging="0"/>
              <w:rPr>
                <w:rFonts w:ascii="Arial" w:hAnsi="Arial"/>
                <w:color w:val="000000"/>
                <w:sz w:val="20"/>
              </w:rPr>
            </w:pPr>
            <w:r>
              <w:rPr>
                <w:rFonts w:ascii="Arial" w:hAnsi="Arial"/>
                <w:color w:val="000000"/>
                <w:sz w:val="20"/>
              </w:rPr>
              <w:t>www.i-mak.org/wp-content/uploads/2022/09/Overpatented-Overpriced-2022-FINAL.pdf, at 6.</w:t>
            </w:r>
          </w:p>
        </w:tc>
      </w:tr>
    </w:tbl>
    <w:tbl>
      <w:tblPr>
        <w:tblW w:w="8015" w:type="dxa"/>
        <w:jc w:val="left"/>
        <w:tblInd w:w="0" w:type="dxa"/>
        <w:tblCellMar>
          <w:top w:w="0" w:type="dxa"/>
          <w:left w:w="0" w:type="dxa"/>
          <w:bottom w:w="0" w:type="dxa"/>
          <w:right w:w="0" w:type="dxa"/>
        </w:tblCellMar>
      </w:tblPr>
      <w:tblGrid>
        <w:gridCol w:w="8015"/>
      </w:tblGrid>
      <w:tr>
        <w:trPr/>
        <w:tc>
          <w:tcPr>
            <w:tcW w:w="8015" w:type="dxa"/>
            <w:tcBorders/>
            <w:shd w:fill="auto" w:val="clear"/>
            <w:vAlign w:val="center"/>
          </w:tcPr>
          <w:p>
            <w:pPr>
              <w:pStyle w:val="TableContents"/>
              <w:spacing w:before="0" w:after="0"/>
              <w:ind w:left="0" w:right="30" w:hanging="0"/>
              <w:rPr>
                <w:rFonts w:ascii="Arial" w:hAnsi="Arial"/>
                <w:color w:val="245BA7"/>
                <w:sz w:val="20"/>
              </w:rPr>
            </w:pPr>
            <w:r>
              <w:rPr>
                <w:rFonts w:ascii="Arial" w:hAnsi="Arial"/>
                <w:color w:val="245BA7"/>
                <w:sz w:val="20"/>
              </w:rPr>
              <w:t>10</w:t>
            </w:r>
          </w:p>
          <w:p>
            <w:pPr>
              <w:pStyle w:val="TableContents"/>
              <w:pBdr/>
              <w:spacing w:before="0" w:after="0"/>
              <w:ind w:left="0" w:right="30" w:hanging="0"/>
              <w:rPr>
                <w:rFonts w:ascii="Arial" w:hAnsi="Arial"/>
                <w:color w:val="000000"/>
                <w:sz w:val="20"/>
              </w:rPr>
            </w:pPr>
            <w:r>
              <w:rPr>
                <w:rFonts w:ascii="Arial" w:hAnsi="Arial"/>
                <w:color w:val="000000"/>
                <w:sz w:val="20"/>
              </w:rPr>
              <w:t>www.i-mak.org/wp-content/uploads/2022/09/Overpatented-Overpriced-2022-FINAL.pdf, at 6.</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17"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49" descr=""/>
                          <pic:cNvPicPr>
                            <a:picLocks noChangeAspect="1" noChangeArrowheads="1"/>
                          </pic:cNvPicPr>
                        </pic:nvPicPr>
                        <pic:blipFill>
                          <a:blip r:embed="rId250"/>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107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b/>
          <w:i/>
          <w:color w:val="000000"/>
          <w:sz w:val="21"/>
        </w:rPr>
      </w:pPr>
      <w:r>
        <w:rPr>
          <w:rFonts w:ascii="Arial" w:hAnsi="Arial"/>
          <w:b/>
          <w:i/>
          <w:color w:val="000000"/>
          <w:sz w:val="21"/>
        </w:rPr>
        <w:t>Management’s Statement in Opposition</w:t>
      </w:r>
    </w:p>
    <w:p>
      <w:pPr>
        <w:pStyle w:val="TextBody"/>
        <w:pBdr/>
        <w:spacing w:before="0" w:after="210"/>
        <w:ind w:left="0" w:right="0" w:hanging="0"/>
        <w:rPr>
          <w:rFonts w:ascii="Arial" w:hAnsi="Arial"/>
          <w:color w:val="000000"/>
          <w:sz w:val="21"/>
        </w:rPr>
      </w:pPr>
      <w:r>
        <w:rPr>
          <w:rFonts w:ascii="Arial" w:hAnsi="Arial"/>
          <w:color w:val="000000"/>
          <w:sz w:val="21"/>
        </w:rPr>
        <w:t>We believe that the report requested by the proposal is unnecessary and against the interest of our company and shareholders. After careful consideration, the board of directors unanimously recommends that shareholders vote AGAINST this shareholder proposal. The reasons for the board’s recommendation include the following:</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i/>
          <w:color w:val="000000"/>
          <w:sz w:val="21"/>
        </w:rPr>
        <w:t>Patent protection facilitates continued innovation and enables our mission of bringing important new medicines to patients</w:t>
      </w:r>
      <w:r>
        <w:rPr>
          <w:rFonts w:ascii="Arial" w:hAnsi="Arial"/>
          <w:color w:val="000000"/>
          <w:sz w:val="21"/>
        </w:rPr>
        <w:t>.</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For the last 35 years, Regeneron has generated a robust pipeline of diverse product candidates designed to address unmet patient needs. We protect intellectual property (“IP”) rights in our innovations and discoveries to facilitate continued innovation, protect patients, and promote collaboration. </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Bringing a single successful product to market, particularly a biological product, can cost billions of dollars and take many years to discover, test, validate, and get approved. By protecting our IP, we prevent others from inappropriately benefiting from our hard work and investment, thereby protecting shareholder interests. </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Patent protection also helps ensure patients receive authentic, safe, and effective treatments by preventing others from making substandard copies or counterfeits of our medicines. Patent protection is also foundational to promoting global collaborations (including by allowing the free sharing of information without fear of misappropriation), allowing us to share our ideas and advancements with the objective of spurring additional innovations.</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At Regeneron, innovation often does not stop at the initial approval of a product. For instance, we typically continue to make significant R&amp;D investments relating to additional indications and applications for our products (such as conducting new clinical studies in potential additional indications). By way of example, since its initial approval by the U.S. Food and Drug Administration (“FDA”) in wet AMD in November 2011, EYLEA has been approved for the treatment of several additional indications in the United States and other jurisdictions. Similarly, Dupixent has been approved to treat a range of diseases following the initial FDA approval in atopic dermatitis, including asthma, chronic rhinosinusitis with nasal polyposis, and eosinophilic esophagitis; and in our oncology portfolio, we are combining our foundational product Libtayo (which has now received FDA approval in three distinct indications) with other product candidates in our development pipeline to investigate new therapeutic approaches in difficult-to-treat cancers. These and other efforts require us to continue to take innovative steps with respect to our commercialized products that, if successful, ultimately benefit patients.</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i/>
          <w:color w:val="000000"/>
          <w:sz w:val="21"/>
        </w:rPr>
        <w:t>Since our founding, we have been responsible when it comes to pricing our medicines. We have publicly recognized our responsibility to set fair, value-based prices for our medicines and break down barriers to patient access and already publicly disclose our pricing philosophy</w:t>
      </w:r>
      <w:r>
        <w:rPr>
          <w:rFonts w:ascii="Arial" w:hAnsi="Arial"/>
          <w:color w:val="000000"/>
          <w:sz w:val="21"/>
        </w:rPr>
        <w:t>.</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Our pricing philosophy outlines our approach to pricing, with fairness, affordability, and access at the forefront. You can access our pricing philosophy on our website at </w:t>
      </w:r>
      <w:r>
        <w:rPr>
          <w:rFonts w:ascii="Arial" w:hAnsi="Arial"/>
          <w:b/>
          <w:color w:val="000000"/>
          <w:sz w:val="21"/>
        </w:rPr>
        <w:t>www.regeneron.com</w:t>
      </w:r>
      <w:r>
        <w:rPr>
          <w:rFonts w:ascii="Arial" w:hAnsi="Arial"/>
          <w:color w:val="000000"/>
          <w:sz w:val="21"/>
        </w:rPr>
        <w:t xml:space="preserve"> on the “Transparency &amp; Policies” page under the “Responsibility” heading. </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We have been responsible when it comes to pricing our medicines. For example, we have not increased the price of EYLEA since its initial approval in 2011, despite significant ongoing R&amp;D investments as discussed above. </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One of our previously announced 2025 responsibility goals is to set fair, value-based prices for our medicines and break down barriers to patient access. We report our progress towards this and other goals in our annual Responsibility Report. We recognize that the medicines we create are only useful if patients in need can access and afford them. To that end, we are committed to developing pricing approaches that facilitate patient access and foster medical innovation through engagement with our stakeholders. For example, in recent years, we have engaged the U.S. Biomedical Advanced Research and Development Authority (BARDA), public health organizations, non-governmental agencies, and others in our industry to help facilitate access to our COVID-19 treatment in low- and middle-income countries.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18"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50" descr=""/>
                          <pic:cNvPicPr>
                            <a:picLocks noChangeAspect="1" noChangeArrowheads="1"/>
                          </pic:cNvPicPr>
                        </pic:nvPicPr>
                        <pic:blipFill>
                          <a:blip r:embed="rId251"/>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108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We help make our products more accessible through our product support and other programs. These programs, for example, help healthcare providers and patients navigate health insurance plans and offer co-pay support to eligible commercial patients. We also provide patient assistance programs that are designed to increase access to medicine and provide education on using medicines safely and appropriately. Our programs help eligible patients throughout their treatment journey with insurance eligibility support, patient resources, financial assistance, and access to free medicine. </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In 2022, we provided financial support to 900,000 patients, including $850 million in commercial co-payments paid by Regeneron to help eligible commercially insured patients with their out-of-pocket costs. We also continued to provide free medicine to eligible patients who do not have insurance or cannot afford the cost of the drug. In 2022, Regeneron’s Patient Assistance Programs provided free medicine to approximately 60,000 eligible patients, a value of more than $1.5 billion (based on 2022 year-end wholesale acquisition cost).</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i/>
          <w:color w:val="000000"/>
          <w:sz w:val="21"/>
        </w:rPr>
        <w:t>Our board provides robust oversight of risks associated with our strategic plan, drug access, and pricing</w:t>
      </w:r>
      <w:r>
        <w:rPr>
          <w:rFonts w:ascii="Arial" w:hAnsi="Arial"/>
          <w:color w:val="000000"/>
          <w:sz w:val="21"/>
        </w:rPr>
        <w:t>.</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Our board is closely involved in and provides oversight of all key pricing determinations for our products, which we endeavor to make in a thoughtful and well-informed manner with fairness and affordability in mind.</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 xml:space="preserve">The board (directly and/or through one or more of its committees) also considers specific risk topics, including risks associated with our strategic plan and drug access and pricing, as it executes its oversight responsibility for risk management. </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We believe we have the appropriate governance mechanisms and internal processes in place to ensure that pricing decisions are thoroughly and appropriately vetted prior to implementation and are made in line with our values and commitments. This includes management’s routine presentations to the board on drug pricing strategies, practices, and trends as well as developments internal and external to Regeneron that could affect our risk profile.</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i/>
          <w:color w:val="000000"/>
          <w:sz w:val="21"/>
        </w:rPr>
      </w:pPr>
      <w:r>
        <w:rPr>
          <w:rFonts w:ascii="Arial" w:hAnsi="Arial"/>
          <w:i/>
          <w:color w:val="000000"/>
          <w:sz w:val="21"/>
        </w:rPr>
        <w:t>As Regeneron already publicly discloses the Company’s governance and strategy as it relates to drug pricing and IP, requiring Regeneron to prepare a separate report with this information would place an undue administrative burden on the Company without providing meaningful additional information to shareholders.</w:t>
      </w:r>
    </w:p>
    <w:p>
      <w:pPr>
        <w:pStyle w:val="TextBody"/>
        <w:spacing w:before="0" w:after="0"/>
        <w:ind w:left="0" w:right="30" w:hanging="0"/>
        <w:rPr>
          <w:color w:val="245BA7"/>
        </w:rPr>
      </w:pPr>
      <w:r>
        <w:rPr>
          <w:color w:val="245BA7"/>
        </w:rPr>
        <w:t>•</w:t>
      </w:r>
    </w:p>
    <w:p>
      <w:pPr>
        <w:pStyle w:val="TextBody"/>
        <w:pBdr/>
        <w:spacing w:before="0" w:after="0"/>
        <w:ind w:left="0" w:right="30" w:hanging="0"/>
        <w:rPr>
          <w:rFonts w:ascii="Arial" w:hAnsi="Arial"/>
          <w:color w:val="000000"/>
          <w:sz w:val="21"/>
        </w:rPr>
      </w:pPr>
      <w:r>
        <w:rPr>
          <w:rFonts w:ascii="Arial" w:hAnsi="Arial"/>
          <w:color w:val="000000"/>
          <w:sz w:val="21"/>
        </w:rPr>
        <w:t>In addition to relevant disclosures in our proxy statements and Responsibility Reports, Regeneron provides comprehensive information in our annual reports on Form 10-K on our patents and other IP, including a detailed listing of patents that are of particular relevance to key products. This type of disclosure aims to enhance investors’ understanding of Regeneron’s patent portfolio and IP positioning of our products. We do not believe the separate report requested by the proposal would provide meaningful additional information to shareholders to merit the resources required to provide the report.</w:t>
      </w:r>
    </w:p>
    <w:p>
      <w:pPr>
        <w:pStyle w:val="TextBody"/>
        <w:pBdr/>
        <w:spacing w:before="0" w:after="210"/>
        <w:ind w:left="0" w:right="0" w:hanging="0"/>
        <w:rPr>
          <w:color w:val="000000"/>
        </w:rPr>
      </w:pPr>
      <w:r>
        <w:rPr>
          <w:color w:val="000000"/>
        </w:rPr>
        <w:t> </w:t>
      </w:r>
    </w:p>
    <w:tbl>
      <w:tblPr>
        <w:tblW w:w="10205" w:type="dxa"/>
        <w:jc w:val="left"/>
        <w:tblInd w:w="0" w:type="dxa"/>
        <w:tblCellMar>
          <w:top w:w="100" w:type="dxa"/>
          <w:left w:w="200" w:type="dxa"/>
          <w:bottom w:w="100" w:type="dxa"/>
          <w:right w:w="0" w:type="dxa"/>
        </w:tblCellMar>
      </w:tblPr>
      <w:tblGrid>
        <w:gridCol w:w="8690"/>
        <w:gridCol w:w="1515"/>
      </w:tblGrid>
      <w:tr>
        <w:trPr/>
        <w:tc>
          <w:tcPr>
            <w:tcW w:w="8690" w:type="dxa"/>
            <w:tcBorders>
              <w:top w:val="single" w:sz="2" w:space="0" w:color="00ADEE"/>
              <w:left w:val="single" w:sz="2" w:space="0" w:color="00ADEE"/>
              <w:bottom w:val="single" w:sz="2" w:space="0" w:color="00ADEE"/>
            </w:tcBorders>
            <w:shd w:fill="auto" w:val="clear"/>
            <w:vAlign w:val="center"/>
          </w:tcPr>
          <w:p>
            <w:pPr>
              <w:pStyle w:val="TableContents"/>
              <w:spacing w:before="0" w:after="283"/>
              <w:jc w:val="left"/>
              <w:rPr>
                <w:color w:val="245BA7"/>
              </w:rPr>
            </w:pPr>
            <w:r>
              <w:rPr>
                <w:color w:val="245BA7"/>
              </w:rPr>
              <w:t>The board of directors unanimously recommends a vote </w:t>
            </w:r>
            <w:r>
              <w:rPr>
                <w:b/>
                <w:color w:val="245BA7"/>
              </w:rPr>
              <w:t>AGAINST</w:t>
            </w:r>
            <w:r>
              <w:rPr>
                <w:color w:val="245BA7"/>
              </w:rPr>
              <w:t xml:space="preserve"> this shareholder proposal.</w:t>
            </w:r>
          </w:p>
        </w:tc>
        <w:tc>
          <w:tcPr>
            <w:tcW w:w="1515" w:type="dxa"/>
            <w:tcBorders>
              <w:top w:val="single" w:sz="2" w:space="0" w:color="00ADEE"/>
              <w:bottom w:val="single" w:sz="2" w:space="0" w:color="00ADEE"/>
              <w:right w:val="single" w:sz="2" w:space="0" w:color="00ADEE"/>
            </w:tcBorders>
            <w:shd w:fill="auto" w:val="clear"/>
            <w:tcMar>
              <w:left w:w="0" w:type="dxa"/>
              <w:right w:w="200" w:type="dxa"/>
            </w:tcMar>
            <w:vAlign w:val="center"/>
          </w:tcPr>
          <w:p>
            <w:pPr>
              <w:pStyle w:val="TableContents"/>
              <w:spacing w:before="0" w:after="283"/>
              <w:jc w:val="right"/>
              <w:rPr/>
            </w:pPr>
            <w:r>
              <w:rPr/>
              <w:drawing>
                <wp:inline distT="0" distB="0" distL="0" distR="0">
                  <wp:extent cx="952500" cy="1019175"/>
                  <wp:effectExtent l="0" t="0" r="0" b="0"/>
                  <wp:docPr id="319"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51" descr=""/>
                          <pic:cNvPicPr>
                            <a:picLocks noChangeAspect="1" noChangeArrowheads="1"/>
                          </pic:cNvPicPr>
                        </pic:nvPicPr>
                        <pic:blipFill>
                          <a:blip r:embed="rId252"/>
                          <a:stretch>
                            <a:fillRect/>
                          </a:stretch>
                        </pic:blipFill>
                        <pic:spPr bwMode="auto">
                          <a:xfrm>
                            <a:off x="0" y="0"/>
                            <a:ext cx="952500" cy="1019175"/>
                          </a:xfrm>
                          <a:prstGeom prst="rect">
                            <a:avLst/>
                          </a:prstGeom>
                        </pic:spPr>
                      </pic:pic>
                    </a:graphicData>
                  </a:graphic>
                </wp:inline>
              </w:drawing>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20"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52" descr=""/>
                          <pic:cNvPicPr>
                            <a:picLocks noChangeAspect="1" noChangeArrowheads="1"/>
                          </pic:cNvPicPr>
                        </pic:nvPicPr>
                        <pic:blipFill>
                          <a:blip r:embed="rId253"/>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109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jc w:val="left"/>
        <w:rPr/>
      </w:pPr>
      <w:r>
        <w:rPr/>
        <w:drawing>
          <wp:inline distT="0" distB="0" distL="0" distR="0">
            <wp:extent cx="7620000" cy="1552575"/>
            <wp:effectExtent l="0" t="0" r="0" b="0"/>
            <wp:docPr id="321"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53" descr=""/>
                    <pic:cNvPicPr>
                      <a:picLocks noChangeAspect="1" noChangeArrowheads="1"/>
                    </pic:cNvPicPr>
                  </pic:nvPicPr>
                  <pic:blipFill>
                    <a:blip r:embed="rId254"/>
                    <a:stretch>
                      <a:fillRect/>
                    </a:stretch>
                  </pic:blipFill>
                  <pic:spPr bwMode="auto">
                    <a:xfrm>
                      <a:off x="0" y="0"/>
                      <a:ext cx="7620000" cy="1552575"/>
                    </a:xfrm>
                    <a:prstGeom prst="rect">
                      <a:avLst/>
                    </a:prstGeom>
                  </pic:spPr>
                </pic:pic>
              </a:graphicData>
            </a:graphic>
          </wp:inline>
        </w:drawing>
      </w:r>
    </w:p>
    <w:p>
      <w:pPr>
        <w:pStyle w:val="Heading1"/>
        <w:pBdr/>
        <w:spacing w:before="0" w:after="705"/>
        <w:ind w:left="200" w:right="0" w:hanging="0"/>
        <w:jc w:val="left"/>
        <w:rPr>
          <w:rFonts w:ascii="Arial" w:hAnsi="Arial"/>
          <w:b/>
          <w:i w:val="false"/>
          <w:caps w:val="false"/>
          <w:smallCaps w:val="false"/>
          <w:color w:val="FFFFFF"/>
          <w:sz w:val="59"/>
        </w:rPr>
      </w:pPr>
      <w:bookmarkStart w:id="183" w:name="new_id-171"/>
      <w:bookmarkEnd w:id="183"/>
      <w:r>
        <w:rPr>
          <w:rFonts w:ascii="Arial" w:hAnsi="Arial"/>
          <w:b/>
          <w:i w:val="false"/>
          <w:caps w:val="false"/>
          <w:smallCaps w:val="false"/>
          <w:color w:val="FFFFFF"/>
          <w:sz w:val="59"/>
        </w:rPr>
        <w:t xml:space="preserve">GENERAL INFORMATION ABOUT THE MEETING AND OTHER MATTERS </w:t>
      </w:r>
    </w:p>
    <w:p>
      <w:pPr>
        <w:pStyle w:val="Heading4"/>
        <w:pBdr/>
        <w:spacing w:before="300" w:after="150"/>
        <w:ind w:left="0" w:right="0" w:hanging="0"/>
        <w:jc w:val="left"/>
        <w:rPr>
          <w:rFonts w:ascii="Arial" w:hAnsi="Arial"/>
          <w:b/>
          <w:i w:val="false"/>
          <w:caps w:val="false"/>
          <w:smallCaps w:val="false"/>
          <w:color w:val="245BA7"/>
          <w:sz w:val="24"/>
        </w:rPr>
      </w:pPr>
      <w:bookmarkStart w:id="184" w:name="new_id-172"/>
      <w:bookmarkEnd w:id="184"/>
      <w:r>
        <w:rPr>
          <w:rFonts w:ascii="Arial" w:hAnsi="Arial"/>
          <w:b/>
          <w:i w:val="false"/>
          <w:caps w:val="false"/>
          <w:smallCaps w:val="false"/>
          <w:color w:val="245BA7"/>
          <w:sz w:val="24"/>
        </w:rPr>
        <w:t xml:space="preserve">When is the Annual Meeting?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June 9, 2023</w:t>
      </w:r>
    </w:p>
    <w:p>
      <w:pPr>
        <w:pStyle w:val="Heading4"/>
        <w:pBdr/>
        <w:spacing w:before="300" w:after="150"/>
        <w:ind w:left="0" w:right="0" w:hanging="0"/>
        <w:jc w:val="left"/>
        <w:rPr>
          <w:rFonts w:ascii="Arial" w:hAnsi="Arial"/>
          <w:b/>
          <w:i w:val="false"/>
          <w:caps w:val="false"/>
          <w:smallCaps w:val="false"/>
          <w:color w:val="245BA7"/>
          <w:sz w:val="24"/>
        </w:rPr>
      </w:pPr>
      <w:bookmarkStart w:id="185" w:name="new_id-173"/>
      <w:bookmarkEnd w:id="185"/>
      <w:r>
        <w:rPr>
          <w:rFonts w:ascii="Arial" w:hAnsi="Arial"/>
          <w:b/>
          <w:i w:val="false"/>
          <w:caps w:val="false"/>
          <w:smallCaps w:val="false"/>
          <w:color w:val="245BA7"/>
          <w:sz w:val="24"/>
        </w:rPr>
        <w:t xml:space="preserve">What time is the Annual Meeting?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10:30 a.m., ET</w:t>
      </w:r>
    </w:p>
    <w:p>
      <w:pPr>
        <w:pStyle w:val="Heading4"/>
        <w:pBdr/>
        <w:spacing w:before="300" w:after="150"/>
        <w:ind w:left="0" w:right="0" w:hanging="0"/>
        <w:jc w:val="left"/>
        <w:rPr>
          <w:rFonts w:ascii="Arial" w:hAnsi="Arial"/>
          <w:b/>
          <w:i w:val="false"/>
          <w:caps w:val="false"/>
          <w:smallCaps w:val="false"/>
          <w:color w:val="245BA7"/>
          <w:sz w:val="24"/>
        </w:rPr>
      </w:pPr>
      <w:bookmarkStart w:id="186" w:name="new_id-174"/>
      <w:bookmarkEnd w:id="186"/>
      <w:r>
        <w:rPr>
          <w:rFonts w:ascii="Arial" w:hAnsi="Arial"/>
          <w:b/>
          <w:i w:val="false"/>
          <w:caps w:val="false"/>
          <w:smallCaps w:val="false"/>
          <w:color w:val="245BA7"/>
          <w:sz w:val="24"/>
        </w:rPr>
        <w:t xml:space="preserve">Where is the Annual Meeting?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The Annual Meeting will be held virtually via the Internet at </w:t>
      </w:r>
      <w:r>
        <w:rPr>
          <w:rFonts w:ascii="Arial" w:hAnsi="Arial"/>
          <w:b/>
          <w:i w:val="false"/>
          <w:caps w:val="false"/>
          <w:smallCaps w:val="false"/>
          <w:color w:val="000000"/>
          <w:sz w:val="21"/>
        </w:rPr>
        <w:t>www.virtualshareholdermeeting.com/REGN2023.</w:t>
      </w:r>
      <w:r>
        <w:rPr>
          <w:rFonts w:ascii="Arial" w:hAnsi="Arial"/>
          <w:b w:val="false"/>
          <w:i w:val="false"/>
          <w:caps w:val="false"/>
          <w:smallCaps w:val="false"/>
          <w:color w:val="000000"/>
          <w:sz w:val="21"/>
        </w:rPr>
        <w:t xml:space="preserve"> We have designed the format of the Annual Meeting to ensure that shareholders are afforded similar rights and opportunities to participate as they would at an in-person meeting.</w:t>
      </w:r>
    </w:p>
    <w:p>
      <w:pPr>
        <w:pStyle w:val="Heading4"/>
        <w:pBdr/>
        <w:spacing w:before="300" w:after="150"/>
        <w:ind w:left="0" w:right="0" w:hanging="0"/>
        <w:jc w:val="left"/>
        <w:rPr>
          <w:rFonts w:ascii="Arial" w:hAnsi="Arial"/>
          <w:b/>
          <w:i w:val="false"/>
          <w:caps w:val="false"/>
          <w:smallCaps w:val="false"/>
          <w:color w:val="245BA7"/>
          <w:sz w:val="24"/>
        </w:rPr>
      </w:pPr>
      <w:bookmarkStart w:id="187" w:name="new_id-175"/>
      <w:bookmarkEnd w:id="187"/>
      <w:r>
        <w:rPr>
          <w:rFonts w:ascii="Arial" w:hAnsi="Arial"/>
          <w:b/>
          <w:i w:val="false"/>
          <w:caps w:val="false"/>
          <w:smallCaps w:val="false"/>
          <w:color w:val="245BA7"/>
          <w:sz w:val="24"/>
        </w:rPr>
        <w:t xml:space="preserve">What form of identification do I need to be admitted to the meeting?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Instructions on how to attend and participate via the Internet are posted at </w:t>
      </w:r>
      <w:r>
        <w:rPr>
          <w:rFonts w:ascii="Arial" w:hAnsi="Arial"/>
          <w:b/>
          <w:i w:val="false"/>
          <w:caps w:val="false"/>
          <w:smallCaps w:val="false"/>
          <w:color w:val="000000"/>
          <w:sz w:val="21"/>
        </w:rPr>
        <w:t>www.virtualshareholdermeeting.com/REGN2023.</w:t>
      </w:r>
      <w:r>
        <w:rPr>
          <w:rFonts w:ascii="Arial" w:hAnsi="Arial"/>
          <w:b w:val="false"/>
          <w:i w:val="false"/>
          <w:caps w:val="false"/>
          <w:smallCaps w:val="false"/>
          <w:color w:val="000000"/>
          <w:sz w:val="21"/>
        </w:rPr>
        <w:t xml:space="preserve"> To vote or submit questions during the meeting, you will need the 16-digit control number included on the Notice of Internet Availability of Proxy Materials (the “Notice”) or, if you received a paper copy of the proxy materials, the proxy card or voting instruction form you received.</w:t>
      </w:r>
    </w:p>
    <w:p>
      <w:pPr>
        <w:pStyle w:val="Heading4"/>
        <w:pBdr/>
        <w:spacing w:before="300" w:after="150"/>
        <w:ind w:left="0" w:right="0" w:hanging="0"/>
        <w:jc w:val="left"/>
        <w:rPr>
          <w:rFonts w:ascii="Arial" w:hAnsi="Arial"/>
          <w:b/>
          <w:i w:val="false"/>
          <w:caps w:val="false"/>
          <w:smallCaps w:val="false"/>
          <w:color w:val="245BA7"/>
          <w:sz w:val="24"/>
        </w:rPr>
      </w:pPr>
      <w:bookmarkStart w:id="188" w:name="new_id-176"/>
      <w:bookmarkEnd w:id="188"/>
      <w:r>
        <w:rPr>
          <w:rFonts w:ascii="Arial" w:hAnsi="Arial"/>
          <w:b/>
          <w:i w:val="false"/>
          <w:caps w:val="false"/>
          <w:smallCaps w:val="false"/>
          <w:color w:val="245BA7"/>
          <w:sz w:val="24"/>
        </w:rPr>
        <w:t xml:space="preserve">Can I vote at the Annual Meeting?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Only shareholders of record at the close of business on the record date, April 11, 2023, are entitled to vote at the Annual Meeting. As of April 11, 2023, 107,892,108 shares of common stock and 1,818,146 shares of Class A stock were issued and outstanding. The common stock and the Class A stock vote together on all matters as a single class, with the common stock being entitled to one vote per share and the Class A stock being entitled to ten votes per share. To vote your shares, you will need the 16-digit control number included on the Notice or, if you received a paper copy of the proxy materials, the proxy card or voting instruction form you received.</w:t>
      </w:r>
    </w:p>
    <w:p>
      <w:pPr>
        <w:pStyle w:val="Heading4"/>
        <w:pBdr/>
        <w:spacing w:before="300" w:after="150"/>
        <w:ind w:left="0" w:right="0" w:hanging="0"/>
        <w:jc w:val="left"/>
        <w:rPr>
          <w:rFonts w:ascii="Arial" w:hAnsi="Arial"/>
          <w:b/>
          <w:i w:val="false"/>
          <w:caps w:val="false"/>
          <w:smallCaps w:val="false"/>
          <w:color w:val="245BA7"/>
          <w:sz w:val="24"/>
        </w:rPr>
      </w:pPr>
      <w:bookmarkStart w:id="189" w:name="new_id-177"/>
      <w:bookmarkEnd w:id="189"/>
      <w:r>
        <w:rPr>
          <w:rFonts w:ascii="Arial" w:hAnsi="Arial"/>
          <w:b/>
          <w:i w:val="false"/>
          <w:caps w:val="false"/>
          <w:smallCaps w:val="false"/>
          <w:color w:val="245BA7"/>
          <w:sz w:val="24"/>
        </w:rPr>
        <w:t xml:space="preserve">What is on the agenda for the meeting? </w:t>
      </w:r>
    </w:p>
    <w:p>
      <w:pPr>
        <w:pStyle w:val="TextBody"/>
        <w:spacing w:before="0" w:after="0"/>
        <w:ind w:left="0" w:right="30" w:hanging="0"/>
        <w:jc w:val="left"/>
        <w:rPr>
          <w:rFonts w:ascii="Arial" w:hAnsi="Arial"/>
          <w:b/>
          <w:i w:val="false"/>
          <w:caps w:val="false"/>
          <w:smallCaps w:val="false"/>
          <w:color w:val="245BA7"/>
          <w:sz w:val="21"/>
        </w:rPr>
      </w:pPr>
      <w:r>
        <w:rPr>
          <w:rFonts w:ascii="Arial" w:hAnsi="Arial"/>
          <w:b/>
          <w:i w:val="false"/>
          <w:caps w:val="false"/>
          <w:smallCaps w:val="false"/>
          <w:color w:val="245BA7"/>
          <w:sz w:val="21"/>
        </w:rPr>
        <w:t>1</w:t>
      </w:r>
    </w:p>
    <w:p>
      <w:pPr>
        <w:pStyle w:val="TextBody"/>
        <w:pBdr/>
        <w:spacing w:before="0" w:after="0"/>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Election of four Class II directors for a three-year term</w:t>
      </w:r>
    </w:p>
    <w:p>
      <w:pPr>
        <w:pStyle w:val="TextBody"/>
        <w:spacing w:before="0" w:after="0"/>
        <w:ind w:left="0" w:right="30" w:hanging="0"/>
        <w:jc w:val="left"/>
        <w:rPr>
          <w:rFonts w:ascii="Arial" w:hAnsi="Arial"/>
          <w:b/>
          <w:i w:val="false"/>
          <w:caps w:val="false"/>
          <w:smallCaps w:val="false"/>
          <w:color w:val="245BA7"/>
          <w:sz w:val="21"/>
        </w:rPr>
      </w:pPr>
      <w:r>
        <w:rPr>
          <w:rFonts w:ascii="Arial" w:hAnsi="Arial"/>
          <w:b/>
          <w:i w:val="false"/>
          <w:caps w:val="false"/>
          <w:smallCaps w:val="false"/>
          <w:color w:val="245BA7"/>
          <w:sz w:val="21"/>
        </w:rPr>
        <w:t>2</w:t>
      </w:r>
    </w:p>
    <w:p>
      <w:pPr>
        <w:pStyle w:val="TextBody"/>
        <w:pBdr/>
        <w:spacing w:before="0" w:after="0"/>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Ratification of the appointment of PricewaterhouseCoopers LLP as the Company’s independent registered public accounting firm for the fiscal year ending December 31, 2023</w:t>
      </w:r>
    </w:p>
    <w:p>
      <w:pPr>
        <w:pStyle w:val="TextBody"/>
        <w:spacing w:before="0" w:after="0"/>
        <w:ind w:left="0" w:right="30" w:hanging="0"/>
        <w:jc w:val="left"/>
        <w:rPr>
          <w:rFonts w:ascii="Arial" w:hAnsi="Arial"/>
          <w:b/>
          <w:i w:val="false"/>
          <w:caps w:val="false"/>
          <w:smallCaps w:val="false"/>
          <w:color w:val="245BA7"/>
          <w:sz w:val="21"/>
        </w:rPr>
      </w:pPr>
      <w:r>
        <w:rPr>
          <w:rFonts w:ascii="Arial" w:hAnsi="Arial"/>
          <w:b/>
          <w:i w:val="false"/>
          <w:caps w:val="false"/>
          <w:smallCaps w:val="false"/>
          <w:color w:val="245BA7"/>
          <w:sz w:val="21"/>
        </w:rPr>
        <w:t>3</w:t>
      </w:r>
    </w:p>
    <w:p>
      <w:pPr>
        <w:pStyle w:val="TextBody"/>
        <w:pBdr/>
        <w:spacing w:before="0" w:after="0"/>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Advisory vote to approve the compensation of the Company’s Named Executive Officers as disclosed in these proxy materials (say-on-pay)</w:t>
      </w:r>
    </w:p>
    <w:p>
      <w:pPr>
        <w:pStyle w:val="TextBody"/>
        <w:spacing w:before="0" w:after="0"/>
        <w:ind w:left="0" w:right="30" w:hanging="0"/>
        <w:jc w:val="left"/>
        <w:rPr>
          <w:rFonts w:ascii="Arial" w:hAnsi="Arial"/>
          <w:b/>
          <w:i w:val="false"/>
          <w:caps w:val="false"/>
          <w:smallCaps w:val="false"/>
          <w:color w:val="245BA7"/>
          <w:sz w:val="21"/>
        </w:rPr>
      </w:pPr>
      <w:r>
        <w:rPr>
          <w:rFonts w:ascii="Arial" w:hAnsi="Arial"/>
          <w:b/>
          <w:i w:val="false"/>
          <w:caps w:val="false"/>
          <w:smallCaps w:val="false"/>
          <w:color w:val="245BA7"/>
          <w:sz w:val="21"/>
        </w:rPr>
        <w:t>4</w:t>
      </w:r>
    </w:p>
    <w:p>
      <w:pPr>
        <w:pStyle w:val="TextBody"/>
        <w:pBdr/>
        <w:spacing w:before="0" w:after="0"/>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Advisory vote on the frequency of future say-on-pay votes (say-on-frequency)</w:t>
      </w:r>
    </w:p>
    <w:p>
      <w:pPr>
        <w:pStyle w:val="TextBody"/>
        <w:spacing w:before="0" w:after="0"/>
        <w:ind w:left="0" w:right="30" w:hanging="0"/>
        <w:jc w:val="left"/>
        <w:rPr>
          <w:rFonts w:ascii="Arial" w:hAnsi="Arial"/>
          <w:b/>
          <w:i w:val="false"/>
          <w:caps w:val="false"/>
          <w:smallCaps w:val="false"/>
          <w:color w:val="245BA7"/>
          <w:sz w:val="21"/>
        </w:rPr>
      </w:pPr>
      <w:r>
        <w:rPr>
          <w:rFonts w:ascii="Arial" w:hAnsi="Arial"/>
          <w:b/>
          <w:i w:val="false"/>
          <w:caps w:val="false"/>
          <w:smallCaps w:val="false"/>
          <w:color w:val="245BA7"/>
          <w:sz w:val="21"/>
        </w:rPr>
        <w:t>5</w:t>
      </w:r>
    </w:p>
    <w:p>
      <w:pPr>
        <w:pStyle w:val="TextBody"/>
        <w:pBdr/>
        <w:spacing w:before="0" w:after="0"/>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Non-binding shareholder proposal, if properly presented</w:t>
      </w:r>
    </w:p>
    <w:p>
      <w:pPr>
        <w:pStyle w:val="Heading4"/>
        <w:pBdr/>
        <w:spacing w:before="300" w:after="150"/>
        <w:ind w:left="0" w:right="0" w:hanging="0"/>
        <w:jc w:val="left"/>
        <w:rPr>
          <w:rFonts w:ascii="Arial" w:hAnsi="Arial"/>
          <w:b/>
          <w:i w:val="false"/>
          <w:caps w:val="false"/>
          <w:smallCaps w:val="false"/>
          <w:color w:val="245BA7"/>
          <w:sz w:val="24"/>
        </w:rPr>
      </w:pPr>
      <w:bookmarkStart w:id="190" w:name="new_id-178"/>
      <w:bookmarkEnd w:id="190"/>
      <w:r>
        <w:rPr>
          <w:rFonts w:ascii="Arial" w:hAnsi="Arial"/>
          <w:b/>
          <w:i w:val="false"/>
          <w:caps w:val="false"/>
          <w:smallCaps w:val="false"/>
          <w:color w:val="245BA7"/>
          <w:sz w:val="24"/>
        </w:rPr>
        <w:t xml:space="preserve">Can I ask a question at the Annual Meeting?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Shareholders who use the 16-digit control number that was furnished to them (either on the Notice or, if you received a paper copy of the proxy materials, the proxy card or voting instruction form you received) to log on to the meeting will be able to submit questions during the meeting, as time permits. If you wish to submit a question during the Annual Meeting, log on to the virtual meeting website using the 16-digit control number, type your question into the “Ask a Question” field, and click “Submit.” Questions and answers may be arranged by topic and substantially similar questions may be answered once. If we run out of time to answer all of the questions submitted, we will provide responses to the questions not addressed on our website at </w:t>
      </w:r>
      <w:r>
        <w:rPr>
          <w:rFonts w:ascii="Arial" w:hAnsi="Arial"/>
          <w:b/>
          <w:i w:val="false"/>
          <w:caps w:val="false"/>
          <w:smallCaps w:val="false"/>
          <w:color w:val="000000"/>
          <w:sz w:val="21"/>
        </w:rPr>
        <w:t xml:space="preserve">www.regeneron.com </w:t>
      </w:r>
      <w:r>
        <w:rPr>
          <w:rFonts w:ascii="Arial" w:hAnsi="Arial"/>
          <w:b w:val="false"/>
          <w:i w:val="false"/>
          <w:caps w:val="false"/>
          <w:smallCaps w:val="false"/>
          <w:color w:val="000000"/>
          <w:sz w:val="21"/>
        </w:rPr>
        <w:t>on the “Investors &amp; Media” page.</w:t>
      </w:r>
    </w:p>
    <w:p>
      <w:pPr>
        <w:pStyle w:val="Heading4"/>
        <w:pBdr/>
        <w:spacing w:before="300" w:after="150"/>
        <w:ind w:left="0" w:right="0" w:hanging="0"/>
        <w:jc w:val="left"/>
        <w:rPr>
          <w:rFonts w:ascii="Arial" w:hAnsi="Arial"/>
          <w:b/>
          <w:i w:val="false"/>
          <w:caps w:val="false"/>
          <w:smallCaps w:val="false"/>
          <w:color w:val="245BA7"/>
          <w:sz w:val="24"/>
        </w:rPr>
      </w:pPr>
      <w:bookmarkStart w:id="191" w:name="new_id-179"/>
      <w:bookmarkEnd w:id="191"/>
      <w:r>
        <w:rPr>
          <w:rFonts w:ascii="Arial" w:hAnsi="Arial"/>
          <w:b/>
          <w:i w:val="false"/>
          <w:caps w:val="false"/>
          <w:smallCaps w:val="false"/>
          <w:color w:val="245BA7"/>
          <w:sz w:val="24"/>
        </w:rPr>
        <w:t xml:space="preserve">Will the Annual Meeting be available for replay?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A replay of the Annual Meeting will be made publicly available approximately 24 hours after the Annual Meeting at </w:t>
      </w:r>
      <w:r>
        <w:rPr>
          <w:rFonts w:ascii="Arial" w:hAnsi="Arial"/>
          <w:b/>
          <w:i w:val="false"/>
          <w:caps w:val="false"/>
          <w:smallCaps w:val="false"/>
          <w:color w:val="000000"/>
          <w:sz w:val="21"/>
        </w:rPr>
        <w:t>www.virtualshareholdermeeting.com/REGN2023.</w:t>
      </w:r>
      <w:r>
        <w:rPr>
          <w:rFonts w:ascii="Arial" w:hAnsi="Arial"/>
          <w:b w:val="false"/>
          <w:i w:val="false"/>
          <w:caps w:val="false"/>
          <w:smallCaps w:val="false"/>
          <w:color w:val="000000"/>
          <w:sz w:val="21"/>
        </w:rPr>
        <w:t xml:space="preserve"> The replay will be available for one year.</w:t>
      </w:r>
    </w:p>
    <w:p>
      <w:pPr>
        <w:pStyle w:val="Heading4"/>
        <w:pBdr/>
        <w:spacing w:before="300" w:after="150"/>
        <w:ind w:left="0" w:right="0" w:hanging="0"/>
        <w:jc w:val="left"/>
        <w:rPr>
          <w:rFonts w:ascii="Arial" w:hAnsi="Arial"/>
          <w:b/>
          <w:i w:val="false"/>
          <w:caps w:val="false"/>
          <w:smallCaps w:val="false"/>
          <w:color w:val="245BA7"/>
          <w:sz w:val="24"/>
        </w:rPr>
      </w:pPr>
      <w:bookmarkStart w:id="192" w:name="new_id-180"/>
      <w:bookmarkEnd w:id="192"/>
      <w:r>
        <w:rPr>
          <w:rFonts w:ascii="Arial" w:hAnsi="Arial"/>
          <w:b/>
          <w:i w:val="false"/>
          <w:caps w:val="false"/>
          <w:smallCaps w:val="false"/>
          <w:color w:val="245BA7"/>
          <w:sz w:val="24"/>
        </w:rPr>
        <w:t xml:space="preserve">Why did I receive a notice in the mail regarding the Internet availability of proxy materials instead of a paper copy of the proxy materials? </w:t>
      </w:r>
    </w:p>
    <w:p>
      <w:pPr>
        <w:pStyle w:val="TextBody"/>
        <w:pBdr/>
        <w:spacing w:before="0" w:after="210"/>
        <w:ind w:left="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The “Notice and Access” rules of the SEC permit us to furnish proxy materials, including this proxy statement and our 2022 Annual Report, to our shareholders by providing access to such documents on the Internet instead of mailing printed copies. Most shareholders received the Notice and will not receive printed copies of the proxy materials unless they request them. This method reduces the environmental impact of the Annual Meeting. The Notice will be mailed beginning on or about April 21, 2023. The Notice includes instructions on how you may access and review all of our proxy materials and the 2022 Annual Report via the Internet. The Notice also includes instructions on how you may </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22"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54" descr=""/>
                          <pic:cNvPicPr>
                            <a:picLocks noChangeAspect="1" noChangeArrowheads="1"/>
                          </pic:cNvPicPr>
                        </pic:nvPicPr>
                        <pic:blipFill>
                          <a:blip r:embed="rId255"/>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110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 xml:space="preserve">vote your shares. If you would like to receive a paper or electronic copy of our proxy materials, you should follow the instructions in the Notice for requesting such materials. Any request to receive proxy materials by mail or e-mail will remain in effect until you revoke it. </w:t>
      </w:r>
    </w:p>
    <w:p>
      <w:pPr>
        <w:pStyle w:val="Heading4"/>
        <w:pBdr/>
        <w:spacing w:before="300" w:after="150"/>
        <w:ind w:left="0" w:right="0" w:hanging="0"/>
        <w:rPr>
          <w:rFonts w:ascii="Arial" w:hAnsi="Arial"/>
          <w:b/>
          <w:i w:val="false"/>
          <w:caps w:val="false"/>
          <w:smallCaps w:val="false"/>
          <w:color w:val="245BA7"/>
          <w:sz w:val="24"/>
        </w:rPr>
      </w:pPr>
      <w:bookmarkStart w:id="193" w:name="new_id-181"/>
      <w:bookmarkEnd w:id="193"/>
      <w:r>
        <w:rPr>
          <w:rFonts w:ascii="Arial" w:hAnsi="Arial"/>
          <w:b/>
          <w:i w:val="false"/>
          <w:caps w:val="false"/>
          <w:smallCaps w:val="false"/>
          <w:color w:val="245BA7"/>
          <w:sz w:val="24"/>
        </w:rPr>
        <w:t xml:space="preserve">Can I vote my shares by filling out and returning the Notice? </w:t>
      </w:r>
    </w:p>
    <w:p>
      <w:pPr>
        <w:pStyle w:val="TextBody"/>
        <w:pBdr/>
        <w:spacing w:before="0" w:after="210"/>
        <w:ind w:left="0" w:right="0" w:hanging="0"/>
        <w:rPr>
          <w:rFonts w:ascii="Arial" w:hAnsi="Arial"/>
          <w:color w:val="000000"/>
          <w:sz w:val="21"/>
        </w:rPr>
      </w:pPr>
      <w:r>
        <w:rPr>
          <w:rFonts w:ascii="Arial" w:hAnsi="Arial"/>
          <w:color w:val="000000"/>
          <w:sz w:val="21"/>
        </w:rPr>
        <w:t>No. The Notice identifies the items to be voted on at the Annual Meeting, but you cannot vote by marking the Notice and returning it. The Notice provides instructions on how to vote by Internet, by requesting and returning a paper proxy card, or by voting at the meeting.</w:t>
      </w:r>
    </w:p>
    <w:p>
      <w:pPr>
        <w:pStyle w:val="Heading4"/>
        <w:pBdr/>
        <w:spacing w:before="300" w:after="150"/>
        <w:ind w:left="0" w:right="0" w:hanging="0"/>
        <w:rPr>
          <w:rFonts w:ascii="Arial" w:hAnsi="Arial"/>
          <w:b/>
          <w:i w:val="false"/>
          <w:caps w:val="false"/>
          <w:smallCaps w:val="false"/>
          <w:color w:val="245BA7"/>
          <w:sz w:val="24"/>
        </w:rPr>
      </w:pPr>
      <w:bookmarkStart w:id="194" w:name="new_id-182"/>
      <w:bookmarkEnd w:id="194"/>
      <w:r>
        <w:rPr>
          <w:rFonts w:ascii="Arial" w:hAnsi="Arial"/>
          <w:b/>
          <w:i w:val="false"/>
          <w:caps w:val="false"/>
          <w:smallCaps w:val="false"/>
          <w:color w:val="245BA7"/>
          <w:sz w:val="24"/>
        </w:rPr>
        <w:t xml:space="preserve">Why did I receive the Notice? </w:t>
      </w:r>
    </w:p>
    <w:p>
      <w:pPr>
        <w:pStyle w:val="TextBody"/>
        <w:pBdr/>
        <w:spacing w:before="0" w:after="210"/>
        <w:ind w:left="0" w:right="0" w:hanging="0"/>
        <w:rPr>
          <w:rFonts w:ascii="Arial" w:hAnsi="Arial"/>
          <w:color w:val="000000"/>
          <w:sz w:val="21"/>
        </w:rPr>
      </w:pPr>
      <w:r>
        <w:rPr>
          <w:rFonts w:ascii="Arial" w:hAnsi="Arial"/>
          <w:color w:val="000000"/>
          <w:sz w:val="21"/>
        </w:rPr>
        <w:t>We sent you the Notice regarding this proxy statement because Regeneron’s board of directors is asking (technically called soliciting) holders of common stock and Class A stock to provide proxies to be voted at our 2023 Annual Meeting of Shareholders or at any adjournment(s) or postponement(s) of the meeting.</w:t>
      </w:r>
    </w:p>
    <w:p>
      <w:pPr>
        <w:pStyle w:val="Heading4"/>
        <w:pBdr/>
        <w:spacing w:before="300" w:after="150"/>
        <w:ind w:left="0" w:right="0" w:hanging="0"/>
        <w:rPr>
          <w:rFonts w:ascii="Arial" w:hAnsi="Arial"/>
          <w:b/>
          <w:i w:val="false"/>
          <w:caps w:val="false"/>
          <w:smallCaps w:val="false"/>
          <w:color w:val="245BA7"/>
          <w:sz w:val="24"/>
        </w:rPr>
      </w:pPr>
      <w:bookmarkStart w:id="195" w:name="new_id-183"/>
      <w:bookmarkEnd w:id="195"/>
      <w:r>
        <w:rPr>
          <w:rFonts w:ascii="Arial" w:hAnsi="Arial"/>
          <w:b/>
          <w:i w:val="false"/>
          <w:caps w:val="false"/>
          <w:smallCaps w:val="false"/>
          <w:color w:val="245BA7"/>
          <w:sz w:val="24"/>
        </w:rPr>
        <w:t xml:space="preserve">How are proxies voted? </w:t>
      </w:r>
    </w:p>
    <w:p>
      <w:pPr>
        <w:pStyle w:val="TextBody"/>
        <w:pBdr/>
        <w:spacing w:before="0" w:after="210"/>
        <w:ind w:left="0" w:right="0" w:hanging="0"/>
        <w:rPr>
          <w:rFonts w:ascii="Arial" w:hAnsi="Arial"/>
          <w:color w:val="000000"/>
          <w:sz w:val="21"/>
        </w:rPr>
      </w:pPr>
      <w:r>
        <w:rPr>
          <w:rFonts w:ascii="Arial" w:hAnsi="Arial"/>
          <w:color w:val="000000"/>
          <w:sz w:val="21"/>
        </w:rPr>
        <w:t>If you vote by proxy in time for it to be voted at the Annual Meeting, one of the individuals named as your proxy will vote your shares as you have directed. If you submit a proxy, but no indication is given as to how to vote your shares as to a proposal, your shares will be voted in the manner recommended by the board of directors. The board of directors knows of no matter, other than those indicated above under “What is on the agenda for the meeting?”, to be presented at the Annual Meeting. If any other matter properly comes before the Annual Meeting, the persons named and designated as proxies will vote your shares in their discretion.</w:t>
      </w:r>
    </w:p>
    <w:p>
      <w:pPr>
        <w:pStyle w:val="Heading4"/>
        <w:pBdr/>
        <w:spacing w:before="300" w:after="150"/>
        <w:ind w:left="0" w:right="0" w:hanging="0"/>
        <w:rPr>
          <w:rFonts w:ascii="Arial" w:hAnsi="Arial"/>
          <w:b/>
          <w:i w:val="false"/>
          <w:caps w:val="false"/>
          <w:smallCaps w:val="false"/>
          <w:color w:val="245BA7"/>
          <w:sz w:val="24"/>
        </w:rPr>
      </w:pPr>
      <w:bookmarkStart w:id="196" w:name="new_id-184"/>
      <w:bookmarkEnd w:id="196"/>
      <w:r>
        <w:rPr>
          <w:rFonts w:ascii="Arial" w:hAnsi="Arial"/>
          <w:b/>
          <w:i w:val="false"/>
          <w:caps w:val="false"/>
          <w:smallCaps w:val="false"/>
          <w:color w:val="245BA7"/>
          <w:sz w:val="24"/>
        </w:rPr>
        <w:t xml:space="preserve">Why didn’t I receive a notice in the mail about the Internet availability of the proxy materials? </w:t>
      </w:r>
    </w:p>
    <w:p>
      <w:pPr>
        <w:pStyle w:val="TextBody"/>
        <w:pBdr/>
        <w:spacing w:before="0" w:after="210"/>
        <w:ind w:left="0" w:right="0" w:hanging="0"/>
        <w:rPr>
          <w:rFonts w:ascii="Arial" w:hAnsi="Arial"/>
          <w:color w:val="000000"/>
          <w:sz w:val="21"/>
        </w:rPr>
      </w:pPr>
      <w:r>
        <w:rPr>
          <w:rFonts w:ascii="Arial" w:hAnsi="Arial"/>
          <w:color w:val="000000"/>
          <w:sz w:val="21"/>
        </w:rPr>
        <w:t>Shareholders who previously elected to receive proxy materials by e-mail will not receive the Notice in the mail. Instead, these shareholders should have received an e-mail with links to the proxy materials and the proxy voting website. Shareholders who have previously asked to receive paper copies of the proxy materials and shareholders who participate and hold shares of common stock in the Regeneron Pharmaceuticals, Inc. 401(k) Savings Plan or the Regeneron Ireland Share Participation Plan will receive paper copies of the proxy materials.</w:t>
      </w:r>
    </w:p>
    <w:p>
      <w:pPr>
        <w:pStyle w:val="Heading4"/>
        <w:pBdr/>
        <w:spacing w:before="300" w:after="150"/>
        <w:ind w:left="0" w:right="0" w:hanging="0"/>
        <w:rPr>
          <w:rFonts w:ascii="Arial" w:hAnsi="Arial"/>
          <w:b/>
          <w:i w:val="false"/>
          <w:caps w:val="false"/>
          <w:smallCaps w:val="false"/>
          <w:color w:val="245BA7"/>
          <w:sz w:val="24"/>
        </w:rPr>
      </w:pPr>
      <w:bookmarkStart w:id="197" w:name="new_id-185"/>
      <w:bookmarkEnd w:id="197"/>
      <w:r>
        <w:rPr>
          <w:rFonts w:ascii="Arial" w:hAnsi="Arial"/>
          <w:b/>
          <w:i w:val="false"/>
          <w:caps w:val="false"/>
          <w:smallCaps w:val="false"/>
          <w:color w:val="245BA7"/>
          <w:sz w:val="24"/>
        </w:rPr>
        <w:t xml:space="preserve">What constitutes a quorum? </w:t>
      </w:r>
    </w:p>
    <w:p>
      <w:pPr>
        <w:pStyle w:val="TextBody"/>
        <w:pBdr/>
        <w:spacing w:before="0" w:after="210"/>
        <w:ind w:left="0" w:right="0" w:hanging="0"/>
        <w:rPr>
          <w:rFonts w:ascii="Arial" w:hAnsi="Arial"/>
          <w:color w:val="000000"/>
          <w:sz w:val="21"/>
        </w:rPr>
      </w:pPr>
      <w:r>
        <w:rPr>
          <w:rFonts w:ascii="Arial" w:hAnsi="Arial"/>
          <w:color w:val="000000"/>
          <w:sz w:val="21"/>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pStyle w:val="Heading4"/>
        <w:pBdr/>
        <w:spacing w:before="300" w:after="150"/>
        <w:ind w:left="0" w:right="0" w:hanging="0"/>
        <w:rPr>
          <w:rFonts w:ascii="Arial" w:hAnsi="Arial"/>
          <w:b/>
          <w:i w:val="false"/>
          <w:caps w:val="false"/>
          <w:smallCaps w:val="false"/>
          <w:color w:val="245BA7"/>
          <w:sz w:val="24"/>
        </w:rPr>
      </w:pPr>
      <w:bookmarkStart w:id="198" w:name="new_id-186"/>
      <w:bookmarkEnd w:id="198"/>
      <w:r>
        <w:rPr>
          <w:rFonts w:ascii="Arial" w:hAnsi="Arial"/>
          <w:b/>
          <w:i w:val="false"/>
          <w:caps w:val="false"/>
          <w:smallCaps w:val="false"/>
          <w:color w:val="245BA7"/>
          <w:sz w:val="24"/>
        </w:rPr>
        <w:t xml:space="preserve">How can I vote my shares without attending the Annual Meeting? </w:t>
      </w:r>
    </w:p>
    <w:p>
      <w:pPr>
        <w:pStyle w:val="TextBody"/>
        <w:pBdr/>
        <w:spacing w:before="0" w:after="210"/>
        <w:ind w:left="0" w:right="0" w:hanging="0"/>
        <w:rPr>
          <w:rFonts w:ascii="Arial" w:hAnsi="Arial"/>
          <w:color w:val="000000"/>
          <w:sz w:val="21"/>
        </w:rPr>
      </w:pPr>
      <w:r>
        <w:rPr>
          <w:rFonts w:ascii="Arial" w:hAnsi="Arial"/>
          <w:color w:val="000000"/>
          <w:sz w:val="21"/>
        </w:rPr>
        <w:t>We recommend that shareholders vote by proxy even if they plan to attend the Annual Meeting via the Internet. If you are a shareholder of record, there are three ways to vote by proxy:</w:t>
      </w:r>
    </w:p>
    <w:p>
      <w:pPr>
        <w:pStyle w:val="TextBody"/>
        <w:pBdr/>
        <w:spacing w:before="0" w:after="210"/>
        <w:ind w:left="0" w:right="0" w:hanging="0"/>
        <w:rPr>
          <w:rFonts w:ascii="Arial" w:hAnsi="Arial"/>
          <w:color w:val="000000"/>
          <w:sz w:val="21"/>
        </w:rPr>
      </w:pPr>
      <w:r>
        <w:rPr>
          <w:rFonts w:ascii="Arial" w:hAnsi="Arial"/>
          <w:b/>
          <w:color w:val="000000"/>
          <w:sz w:val="21"/>
        </w:rPr>
        <w:t>Via the Internet</w:t>
      </w:r>
      <w:r>
        <w:rPr>
          <w:rFonts w:ascii="Arial" w:hAnsi="Arial"/>
          <w:b/>
          <w:i/>
          <w:color w:val="000000"/>
          <w:sz w:val="21"/>
        </w:rPr>
        <w:t>.</w:t>
      </w:r>
      <w:r>
        <w:rPr>
          <w:rFonts w:ascii="Arial" w:hAnsi="Arial"/>
          <w:color w:val="000000"/>
          <w:sz w:val="21"/>
        </w:rPr>
        <w:t xml:space="preserve"> You may vote by proxy via the Internet by visiting </w:t>
      </w:r>
      <w:r>
        <w:rPr>
          <w:rFonts w:ascii="Arial" w:hAnsi="Arial"/>
          <w:b/>
          <w:color w:val="000000"/>
          <w:sz w:val="21"/>
        </w:rPr>
        <w:t>www.proxyvote.com.</w:t>
      </w:r>
      <w:r>
        <w:rPr>
          <w:rFonts w:ascii="Arial" w:hAnsi="Arial"/>
          <w:color w:val="000000"/>
          <w:sz w:val="21"/>
        </w:rPr>
        <w:t xml:space="preserve"> You will need the 16-digit control number included on the Notice or, if you received a paper copy of the proxy materials, the proxy card or voting instruction form you received. You may vote via the Internet through 11:59 p.m., Eastern Time, on June 8, 2023.</w:t>
      </w:r>
    </w:p>
    <w:p>
      <w:pPr>
        <w:pStyle w:val="TextBody"/>
        <w:pBdr/>
        <w:spacing w:before="0" w:after="210"/>
        <w:ind w:left="0" w:right="0" w:hanging="0"/>
        <w:rPr>
          <w:rFonts w:ascii="Arial" w:hAnsi="Arial"/>
          <w:color w:val="000000"/>
          <w:sz w:val="21"/>
        </w:rPr>
      </w:pPr>
      <w:r>
        <w:rPr>
          <w:rFonts w:ascii="Arial" w:hAnsi="Arial"/>
          <w:b/>
          <w:color w:val="000000"/>
          <w:sz w:val="21"/>
        </w:rPr>
        <w:t>Via telephone.</w:t>
      </w:r>
      <w:r>
        <w:rPr>
          <w:rFonts w:ascii="Arial" w:hAnsi="Arial"/>
          <w:color w:val="000000"/>
          <w:sz w:val="21"/>
        </w:rPr>
        <w:t xml:space="preserve"> You may vote by proxy via telephone by calling the toll-free number found on the proxy card or the voting instruction form. You will need the 16-digit control number included on the proxy card or voting instruction form. You may vote via telephone through 11:59 p.m., Eastern Time, on June 8, 2023.</w:t>
      </w:r>
    </w:p>
    <w:p>
      <w:pPr>
        <w:pStyle w:val="TextBody"/>
        <w:pBdr/>
        <w:spacing w:before="0" w:after="210"/>
        <w:ind w:left="0" w:right="0" w:hanging="0"/>
        <w:rPr>
          <w:rFonts w:ascii="Arial" w:hAnsi="Arial"/>
          <w:color w:val="000000"/>
          <w:sz w:val="21"/>
        </w:rPr>
      </w:pPr>
      <w:r>
        <w:rPr>
          <w:rFonts w:ascii="Arial" w:hAnsi="Arial"/>
          <w:b/>
          <w:color w:val="000000"/>
          <w:sz w:val="21"/>
        </w:rPr>
        <w:t>By mail.</w:t>
      </w:r>
      <w:r>
        <w:rPr>
          <w:rFonts w:ascii="Arial" w:hAnsi="Arial"/>
          <w:color w:val="000000"/>
          <w:sz w:val="21"/>
        </w:rPr>
        <w:t xml:space="preserve"> If you received printed copies of the proxy materials, you may vote by proxy by completing the proxy card or voting instruction form and returning it in the envelope provided.</w:t>
      </w:r>
    </w:p>
    <w:p>
      <w:pPr>
        <w:pStyle w:val="Heading4"/>
        <w:pBdr/>
        <w:spacing w:before="300" w:after="150"/>
        <w:ind w:left="0" w:right="0" w:hanging="0"/>
        <w:rPr>
          <w:rFonts w:ascii="Arial" w:hAnsi="Arial"/>
          <w:b/>
          <w:i w:val="false"/>
          <w:caps w:val="false"/>
          <w:smallCaps w:val="false"/>
          <w:color w:val="245BA7"/>
          <w:sz w:val="24"/>
        </w:rPr>
      </w:pPr>
      <w:bookmarkStart w:id="199" w:name="new_id-187"/>
      <w:bookmarkEnd w:id="199"/>
      <w:r>
        <w:rPr>
          <w:rFonts w:ascii="Arial" w:hAnsi="Arial"/>
          <w:b/>
          <w:i w:val="false"/>
          <w:caps w:val="false"/>
          <w:smallCaps w:val="false"/>
          <w:color w:val="245BA7"/>
          <w:sz w:val="24"/>
        </w:rPr>
        <w:t xml:space="preserve">How can I attend and vote at the Annual Meeting? </w:t>
      </w:r>
    </w:p>
    <w:p>
      <w:pPr>
        <w:pStyle w:val="TextBody"/>
        <w:pBdr/>
        <w:spacing w:before="0" w:after="210"/>
        <w:ind w:left="0" w:right="0" w:hanging="0"/>
        <w:rPr>
          <w:rFonts w:ascii="Arial" w:hAnsi="Arial"/>
          <w:color w:val="000000"/>
          <w:sz w:val="21"/>
        </w:rPr>
      </w:pPr>
      <w:r>
        <w:rPr>
          <w:rFonts w:ascii="Arial" w:hAnsi="Arial"/>
          <w:color w:val="000000"/>
          <w:sz w:val="21"/>
        </w:rPr>
        <w:t xml:space="preserve">You may attend the Annual Meeting via the Internet at </w:t>
      </w:r>
      <w:r>
        <w:rPr>
          <w:rFonts w:ascii="Arial" w:hAnsi="Arial"/>
          <w:b/>
          <w:color w:val="000000"/>
          <w:sz w:val="21"/>
        </w:rPr>
        <w:t xml:space="preserve">www.virtualshareholdermeeting.com/REGN2023. </w:t>
      </w:r>
      <w:r>
        <w:rPr>
          <w:rFonts w:ascii="Arial" w:hAnsi="Arial"/>
          <w:color w:val="000000"/>
          <w:sz w:val="21"/>
        </w:rPr>
        <w:t>Shareholders who use the 16-digit control number that was furnished to them (either on the Notice or, if you received a paper copy of the proxy materials, the proxy card or voting instruction form you received) to log on to the meeting will be able to vote during the meeting.</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23"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55" descr=""/>
                          <pic:cNvPicPr>
                            <a:picLocks noChangeAspect="1" noChangeArrowheads="1"/>
                          </pic:cNvPicPr>
                        </pic:nvPicPr>
                        <pic:blipFill>
                          <a:blip r:embed="rId256"/>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111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245BA7"/>
          <w:sz w:val="24"/>
        </w:rPr>
      </w:pPr>
      <w:bookmarkStart w:id="200" w:name="new_id-188"/>
      <w:bookmarkEnd w:id="200"/>
      <w:r>
        <w:rPr>
          <w:rFonts w:ascii="Arial" w:hAnsi="Arial"/>
          <w:b/>
          <w:i w:val="false"/>
          <w:caps w:val="false"/>
          <w:smallCaps w:val="false"/>
          <w:color w:val="245BA7"/>
          <w:sz w:val="24"/>
        </w:rPr>
        <w:t xml:space="preserve">What if during the Annual Meeting I have technical difficulties or trouble accessing the virtual meeting website? </w:t>
      </w:r>
    </w:p>
    <w:p>
      <w:pPr>
        <w:pStyle w:val="TextBody"/>
        <w:pBdr/>
        <w:spacing w:before="0" w:after="210"/>
        <w:ind w:left="0" w:right="0" w:hanging="0"/>
        <w:rPr>
          <w:rFonts w:ascii="Arial" w:hAnsi="Arial"/>
          <w:color w:val="000000"/>
          <w:sz w:val="21"/>
        </w:rPr>
      </w:pPr>
      <w:r>
        <w:rPr>
          <w:rFonts w:ascii="Arial" w:hAnsi="Arial"/>
          <w:color w:val="000000"/>
          <w:sz w:val="21"/>
        </w:rPr>
        <w:t>We will have technicians ready to assist you with any technical difficulties you may have accessing the virtual meeting website. If you encounter any difficulties accessing the virtual meeting website during the meeting time, please call the technical support number that will be posted at </w:t>
      </w:r>
      <w:r>
        <w:rPr>
          <w:rFonts w:ascii="Arial" w:hAnsi="Arial"/>
          <w:b/>
          <w:color w:val="000000"/>
          <w:sz w:val="21"/>
        </w:rPr>
        <w:t>www.virtualshareholdermeeting.com/REGN2023.</w:t>
      </w:r>
    </w:p>
    <w:p>
      <w:pPr>
        <w:pStyle w:val="Heading4"/>
        <w:pBdr/>
        <w:spacing w:before="300" w:after="150"/>
        <w:ind w:left="0" w:right="0" w:hanging="0"/>
        <w:rPr>
          <w:rFonts w:ascii="Arial" w:hAnsi="Arial"/>
          <w:b/>
          <w:i w:val="false"/>
          <w:caps w:val="false"/>
          <w:smallCaps w:val="false"/>
          <w:color w:val="245BA7"/>
          <w:sz w:val="24"/>
        </w:rPr>
      </w:pPr>
      <w:bookmarkStart w:id="201" w:name="new_id-189"/>
      <w:bookmarkEnd w:id="201"/>
      <w:r>
        <w:rPr>
          <w:rFonts w:ascii="Arial" w:hAnsi="Arial"/>
          <w:b/>
          <w:i w:val="false"/>
          <w:caps w:val="false"/>
          <w:smallCaps w:val="false"/>
          <w:color w:val="245BA7"/>
          <w:sz w:val="24"/>
        </w:rPr>
        <w:t xml:space="preserve">If I am a Regeneron employee or former employee, how do I vote shares in the Company Stock Fund in my 401(k) account or in the Regeneron Ireland Share Participation Plan? </w:t>
      </w:r>
    </w:p>
    <w:p>
      <w:pPr>
        <w:pStyle w:val="TextBody"/>
        <w:pBdr/>
        <w:spacing w:before="0" w:after="210"/>
        <w:ind w:left="0" w:right="0" w:hanging="0"/>
        <w:rPr>
          <w:rFonts w:ascii="Arial" w:hAnsi="Arial"/>
          <w:color w:val="000000"/>
          <w:sz w:val="21"/>
        </w:rPr>
      </w:pPr>
      <w:r>
        <w:rPr>
          <w:rFonts w:ascii="Arial" w:hAnsi="Arial"/>
          <w:color w:val="000000"/>
          <w:sz w:val="21"/>
        </w:rPr>
        <w:t xml:space="preserve">If you participate and hold shares of common stock in the Regeneron Pharmaceuticals, Inc. 401(k) Savings Plan, you may provide voting instructions to Fidelity Management Trust Company, the plan’s trustee, (1) through the Internet at </w:t>
      </w:r>
      <w:r>
        <w:rPr>
          <w:rFonts w:ascii="Arial" w:hAnsi="Arial"/>
          <w:b/>
          <w:color w:val="000000"/>
          <w:sz w:val="21"/>
        </w:rPr>
        <w:t>www.proxyvote.com</w:t>
      </w:r>
      <w:r>
        <w:rPr>
          <w:rFonts w:ascii="Arial" w:hAnsi="Arial"/>
          <w:color w:val="000000"/>
          <w:sz w:val="21"/>
        </w:rPr>
        <w:t xml:space="preserve"> by 11:59 p.m., Eastern Time, on June 6, 2023, (2) by calling 1-800-690-6903 by 11:59 p.m., Eastern Time, on June 6, 2023, or (3) by returning your completed proxy card by mail. The trustee will vote your shares in accordance with your instructions. If you do not provide timely voting instructions to the trustee, the trustee will vote your shares in the same proportion as the shares for which the trustee receives voting instructions from other participants in the plan.</w:t>
      </w:r>
    </w:p>
    <w:p>
      <w:pPr>
        <w:pStyle w:val="TextBody"/>
        <w:pBdr/>
        <w:spacing w:before="0" w:after="210"/>
        <w:ind w:left="0" w:right="0" w:hanging="0"/>
        <w:rPr>
          <w:rFonts w:ascii="Arial" w:hAnsi="Arial"/>
          <w:color w:val="000000"/>
          <w:sz w:val="21"/>
        </w:rPr>
      </w:pPr>
      <w:r>
        <w:rPr>
          <w:rFonts w:ascii="Arial" w:hAnsi="Arial"/>
          <w:color w:val="000000"/>
          <w:sz w:val="21"/>
        </w:rPr>
        <w:t>If you participate and hold shares of common stock in the Regeneron Ireland Share Participation Plan, you may provide voting instructions to Mercer Ireland Limited, who administers the Plan on behalf of Irish Pensions Trust Limited, the trustees of the Plan. You will receive a voting instruction form by mail sent directly to your home address, which you should complete, sign, and return to Mercer by mail using the enclosed pre-paid envelope or as an e-mail attachment in accordance with the instructions provided by Mercer.</w:t>
      </w:r>
    </w:p>
    <w:p>
      <w:pPr>
        <w:pStyle w:val="Heading4"/>
        <w:pBdr/>
        <w:spacing w:before="300" w:after="150"/>
        <w:ind w:left="0" w:right="0" w:hanging="0"/>
        <w:rPr>
          <w:rFonts w:ascii="Arial" w:hAnsi="Arial"/>
          <w:b/>
          <w:i w:val="false"/>
          <w:caps w:val="false"/>
          <w:smallCaps w:val="false"/>
          <w:color w:val="245BA7"/>
          <w:sz w:val="24"/>
        </w:rPr>
      </w:pPr>
      <w:bookmarkStart w:id="202" w:name="new_id-190"/>
      <w:bookmarkEnd w:id="202"/>
      <w:r>
        <w:rPr>
          <w:rFonts w:ascii="Arial" w:hAnsi="Arial"/>
          <w:b/>
          <w:i w:val="false"/>
          <w:caps w:val="false"/>
          <w:smallCaps w:val="false"/>
          <w:color w:val="245BA7"/>
          <w:sz w:val="24"/>
        </w:rPr>
        <w:t xml:space="preserve">Can I change my vote or revoke my proxy? </w:t>
      </w:r>
    </w:p>
    <w:p>
      <w:pPr>
        <w:pStyle w:val="TextBody"/>
        <w:pBdr/>
        <w:spacing w:before="0" w:after="210"/>
        <w:ind w:left="0" w:right="0" w:hanging="0"/>
        <w:rPr>
          <w:rFonts w:ascii="Arial" w:hAnsi="Arial"/>
          <w:color w:val="000000"/>
          <w:sz w:val="21"/>
        </w:rPr>
      </w:pPr>
      <w:r>
        <w:rPr>
          <w:rFonts w:ascii="Arial" w:hAnsi="Arial"/>
          <w:color w:val="000000"/>
          <w:sz w:val="21"/>
        </w:rPr>
        <w:t>Yes. You may change your vote or revoke your proxy at any time before the proxy is exercised by voting again electronically through the Internet or by telephone, by mailing a new proxy card or voting instruction form, or by attending the Annual Meeting (via the Internet) and voting. If you are a record holder, you may also revoke your proxy by filing with the Secretary of the Company, at or before the taking of the vote at the Annual Meeting, a written notice of revocation bearing a later date than the proxy you previously submitted. Attendance at the Annual Meeting will not have the effect of revoking a proxy unless you vote at the Annual Meeting. If you hold your shares through a broker, bank, or other nominee in “street name,” you will need to contact them or follow the instructions in the voting instruction form used by the firm that holds your shares to revoke your proxy. Only your latest dated proxy we receive at or prior to the Annual Meeting will be counted.</w:t>
      </w:r>
    </w:p>
    <w:p>
      <w:pPr>
        <w:pStyle w:val="Heading4"/>
        <w:pBdr/>
        <w:spacing w:before="300" w:after="150"/>
        <w:ind w:left="0" w:right="0" w:hanging="0"/>
        <w:rPr>
          <w:rFonts w:ascii="Arial" w:hAnsi="Arial"/>
          <w:b/>
          <w:i w:val="false"/>
          <w:caps w:val="false"/>
          <w:smallCaps w:val="false"/>
          <w:color w:val="245BA7"/>
          <w:sz w:val="24"/>
        </w:rPr>
      </w:pPr>
      <w:bookmarkStart w:id="203" w:name="new_id-191"/>
      <w:bookmarkEnd w:id="203"/>
      <w:r>
        <w:rPr>
          <w:rFonts w:ascii="Arial" w:hAnsi="Arial"/>
          <w:b/>
          <w:i w:val="false"/>
          <w:caps w:val="false"/>
          <w:smallCaps w:val="false"/>
          <w:color w:val="245BA7"/>
          <w:sz w:val="24"/>
        </w:rPr>
        <w:t xml:space="preserve">Who solicits proxies and bears the cost of solicitation? </w:t>
      </w:r>
    </w:p>
    <w:p>
      <w:pPr>
        <w:pStyle w:val="TextBody"/>
        <w:pBdr/>
        <w:spacing w:before="0" w:after="210"/>
        <w:ind w:left="0" w:right="0" w:hanging="0"/>
        <w:rPr>
          <w:rFonts w:ascii="Arial" w:hAnsi="Arial"/>
          <w:color w:val="000000"/>
          <w:sz w:val="21"/>
        </w:rPr>
      </w:pPr>
      <w:r>
        <w:rPr>
          <w:rFonts w:ascii="Arial" w:hAnsi="Arial"/>
          <w:color w:val="000000"/>
          <w:sz w:val="21"/>
        </w:rPr>
        <w:t>Solicitation of proxies may be made by mail, in person, or by telephone by officers, directors, and other employees of the Company and by employees of the Company’s transfer agent, American Stock Transfer &amp; Trust Company, LLC (“AST”), and employees of Broadridge Financial Solutions, Inc. (“Broadridge”). We will reimburse AST, Broadridge, and our banks, brokers, and other custodians, nominees, and fiduciaries for their respective reasonable costs in the preparation and mailing of proxy materials to shareholders. In addition, we have engaged Innisfree M&amp;A Incorporated to assist in the solicitation of proxies and provide related advice and informational support for a service fee of $25,000 and the reimbursement of customary disbursements and expenses. We will bear all costs of the solicitation of proxies.</w:t>
      </w:r>
    </w:p>
    <w:p>
      <w:pPr>
        <w:pStyle w:val="Heading4"/>
        <w:pBdr/>
        <w:spacing w:before="300" w:after="150"/>
        <w:ind w:left="0" w:right="0" w:hanging="0"/>
        <w:rPr>
          <w:rFonts w:ascii="Arial" w:hAnsi="Arial"/>
          <w:b/>
          <w:i w:val="false"/>
          <w:caps w:val="false"/>
          <w:smallCaps w:val="false"/>
          <w:color w:val="245BA7"/>
          <w:sz w:val="24"/>
        </w:rPr>
      </w:pPr>
      <w:bookmarkStart w:id="204" w:name="new_id-192"/>
      <w:bookmarkEnd w:id="204"/>
      <w:r>
        <w:rPr>
          <w:rFonts w:ascii="Arial" w:hAnsi="Arial"/>
          <w:b/>
          <w:i w:val="false"/>
          <w:caps w:val="false"/>
          <w:smallCaps w:val="false"/>
          <w:color w:val="245BA7"/>
          <w:sz w:val="24"/>
        </w:rPr>
        <w:t xml:space="preserve">What are the board’s recommendations? </w:t>
      </w:r>
    </w:p>
    <w:p>
      <w:pPr>
        <w:pStyle w:val="TextBody"/>
        <w:pBdr/>
        <w:spacing w:before="0" w:after="210"/>
        <w:ind w:left="0" w:right="0" w:hanging="0"/>
        <w:rPr>
          <w:rFonts w:ascii="Arial" w:hAnsi="Arial"/>
          <w:color w:val="000000"/>
          <w:sz w:val="21"/>
        </w:rPr>
      </w:pPr>
      <w:r>
        <w:rPr>
          <w:rFonts w:ascii="Arial" w:hAnsi="Arial"/>
          <w:color w:val="000000"/>
          <w:sz w:val="21"/>
        </w:rPr>
        <w:t>The board of directors recommends that you vote:</w:t>
      </w:r>
    </w:p>
    <w:tbl>
      <w:tblPr>
        <w:tblW w:w="10205" w:type="dxa"/>
        <w:jc w:val="left"/>
        <w:tblInd w:w="0" w:type="dxa"/>
        <w:tblCellMar>
          <w:top w:w="0" w:type="dxa"/>
          <w:left w:w="0" w:type="dxa"/>
          <w:bottom w:w="0" w:type="dxa"/>
          <w:right w:w="0" w:type="dxa"/>
        </w:tblCellMar>
      </w:tblPr>
      <w:tblGrid>
        <w:gridCol w:w="840"/>
        <w:gridCol w:w="9365"/>
      </w:tblGrid>
      <w:tr>
        <w:trPr/>
        <w:tc>
          <w:tcPr>
            <w:tcW w:w="840" w:type="dxa"/>
            <w:tcBorders/>
            <w:shd w:fill="auto" w:val="clear"/>
            <w:vAlign w:val="center"/>
          </w:tcPr>
          <w:p>
            <w:pPr>
              <w:pStyle w:val="TableContents"/>
              <w:spacing w:before="0" w:after="283"/>
              <w:rPr>
                <w:caps w:val="false"/>
                <w:smallCaps w:val="false"/>
              </w:rPr>
            </w:pPr>
            <w:r>
              <w:rPr>
                <w:caps w:val="false"/>
                <w:smallCaps w:val="false"/>
              </w:rPr>
              <w:drawing>
                <wp:inline distT="0" distB="0" distL="0" distR="0">
                  <wp:extent cx="523875" cy="523875"/>
                  <wp:effectExtent l="0" t="0" r="0" b="0"/>
                  <wp:docPr id="324"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56" descr=""/>
                          <pic:cNvPicPr>
                            <a:picLocks noChangeAspect="1" noChangeArrowheads="1"/>
                          </pic:cNvPicPr>
                        </pic:nvPicPr>
                        <pic:blipFill>
                          <a:blip r:embed="rId257"/>
                          <a:stretch>
                            <a:fillRect/>
                          </a:stretch>
                        </pic:blipFill>
                        <pic:spPr bwMode="auto">
                          <a:xfrm>
                            <a:off x="0" y="0"/>
                            <a:ext cx="523875" cy="523875"/>
                          </a:xfrm>
                          <a:prstGeom prst="rect">
                            <a:avLst/>
                          </a:prstGeom>
                        </pic:spPr>
                      </pic:pic>
                    </a:graphicData>
                  </a:graphic>
                </wp:inline>
              </w:drawing>
            </w:r>
          </w:p>
        </w:tc>
        <w:tc>
          <w:tcPr>
            <w:tcW w:w="9365" w:type="dxa"/>
            <w:tcBorders/>
            <w:shd w:fill="auto" w:val="clear"/>
            <w:vAlign w:val="center"/>
          </w:tcPr>
          <w:p>
            <w:pPr>
              <w:pStyle w:val="TableContents"/>
              <w:spacing w:before="0" w:after="283"/>
              <w:jc w:val="left"/>
              <w:rPr/>
            </w:pPr>
            <w:r>
              <w:rPr>
                <w:rFonts w:ascii="Arial" w:hAnsi="Arial"/>
                <w:b/>
                <w:i w:val="false"/>
                <w:caps w:val="false"/>
                <w:smallCaps w:val="false"/>
                <w:color w:val="245BA7"/>
                <w:sz w:val="20"/>
              </w:rPr>
              <w:t xml:space="preserve">FOR </w:t>
            </w:r>
            <w:r>
              <w:rPr>
                <w:rFonts w:ascii="Arial" w:hAnsi="Arial"/>
                <w:b w:val="false"/>
                <w:i w:val="false"/>
                <w:caps w:val="false"/>
                <w:smallCaps w:val="false"/>
                <w:sz w:val="20"/>
              </w:rPr>
              <w:t>election of each of the four nominated Class II directors (Proposal No. 1);</w:t>
            </w:r>
          </w:p>
        </w:tc>
      </w:tr>
      <w:tr>
        <w:trPr/>
        <w:tc>
          <w:tcPr>
            <w:tcW w:w="840" w:type="dxa"/>
            <w:tcBorders/>
            <w:shd w:fill="auto" w:val="clear"/>
            <w:vAlign w:val="center"/>
          </w:tcPr>
          <w:p>
            <w:pPr>
              <w:pStyle w:val="TableContents"/>
              <w:spacing w:before="0" w:after="283"/>
              <w:rPr>
                <w:caps w:val="false"/>
                <w:smallCaps w:val="false"/>
              </w:rPr>
            </w:pPr>
            <w:r>
              <w:rPr>
                <w:caps w:val="false"/>
                <w:smallCaps w:val="false"/>
              </w:rPr>
              <w:t> </w:t>
            </w:r>
          </w:p>
        </w:tc>
        <w:tc>
          <w:tcPr>
            <w:tcW w:w="936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840" w:type="dxa"/>
            <w:tcBorders/>
            <w:shd w:fill="auto" w:val="clear"/>
            <w:vAlign w:val="center"/>
          </w:tcPr>
          <w:p>
            <w:pPr>
              <w:pStyle w:val="TableContents"/>
              <w:spacing w:before="0" w:after="283"/>
              <w:rPr>
                <w:caps w:val="false"/>
                <w:smallCaps w:val="false"/>
              </w:rPr>
            </w:pPr>
            <w:r>
              <w:rPr>
                <w:caps w:val="false"/>
                <w:smallCaps w:val="false"/>
              </w:rPr>
              <w:drawing>
                <wp:inline distT="0" distB="0" distL="0" distR="0">
                  <wp:extent cx="523875" cy="523875"/>
                  <wp:effectExtent l="0" t="0" r="0" b="0"/>
                  <wp:docPr id="325"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57" descr=""/>
                          <pic:cNvPicPr>
                            <a:picLocks noChangeAspect="1" noChangeArrowheads="1"/>
                          </pic:cNvPicPr>
                        </pic:nvPicPr>
                        <pic:blipFill>
                          <a:blip r:embed="rId258"/>
                          <a:stretch>
                            <a:fillRect/>
                          </a:stretch>
                        </pic:blipFill>
                        <pic:spPr bwMode="auto">
                          <a:xfrm>
                            <a:off x="0" y="0"/>
                            <a:ext cx="523875" cy="523875"/>
                          </a:xfrm>
                          <a:prstGeom prst="rect">
                            <a:avLst/>
                          </a:prstGeom>
                        </pic:spPr>
                      </pic:pic>
                    </a:graphicData>
                  </a:graphic>
                </wp:inline>
              </w:drawing>
            </w:r>
          </w:p>
        </w:tc>
        <w:tc>
          <w:tcPr>
            <w:tcW w:w="9365" w:type="dxa"/>
            <w:tcBorders/>
            <w:shd w:fill="auto" w:val="clear"/>
            <w:vAlign w:val="center"/>
          </w:tcPr>
          <w:p>
            <w:pPr>
              <w:pStyle w:val="TableContents"/>
              <w:spacing w:before="0" w:after="283"/>
              <w:jc w:val="left"/>
              <w:rPr/>
            </w:pPr>
            <w:r>
              <w:rPr>
                <w:rFonts w:ascii="Arial" w:hAnsi="Arial"/>
                <w:b/>
                <w:i w:val="false"/>
                <w:caps w:val="false"/>
                <w:smallCaps w:val="false"/>
                <w:color w:val="245BA7"/>
                <w:sz w:val="20"/>
              </w:rPr>
              <w:t>FOR</w:t>
            </w:r>
            <w:r>
              <w:rPr>
                <w:caps w:val="false"/>
                <w:smallCaps w:val="false"/>
              </w:rPr>
              <w:t xml:space="preserve"> </w:t>
            </w:r>
            <w:r>
              <w:rPr>
                <w:rFonts w:ascii="Arial" w:hAnsi="Arial"/>
                <w:b w:val="false"/>
                <w:i w:val="false"/>
                <w:caps w:val="false"/>
                <w:smallCaps w:val="false"/>
                <w:sz w:val="20"/>
              </w:rPr>
              <w:t xml:space="preserve">ratification of the appointment of PricewaterhouseCoopers LLP as the Company’s independent registered public accounting firm for 2023 (Proposal No. 2); and </w:t>
            </w:r>
          </w:p>
        </w:tc>
      </w:tr>
      <w:tr>
        <w:trPr/>
        <w:tc>
          <w:tcPr>
            <w:tcW w:w="840" w:type="dxa"/>
            <w:tcBorders/>
            <w:shd w:fill="auto" w:val="clear"/>
            <w:vAlign w:val="center"/>
          </w:tcPr>
          <w:p>
            <w:pPr>
              <w:pStyle w:val="TableContents"/>
              <w:spacing w:before="0" w:after="283"/>
              <w:rPr>
                <w:caps w:val="false"/>
                <w:smallCaps w:val="false"/>
              </w:rPr>
            </w:pPr>
            <w:r>
              <w:rPr>
                <w:caps w:val="false"/>
                <w:smallCaps w:val="false"/>
              </w:rPr>
              <w:t> </w:t>
            </w:r>
          </w:p>
        </w:tc>
        <w:tc>
          <w:tcPr>
            <w:tcW w:w="936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840" w:type="dxa"/>
            <w:tcBorders/>
            <w:shd w:fill="auto" w:val="clear"/>
            <w:vAlign w:val="center"/>
          </w:tcPr>
          <w:p>
            <w:pPr>
              <w:pStyle w:val="TableContents"/>
              <w:spacing w:before="0" w:after="283"/>
              <w:rPr>
                <w:caps w:val="false"/>
                <w:smallCaps w:val="false"/>
              </w:rPr>
            </w:pPr>
            <w:r>
              <w:rPr>
                <w:caps w:val="false"/>
                <w:smallCaps w:val="false"/>
              </w:rPr>
              <w:drawing>
                <wp:inline distT="0" distB="0" distL="0" distR="0">
                  <wp:extent cx="523875" cy="523875"/>
                  <wp:effectExtent l="0" t="0" r="0" b="0"/>
                  <wp:docPr id="326"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58" descr=""/>
                          <pic:cNvPicPr>
                            <a:picLocks noChangeAspect="1" noChangeArrowheads="1"/>
                          </pic:cNvPicPr>
                        </pic:nvPicPr>
                        <pic:blipFill>
                          <a:blip r:embed="rId259"/>
                          <a:stretch>
                            <a:fillRect/>
                          </a:stretch>
                        </pic:blipFill>
                        <pic:spPr bwMode="auto">
                          <a:xfrm>
                            <a:off x="0" y="0"/>
                            <a:ext cx="523875" cy="523875"/>
                          </a:xfrm>
                          <a:prstGeom prst="rect">
                            <a:avLst/>
                          </a:prstGeom>
                        </pic:spPr>
                      </pic:pic>
                    </a:graphicData>
                  </a:graphic>
                </wp:inline>
              </w:drawing>
            </w:r>
          </w:p>
        </w:tc>
        <w:tc>
          <w:tcPr>
            <w:tcW w:w="9365" w:type="dxa"/>
            <w:tcBorders/>
            <w:shd w:fill="auto" w:val="clear"/>
            <w:vAlign w:val="center"/>
          </w:tcPr>
          <w:p>
            <w:pPr>
              <w:pStyle w:val="TableContents"/>
              <w:spacing w:before="0" w:after="283"/>
              <w:jc w:val="left"/>
              <w:rPr/>
            </w:pPr>
            <w:r>
              <w:rPr>
                <w:rFonts w:ascii="Arial" w:hAnsi="Arial"/>
                <w:b/>
                <w:i w:val="false"/>
                <w:caps w:val="false"/>
                <w:smallCaps w:val="false"/>
                <w:color w:val="245BA7"/>
                <w:sz w:val="20"/>
              </w:rPr>
              <w:t>FOR</w:t>
            </w:r>
            <w:r>
              <w:rPr>
                <w:caps w:val="false"/>
                <w:smallCaps w:val="false"/>
              </w:rPr>
              <w:t xml:space="preserve"> </w:t>
            </w:r>
            <w:r>
              <w:rPr>
                <w:rFonts w:ascii="Arial" w:hAnsi="Arial"/>
                <w:b w:val="false"/>
                <w:i w:val="false"/>
                <w:caps w:val="false"/>
                <w:smallCaps w:val="false"/>
                <w:sz w:val="20"/>
              </w:rPr>
              <w:t>approval of the compensation of the Company’s Named Executive Officers as disclosed in these proxy materials (say-on-pay) (Proposal No. 3).</w:t>
            </w:r>
          </w:p>
        </w:tc>
      </w:tr>
      <w:tr>
        <w:trPr/>
        <w:tc>
          <w:tcPr>
            <w:tcW w:w="840" w:type="dxa"/>
            <w:tcBorders/>
            <w:shd w:fill="auto" w:val="clear"/>
            <w:vAlign w:val="center"/>
          </w:tcPr>
          <w:p>
            <w:pPr>
              <w:pStyle w:val="TableContents"/>
              <w:spacing w:before="0" w:after="283"/>
              <w:rPr>
                <w:caps w:val="false"/>
                <w:smallCaps w:val="false"/>
              </w:rPr>
            </w:pPr>
            <w:r>
              <w:rPr>
                <w:caps w:val="false"/>
                <w:smallCaps w:val="false"/>
              </w:rPr>
              <w:t> </w:t>
            </w:r>
          </w:p>
        </w:tc>
        <w:tc>
          <w:tcPr>
            <w:tcW w:w="936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840" w:type="dxa"/>
            <w:tcBorders/>
            <w:shd w:fill="auto" w:val="clear"/>
            <w:vAlign w:val="center"/>
          </w:tcPr>
          <w:p>
            <w:pPr>
              <w:pStyle w:val="TableContents"/>
              <w:spacing w:before="0" w:after="283"/>
              <w:rPr>
                <w:caps w:val="false"/>
                <w:smallCaps w:val="false"/>
              </w:rPr>
            </w:pPr>
            <w:r>
              <w:rPr>
                <w:caps w:val="false"/>
                <w:smallCaps w:val="false"/>
              </w:rPr>
              <w:drawing>
                <wp:inline distT="0" distB="0" distL="0" distR="0">
                  <wp:extent cx="523875" cy="533400"/>
                  <wp:effectExtent l="0" t="0" r="0" b="0"/>
                  <wp:docPr id="327"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59" descr=""/>
                          <pic:cNvPicPr>
                            <a:picLocks noChangeAspect="1" noChangeArrowheads="1"/>
                          </pic:cNvPicPr>
                        </pic:nvPicPr>
                        <pic:blipFill>
                          <a:blip r:embed="rId260"/>
                          <a:stretch>
                            <a:fillRect/>
                          </a:stretch>
                        </pic:blipFill>
                        <pic:spPr bwMode="auto">
                          <a:xfrm>
                            <a:off x="0" y="0"/>
                            <a:ext cx="523875" cy="533400"/>
                          </a:xfrm>
                          <a:prstGeom prst="rect">
                            <a:avLst/>
                          </a:prstGeom>
                        </pic:spPr>
                      </pic:pic>
                    </a:graphicData>
                  </a:graphic>
                </wp:inline>
              </w:drawing>
            </w:r>
          </w:p>
        </w:tc>
        <w:tc>
          <w:tcPr>
            <w:tcW w:w="9365" w:type="dxa"/>
            <w:tcBorders/>
            <w:shd w:fill="auto" w:val="clear"/>
            <w:vAlign w:val="center"/>
          </w:tcPr>
          <w:p>
            <w:pPr>
              <w:pStyle w:val="TableContents"/>
              <w:spacing w:before="0" w:after="283"/>
              <w:jc w:val="left"/>
              <w:rPr>
                <w:rFonts w:ascii="Arial" w:hAnsi="Arial"/>
                <w:b w:val="false"/>
                <w:i w:val="false"/>
                <w:caps w:val="false"/>
                <w:smallCaps w:val="false"/>
                <w:sz w:val="20"/>
              </w:rPr>
            </w:pPr>
            <w:r>
              <w:rPr>
                <w:rFonts w:ascii="Arial" w:hAnsi="Arial"/>
                <w:b w:val="false"/>
                <w:i w:val="false"/>
                <w:caps w:val="false"/>
                <w:smallCaps w:val="false"/>
                <w:sz w:val="20"/>
              </w:rPr>
              <w:t xml:space="preserve">A frequency of every </w:t>
            </w:r>
            <w:r>
              <w:rPr>
                <w:rFonts w:ascii="Arial" w:hAnsi="Arial"/>
                <w:b/>
                <w:i w:val="false"/>
                <w:caps w:val="false"/>
                <w:smallCaps w:val="false"/>
                <w:color w:val="245BA7"/>
                <w:sz w:val="20"/>
              </w:rPr>
              <w:t>one year</w:t>
            </w:r>
            <w:r>
              <w:rPr>
                <w:rFonts w:ascii="Arial" w:hAnsi="Arial"/>
                <w:b w:val="false"/>
                <w:i w:val="false"/>
                <w:caps w:val="false"/>
                <w:smallCaps w:val="false"/>
                <w:sz w:val="20"/>
              </w:rPr>
              <w:t xml:space="preserve"> for the advisory vote regarding the frequency of future say-on-pay votes (Proposal No. 4)</w:t>
            </w:r>
          </w:p>
        </w:tc>
      </w:tr>
      <w:tr>
        <w:trPr/>
        <w:tc>
          <w:tcPr>
            <w:tcW w:w="840" w:type="dxa"/>
            <w:tcBorders/>
            <w:shd w:fill="auto" w:val="clear"/>
            <w:vAlign w:val="center"/>
          </w:tcPr>
          <w:p>
            <w:pPr>
              <w:pStyle w:val="TableContents"/>
              <w:spacing w:before="0" w:after="283"/>
              <w:rPr>
                <w:caps w:val="false"/>
                <w:smallCaps w:val="false"/>
              </w:rPr>
            </w:pPr>
            <w:r>
              <w:rPr>
                <w:caps w:val="false"/>
                <w:smallCaps w:val="false"/>
              </w:rPr>
              <w:t> </w:t>
            </w:r>
          </w:p>
        </w:tc>
        <w:tc>
          <w:tcPr>
            <w:tcW w:w="936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840" w:type="dxa"/>
            <w:tcBorders/>
            <w:shd w:fill="auto" w:val="clear"/>
            <w:vAlign w:val="center"/>
          </w:tcPr>
          <w:p>
            <w:pPr>
              <w:pStyle w:val="TableContents"/>
              <w:spacing w:before="0" w:after="283"/>
              <w:rPr>
                <w:caps w:val="false"/>
                <w:smallCaps w:val="false"/>
              </w:rPr>
            </w:pPr>
            <w:r>
              <w:rPr>
                <w:caps w:val="false"/>
                <w:smallCaps w:val="false"/>
              </w:rPr>
              <w:drawing>
                <wp:inline distT="0" distB="0" distL="0" distR="0">
                  <wp:extent cx="523875" cy="514350"/>
                  <wp:effectExtent l="0" t="0" r="0" b="0"/>
                  <wp:docPr id="328"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60" descr=""/>
                          <pic:cNvPicPr>
                            <a:picLocks noChangeAspect="1" noChangeArrowheads="1"/>
                          </pic:cNvPicPr>
                        </pic:nvPicPr>
                        <pic:blipFill>
                          <a:blip r:embed="rId261"/>
                          <a:stretch>
                            <a:fillRect/>
                          </a:stretch>
                        </pic:blipFill>
                        <pic:spPr bwMode="auto">
                          <a:xfrm>
                            <a:off x="0" y="0"/>
                            <a:ext cx="523875" cy="514350"/>
                          </a:xfrm>
                          <a:prstGeom prst="rect">
                            <a:avLst/>
                          </a:prstGeom>
                        </pic:spPr>
                      </pic:pic>
                    </a:graphicData>
                  </a:graphic>
                </wp:inline>
              </w:drawing>
            </w:r>
          </w:p>
        </w:tc>
        <w:tc>
          <w:tcPr>
            <w:tcW w:w="9365" w:type="dxa"/>
            <w:tcBorders/>
            <w:shd w:fill="auto" w:val="clear"/>
            <w:vAlign w:val="center"/>
          </w:tcPr>
          <w:p>
            <w:pPr>
              <w:pStyle w:val="TableContents"/>
              <w:spacing w:before="0" w:after="283"/>
              <w:jc w:val="left"/>
              <w:rPr/>
            </w:pPr>
            <w:r>
              <w:rPr>
                <w:rFonts w:ascii="Arial" w:hAnsi="Arial"/>
                <w:b/>
                <w:i w:val="false"/>
                <w:caps w:val="false"/>
                <w:smallCaps w:val="false"/>
                <w:color w:val="245BA7"/>
                <w:sz w:val="20"/>
              </w:rPr>
              <w:t>AGAINST</w:t>
            </w:r>
            <w:r>
              <w:rPr>
                <w:caps w:val="false"/>
                <w:smallCaps w:val="false"/>
              </w:rPr>
              <w:t xml:space="preserve"> </w:t>
            </w:r>
            <w:r>
              <w:rPr>
                <w:rFonts w:ascii="Arial" w:hAnsi="Arial"/>
                <w:b w:val="false"/>
                <w:i w:val="false"/>
                <w:caps w:val="false"/>
                <w:smallCaps w:val="false"/>
                <w:sz w:val="20"/>
              </w:rPr>
              <w:t>approval of a non-binding shareholder proposal (Proposal No. 5)</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29"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61" descr=""/>
                          <pic:cNvPicPr>
                            <a:picLocks noChangeAspect="1" noChangeArrowheads="1"/>
                          </pic:cNvPicPr>
                        </pic:nvPicPr>
                        <pic:blipFill>
                          <a:blip r:embed="rId262"/>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112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245BA7"/>
          <w:sz w:val="24"/>
        </w:rPr>
      </w:pPr>
      <w:bookmarkStart w:id="205" w:name="new_id-193"/>
      <w:bookmarkEnd w:id="205"/>
      <w:r>
        <w:rPr>
          <w:rFonts w:ascii="Arial" w:hAnsi="Arial"/>
          <w:b/>
          <w:i w:val="false"/>
          <w:caps w:val="false"/>
          <w:smallCaps w:val="false"/>
          <w:color w:val="245BA7"/>
          <w:sz w:val="24"/>
        </w:rPr>
        <w:t xml:space="preserve">What vote is required to approve each proposal? </w:t>
      </w:r>
    </w:p>
    <w:p>
      <w:pPr>
        <w:pStyle w:val="TextBody"/>
        <w:pBdr/>
        <w:spacing w:before="0" w:after="210"/>
        <w:ind w:left="0" w:right="0" w:hanging="0"/>
        <w:rPr>
          <w:rFonts w:ascii="Arial" w:hAnsi="Arial"/>
          <w:color w:val="000000"/>
          <w:sz w:val="21"/>
        </w:rPr>
      </w:pPr>
      <w:r>
        <w:rPr>
          <w:rFonts w:ascii="Arial" w:hAnsi="Arial"/>
          <w:color w:val="000000"/>
          <w:sz w:val="21"/>
        </w:rPr>
        <w:t>The following table summarizes the voting requirements applicable to the proposals to be voted on at the Annual Meeting:</w:t>
      </w:r>
    </w:p>
    <w:tbl>
      <w:tblPr>
        <w:tblW w:w="10205" w:type="dxa"/>
        <w:jc w:val="left"/>
        <w:tblInd w:w="0" w:type="dxa"/>
        <w:tblCellMar>
          <w:top w:w="0" w:type="dxa"/>
          <w:left w:w="0" w:type="dxa"/>
          <w:bottom w:w="75" w:type="dxa"/>
          <w:right w:w="0" w:type="dxa"/>
        </w:tblCellMar>
      </w:tblPr>
      <w:tblGrid>
        <w:gridCol w:w="496"/>
        <w:gridCol w:w="2956"/>
        <w:gridCol w:w="2957"/>
        <w:gridCol w:w="2120"/>
        <w:gridCol w:w="1676"/>
      </w:tblGrid>
      <w:tr>
        <w:trPr/>
        <w:tc>
          <w:tcPr>
            <w:tcW w:w="3452" w:type="dxa"/>
            <w:gridSpan w:val="2"/>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Proposal</w:t>
            </w:r>
          </w:p>
        </w:tc>
        <w:tc>
          <w:tcPr>
            <w:tcW w:w="2957" w:type="dxa"/>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Vote Required</w:t>
            </w:r>
          </w:p>
        </w:tc>
        <w:tc>
          <w:tcPr>
            <w:tcW w:w="2120" w:type="dxa"/>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 xml:space="preserve">Effect of Abstentions </w:t>
            </w:r>
          </w:p>
          <w:p>
            <w:pPr>
              <w:pStyle w:val="TableContents"/>
              <w:pBdr/>
              <w:spacing w:before="0" w:after="0"/>
              <w:ind w:left="75" w:right="75" w:hanging="0"/>
              <w:rPr>
                <w:rFonts w:ascii="Arial" w:hAnsi="Arial"/>
                <w:b/>
                <w:color w:val="245BA7"/>
                <w:sz w:val="18"/>
              </w:rPr>
            </w:pPr>
            <w:r>
              <w:rPr>
                <w:rFonts w:ascii="Arial" w:hAnsi="Arial"/>
                <w:b/>
                <w:color w:val="245BA7"/>
                <w:sz w:val="18"/>
              </w:rPr>
              <w:t>and Broker Non-Votes*</w:t>
            </w:r>
          </w:p>
        </w:tc>
        <w:tc>
          <w:tcPr>
            <w:tcW w:w="1676" w:type="dxa"/>
            <w:tcBorders>
              <w:bottom w:val="single" w:sz="12" w:space="0" w:color="245BA7"/>
            </w:tcBorders>
            <w:shd w:fill="auto" w:val="clear"/>
            <w:vAlign w:val="center"/>
          </w:tcPr>
          <w:p>
            <w:pPr>
              <w:pStyle w:val="TableContents"/>
              <w:pBdr/>
              <w:spacing w:before="15" w:after="0"/>
              <w:ind w:left="75" w:right="75" w:hanging="0"/>
              <w:rPr>
                <w:rFonts w:ascii="Arial" w:hAnsi="Arial"/>
                <w:b/>
                <w:color w:val="245BA7"/>
                <w:sz w:val="18"/>
              </w:rPr>
            </w:pPr>
            <w:r>
              <w:rPr>
                <w:rFonts w:ascii="Arial" w:hAnsi="Arial"/>
                <w:b/>
                <w:color w:val="245BA7"/>
                <w:sz w:val="18"/>
              </w:rPr>
              <w:t xml:space="preserve">Broker Discretionary Voting </w:t>
            </w:r>
          </w:p>
          <w:p>
            <w:pPr>
              <w:pStyle w:val="TableContents"/>
              <w:pBdr/>
              <w:spacing w:before="0" w:after="0"/>
              <w:ind w:left="75" w:right="75" w:hanging="0"/>
              <w:rPr>
                <w:rFonts w:ascii="Arial" w:hAnsi="Arial"/>
                <w:b/>
                <w:color w:val="245BA7"/>
                <w:sz w:val="18"/>
              </w:rPr>
            </w:pPr>
            <w:r>
              <w:rPr>
                <w:rFonts w:ascii="Arial" w:hAnsi="Arial"/>
                <w:b/>
                <w:color w:val="245BA7"/>
                <w:sz w:val="18"/>
              </w:rPr>
              <w:t>Allowed?</w:t>
            </w:r>
            <w:r>
              <w:rPr>
                <w:rFonts w:ascii="Arial" w:hAnsi="Arial"/>
                <w:b/>
                <w:color w:val="245BA7"/>
                <w:sz w:val="9"/>
              </w:rPr>
              <w:t>+</w:t>
            </w:r>
          </w:p>
        </w:tc>
      </w:tr>
      <w:tr>
        <w:trPr/>
        <w:tc>
          <w:tcPr>
            <w:tcW w:w="496" w:type="dxa"/>
            <w:tcBorders>
              <w:bottom w:val="single" w:sz="2" w:space="0" w:color="575756"/>
            </w:tcBorders>
            <w:shd w:fill="auto" w:val="clear"/>
            <w:tcMar>
              <w:bottom w:w="30" w:type="dxa"/>
            </w:tcMar>
            <w:vAlign w:val="center"/>
          </w:tcPr>
          <w:p>
            <w:pPr>
              <w:pStyle w:val="TableContents"/>
              <w:pBdr/>
              <w:spacing w:before="0" w:after="0"/>
              <w:ind w:left="75" w:right="75" w:hanging="0"/>
              <w:rPr>
                <w:rFonts w:ascii="Arial" w:hAnsi="Arial"/>
                <w:b/>
                <w:color w:val="D31B5D"/>
                <w:sz w:val="54"/>
              </w:rPr>
            </w:pPr>
            <w:r>
              <w:rPr>
                <w:rFonts w:ascii="Arial" w:hAnsi="Arial"/>
                <w:b/>
                <w:color w:val="D31B5D"/>
                <w:sz w:val="54"/>
              </w:rPr>
              <w:t>1</w:t>
            </w:r>
          </w:p>
        </w:tc>
        <w:tc>
          <w:tcPr>
            <w:tcW w:w="2956" w:type="dxa"/>
            <w:tcBorders>
              <w:bottom w:val="single" w:sz="2" w:space="0" w:color="575756"/>
            </w:tcBorders>
            <w:shd w:fill="auto" w:val="clear"/>
            <w:tcMar>
              <w:bottom w:w="30" w:type="dxa"/>
            </w:tcMar>
            <w:vAlign w:val="center"/>
          </w:tcPr>
          <w:p>
            <w:pPr>
              <w:pStyle w:val="TableContents"/>
              <w:pBdr/>
              <w:spacing w:before="60" w:after="15"/>
              <w:ind w:left="75" w:right="75" w:hanging="0"/>
              <w:rPr>
                <w:rFonts w:ascii="Arial" w:hAnsi="Arial"/>
                <w:b/>
                <w:color w:val="245BA7"/>
                <w:sz w:val="21"/>
              </w:rPr>
            </w:pPr>
            <w:r>
              <w:rPr>
                <w:rFonts w:ascii="Arial" w:hAnsi="Arial"/>
                <w:b/>
                <w:color w:val="245BA7"/>
                <w:sz w:val="21"/>
              </w:rPr>
              <w:t>Election of Directors</w:t>
            </w:r>
          </w:p>
        </w:tc>
        <w:tc>
          <w:tcPr>
            <w:tcW w:w="2957" w:type="dxa"/>
            <w:tcBorders>
              <w:bottom w:val="single" w:sz="2" w:space="0" w:color="575756"/>
            </w:tcBorders>
            <w:shd w:fill="auto" w:val="clear"/>
            <w:tcMar>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Majority of the votes cast. In accordance with our director resignation policy, an incumbent director who fails to receive the required number of votes in an uncontested election will be required to tender his or her resignation to the Chair of the board of directors for consideration by the Corporate Governance and Compliance Committee.</w:t>
            </w:r>
          </w:p>
        </w:tc>
        <w:tc>
          <w:tcPr>
            <w:tcW w:w="2120" w:type="dxa"/>
            <w:tcBorders>
              <w:bottom w:val="single" w:sz="2" w:space="0" w:color="575756"/>
            </w:tcBorders>
            <w:shd w:fill="auto" w:val="clear"/>
            <w:tcMar>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No effect—not considered votes cast on this proposal</w:t>
            </w:r>
          </w:p>
        </w:tc>
        <w:tc>
          <w:tcPr>
            <w:tcW w:w="1676" w:type="dxa"/>
            <w:tcBorders>
              <w:bottom w:val="single" w:sz="2" w:space="0" w:color="575756"/>
            </w:tcBorders>
            <w:shd w:fill="auto" w:val="clear"/>
            <w:tcMar>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No—brokers without voting instructions will not be able to vote on this proposal</w:t>
            </w:r>
          </w:p>
        </w:tc>
      </w:tr>
      <w:tr>
        <w:trPr/>
        <w:tc>
          <w:tcPr>
            <w:tcW w:w="496" w:type="dxa"/>
            <w:tcBorders>
              <w:top w:val="single" w:sz="2" w:space="0" w:color="F2F2F2"/>
              <w:left w:val="single" w:sz="2" w:space="0" w:color="F2F2F2"/>
              <w:bottom w:val="single" w:sz="2" w:space="0" w:color="575756"/>
              <w:right w:val="single" w:sz="2" w:space="0" w:color="F2F2F2"/>
            </w:tcBorders>
            <w:shd w:fill="F2F2F2" w:val="clear"/>
            <w:tcMar>
              <w:top w:w="30" w:type="dxa"/>
              <w:left w:w="28" w:type="dxa"/>
              <w:bottom w:w="30" w:type="dxa"/>
              <w:right w:w="28" w:type="dxa"/>
            </w:tcMar>
            <w:vAlign w:val="center"/>
          </w:tcPr>
          <w:p>
            <w:pPr>
              <w:pStyle w:val="TableContents"/>
              <w:pBdr/>
              <w:spacing w:before="0" w:after="0"/>
              <w:ind w:left="75" w:right="75" w:hanging="0"/>
              <w:rPr>
                <w:rFonts w:ascii="Arial" w:hAnsi="Arial"/>
                <w:b/>
                <w:color w:val="D31B5D"/>
                <w:sz w:val="54"/>
              </w:rPr>
            </w:pPr>
            <w:r>
              <w:rPr>
                <w:rFonts w:ascii="Arial" w:hAnsi="Arial"/>
                <w:b/>
                <w:color w:val="D31B5D"/>
                <w:sz w:val="54"/>
              </w:rPr>
              <w:t>2</w:t>
            </w:r>
          </w:p>
        </w:tc>
        <w:tc>
          <w:tcPr>
            <w:tcW w:w="2956" w:type="dxa"/>
            <w:tcBorders>
              <w:top w:val="single" w:sz="2" w:space="0" w:color="F2F2F2"/>
              <w:left w:val="single" w:sz="2" w:space="0" w:color="F2F2F2"/>
              <w:bottom w:val="single" w:sz="2" w:space="0" w:color="575756"/>
              <w:right w:val="single" w:sz="2" w:space="0" w:color="F2F2F2"/>
            </w:tcBorders>
            <w:shd w:fill="F2F2F2" w:val="clear"/>
            <w:tcMar>
              <w:top w:w="30" w:type="dxa"/>
              <w:left w:w="28" w:type="dxa"/>
              <w:bottom w:w="30" w:type="dxa"/>
              <w:right w:w="28" w:type="dxa"/>
            </w:tcMar>
            <w:vAlign w:val="center"/>
          </w:tcPr>
          <w:p>
            <w:pPr>
              <w:pStyle w:val="TableContents"/>
              <w:pBdr/>
              <w:spacing w:before="60" w:after="15"/>
              <w:ind w:left="75" w:right="75" w:hanging="0"/>
              <w:rPr>
                <w:rFonts w:ascii="Arial" w:hAnsi="Arial"/>
                <w:b/>
                <w:color w:val="245BA7"/>
                <w:sz w:val="21"/>
              </w:rPr>
            </w:pPr>
            <w:r>
              <w:rPr>
                <w:rFonts w:ascii="Arial" w:hAnsi="Arial"/>
                <w:b/>
                <w:color w:val="245BA7"/>
                <w:sz w:val="21"/>
              </w:rPr>
              <w:t>Ratification of the Appointment of PricewaterhouseCoopers LLP</w:t>
            </w:r>
          </w:p>
        </w:tc>
        <w:tc>
          <w:tcPr>
            <w:tcW w:w="2957" w:type="dxa"/>
            <w:tcBorders>
              <w:top w:val="single" w:sz="2" w:space="0" w:color="F2F2F2"/>
              <w:left w:val="single" w:sz="2" w:space="0" w:color="F2F2F2"/>
              <w:bottom w:val="single" w:sz="2" w:space="0" w:color="575756"/>
              <w:right w:val="single" w:sz="2" w:space="0" w:color="F2F2F2"/>
            </w:tcBorders>
            <w:shd w:fill="F2F2F2" w:val="clear"/>
            <w:tcMar>
              <w:top w:w="30" w:type="dxa"/>
              <w:left w:w="28" w:type="dxa"/>
              <w:bottom w:w="30" w:type="dxa"/>
              <w:right w:w="28"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Majority of the votes cast</w:t>
            </w:r>
          </w:p>
        </w:tc>
        <w:tc>
          <w:tcPr>
            <w:tcW w:w="2120" w:type="dxa"/>
            <w:tcBorders>
              <w:top w:val="single" w:sz="2" w:space="0" w:color="F2F2F2"/>
              <w:left w:val="single" w:sz="2" w:space="0" w:color="F2F2F2"/>
              <w:bottom w:val="single" w:sz="2" w:space="0" w:color="575756"/>
              <w:right w:val="single" w:sz="2" w:space="0" w:color="F2F2F2"/>
            </w:tcBorders>
            <w:shd w:fill="F2F2F2" w:val="clear"/>
            <w:tcMar>
              <w:top w:w="30" w:type="dxa"/>
              <w:left w:w="28" w:type="dxa"/>
              <w:bottom w:w="30" w:type="dxa"/>
              <w:right w:w="28"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No effect—not considered votes cast on this proposal</w:t>
            </w:r>
          </w:p>
        </w:tc>
        <w:tc>
          <w:tcPr>
            <w:tcW w:w="1676" w:type="dxa"/>
            <w:tcBorders>
              <w:top w:val="single" w:sz="2" w:space="0" w:color="F2F2F2"/>
              <w:left w:val="single" w:sz="2" w:space="0" w:color="F2F2F2"/>
              <w:bottom w:val="single" w:sz="2" w:space="0" w:color="575756"/>
              <w:right w:val="single" w:sz="2" w:space="0" w:color="F2F2F2"/>
            </w:tcBorders>
            <w:shd w:fill="F2F2F2" w:val="clear"/>
            <w:tcMar>
              <w:top w:w="30" w:type="dxa"/>
              <w:left w:w="28" w:type="dxa"/>
              <w:bottom w:w="30" w:type="dxa"/>
              <w:right w:w="28"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Yes—brokers without voting instructions will have discretionary authority to vote</w:t>
            </w:r>
          </w:p>
        </w:tc>
      </w:tr>
      <w:tr>
        <w:trPr/>
        <w:tc>
          <w:tcPr>
            <w:tcW w:w="496" w:type="dxa"/>
            <w:tcBorders>
              <w:bottom w:val="single" w:sz="2" w:space="0" w:color="575756"/>
            </w:tcBorders>
            <w:shd w:fill="auto" w:val="clear"/>
            <w:tcMar>
              <w:bottom w:w="30" w:type="dxa"/>
            </w:tcMar>
            <w:vAlign w:val="center"/>
          </w:tcPr>
          <w:p>
            <w:pPr>
              <w:pStyle w:val="TableContents"/>
              <w:pBdr/>
              <w:spacing w:before="0" w:after="0"/>
              <w:ind w:left="75" w:right="75" w:hanging="0"/>
              <w:rPr>
                <w:rFonts w:ascii="Arial" w:hAnsi="Arial"/>
                <w:b/>
                <w:color w:val="D31B5D"/>
                <w:sz w:val="54"/>
              </w:rPr>
            </w:pPr>
            <w:r>
              <w:rPr>
                <w:rFonts w:ascii="Arial" w:hAnsi="Arial"/>
                <w:b/>
                <w:color w:val="D31B5D"/>
                <w:sz w:val="54"/>
              </w:rPr>
              <w:t>3</w:t>
            </w:r>
          </w:p>
        </w:tc>
        <w:tc>
          <w:tcPr>
            <w:tcW w:w="2956" w:type="dxa"/>
            <w:tcBorders>
              <w:bottom w:val="single" w:sz="2" w:space="0" w:color="575756"/>
            </w:tcBorders>
            <w:shd w:fill="auto" w:val="clear"/>
            <w:tcMar>
              <w:bottom w:w="30" w:type="dxa"/>
            </w:tcMar>
            <w:vAlign w:val="center"/>
          </w:tcPr>
          <w:p>
            <w:pPr>
              <w:pStyle w:val="TableContents"/>
              <w:pBdr/>
              <w:spacing w:before="60" w:after="15"/>
              <w:ind w:left="75" w:right="75" w:hanging="0"/>
              <w:rPr>
                <w:rFonts w:ascii="Arial" w:hAnsi="Arial"/>
                <w:b/>
                <w:color w:val="245BA7"/>
                <w:sz w:val="21"/>
              </w:rPr>
            </w:pPr>
            <w:r>
              <w:rPr>
                <w:rFonts w:ascii="Arial" w:hAnsi="Arial"/>
                <w:b/>
                <w:color w:val="245BA7"/>
                <w:sz w:val="21"/>
              </w:rPr>
              <w:t>Say-on-Pay</w:t>
            </w:r>
          </w:p>
        </w:tc>
        <w:tc>
          <w:tcPr>
            <w:tcW w:w="2957" w:type="dxa"/>
            <w:tcBorders>
              <w:bottom w:val="single" w:sz="2" w:space="0" w:color="575756"/>
            </w:tcBorders>
            <w:shd w:fill="auto" w:val="clear"/>
            <w:tcMar>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Non-binding, advisory proposal. We will consider the matter approved if it receives the affirmative vote of a majority of the votes cast</w:t>
            </w:r>
          </w:p>
        </w:tc>
        <w:tc>
          <w:tcPr>
            <w:tcW w:w="2120" w:type="dxa"/>
            <w:tcBorders>
              <w:bottom w:val="single" w:sz="2" w:space="0" w:color="575756"/>
            </w:tcBorders>
            <w:shd w:fill="auto" w:val="clear"/>
            <w:tcMar>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No effect—not considered votes cast on this proposal</w:t>
            </w:r>
          </w:p>
        </w:tc>
        <w:tc>
          <w:tcPr>
            <w:tcW w:w="1676" w:type="dxa"/>
            <w:tcBorders>
              <w:bottom w:val="single" w:sz="2" w:space="0" w:color="575756"/>
            </w:tcBorders>
            <w:shd w:fill="auto" w:val="clear"/>
            <w:tcMar>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No—brokers without voting instructions will not be able to vote on this proposal</w:t>
            </w:r>
          </w:p>
        </w:tc>
      </w:tr>
      <w:tr>
        <w:trPr/>
        <w:tc>
          <w:tcPr>
            <w:tcW w:w="496" w:type="dxa"/>
            <w:tcBorders>
              <w:top w:val="single" w:sz="2" w:space="0" w:color="F2F2F2"/>
              <w:left w:val="single" w:sz="2" w:space="0" w:color="F2F2F2"/>
              <w:bottom w:val="single" w:sz="2" w:space="0" w:color="575756"/>
              <w:right w:val="single" w:sz="2" w:space="0" w:color="F2F2F2"/>
            </w:tcBorders>
            <w:shd w:fill="F2F2F2" w:val="clear"/>
            <w:tcMar>
              <w:top w:w="30" w:type="dxa"/>
              <w:left w:w="28" w:type="dxa"/>
              <w:bottom w:w="30" w:type="dxa"/>
              <w:right w:w="28" w:type="dxa"/>
            </w:tcMar>
            <w:vAlign w:val="center"/>
          </w:tcPr>
          <w:p>
            <w:pPr>
              <w:pStyle w:val="TableContents"/>
              <w:pBdr/>
              <w:spacing w:before="0" w:after="0"/>
              <w:ind w:left="75" w:right="75" w:hanging="0"/>
              <w:rPr>
                <w:rFonts w:ascii="Arial" w:hAnsi="Arial"/>
                <w:b/>
                <w:color w:val="D31B5D"/>
                <w:sz w:val="54"/>
              </w:rPr>
            </w:pPr>
            <w:r>
              <w:rPr>
                <w:rFonts w:ascii="Arial" w:hAnsi="Arial"/>
                <w:b/>
                <w:color w:val="D31B5D"/>
                <w:sz w:val="54"/>
              </w:rPr>
              <w:t>4</w:t>
            </w:r>
          </w:p>
        </w:tc>
        <w:tc>
          <w:tcPr>
            <w:tcW w:w="2956" w:type="dxa"/>
            <w:tcBorders>
              <w:top w:val="single" w:sz="2" w:space="0" w:color="F2F2F2"/>
              <w:left w:val="single" w:sz="2" w:space="0" w:color="F2F2F2"/>
              <w:bottom w:val="single" w:sz="2" w:space="0" w:color="575756"/>
              <w:right w:val="single" w:sz="2" w:space="0" w:color="F2F2F2"/>
            </w:tcBorders>
            <w:shd w:fill="F2F2F2" w:val="clear"/>
            <w:tcMar>
              <w:top w:w="30" w:type="dxa"/>
              <w:left w:w="28" w:type="dxa"/>
              <w:bottom w:w="30" w:type="dxa"/>
              <w:right w:w="28" w:type="dxa"/>
            </w:tcMar>
            <w:vAlign w:val="center"/>
          </w:tcPr>
          <w:p>
            <w:pPr>
              <w:pStyle w:val="TableContents"/>
              <w:pBdr/>
              <w:spacing w:before="60" w:after="15"/>
              <w:ind w:left="75" w:right="75" w:hanging="0"/>
              <w:rPr>
                <w:rFonts w:ascii="Arial" w:hAnsi="Arial"/>
                <w:b/>
                <w:color w:val="245BA7"/>
                <w:sz w:val="21"/>
              </w:rPr>
            </w:pPr>
            <w:r>
              <w:rPr>
                <w:rFonts w:ascii="Arial" w:hAnsi="Arial"/>
                <w:b/>
                <w:color w:val="245BA7"/>
                <w:sz w:val="21"/>
              </w:rPr>
              <w:t>Say-on-Frequency</w:t>
            </w:r>
          </w:p>
        </w:tc>
        <w:tc>
          <w:tcPr>
            <w:tcW w:w="2957" w:type="dxa"/>
            <w:tcBorders>
              <w:top w:val="single" w:sz="2" w:space="0" w:color="F2F2F2"/>
              <w:left w:val="single" w:sz="2" w:space="0" w:color="F2F2F2"/>
              <w:bottom w:val="single" w:sz="2" w:space="0" w:color="575756"/>
              <w:right w:val="single" w:sz="2" w:space="0" w:color="F2F2F2"/>
            </w:tcBorders>
            <w:shd w:fill="F2F2F2" w:val="clear"/>
            <w:tcMar>
              <w:top w:w="30" w:type="dxa"/>
              <w:left w:w="28" w:type="dxa"/>
              <w:bottom w:w="30" w:type="dxa"/>
              <w:right w:w="28"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Non-binding, advisory proposal. We will consider the option that receives a plurality of the votes cast to be the recommendation of shareholders</w:t>
            </w:r>
          </w:p>
        </w:tc>
        <w:tc>
          <w:tcPr>
            <w:tcW w:w="2120" w:type="dxa"/>
            <w:tcBorders>
              <w:top w:val="single" w:sz="2" w:space="0" w:color="F2F2F2"/>
              <w:left w:val="single" w:sz="2" w:space="0" w:color="F2F2F2"/>
              <w:bottom w:val="single" w:sz="2" w:space="0" w:color="575756"/>
              <w:right w:val="single" w:sz="2" w:space="0" w:color="F2F2F2"/>
            </w:tcBorders>
            <w:shd w:fill="F2F2F2" w:val="clear"/>
            <w:tcMar>
              <w:top w:w="30" w:type="dxa"/>
              <w:left w:w="28" w:type="dxa"/>
              <w:bottom w:w="30" w:type="dxa"/>
              <w:right w:w="28"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No effect—not considered votes cast on this proposal</w:t>
            </w:r>
          </w:p>
        </w:tc>
        <w:tc>
          <w:tcPr>
            <w:tcW w:w="1676" w:type="dxa"/>
            <w:tcBorders>
              <w:top w:val="single" w:sz="2" w:space="0" w:color="F2F2F2"/>
              <w:left w:val="single" w:sz="2" w:space="0" w:color="F2F2F2"/>
              <w:bottom w:val="single" w:sz="2" w:space="0" w:color="575756"/>
              <w:right w:val="single" w:sz="2" w:space="0" w:color="F2F2F2"/>
            </w:tcBorders>
            <w:shd w:fill="F2F2F2" w:val="clear"/>
            <w:tcMar>
              <w:top w:w="30" w:type="dxa"/>
              <w:left w:w="28" w:type="dxa"/>
              <w:bottom w:w="30" w:type="dxa"/>
              <w:right w:w="28"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No—brokers without voting instructions will not be able to vote on this proposal</w:t>
            </w:r>
          </w:p>
        </w:tc>
      </w:tr>
      <w:tr>
        <w:trPr/>
        <w:tc>
          <w:tcPr>
            <w:tcW w:w="496" w:type="dxa"/>
            <w:tcBorders>
              <w:bottom w:val="single" w:sz="2" w:space="0" w:color="575756"/>
            </w:tcBorders>
            <w:shd w:fill="auto" w:val="clear"/>
            <w:tcMar>
              <w:bottom w:w="30" w:type="dxa"/>
            </w:tcMar>
            <w:vAlign w:val="center"/>
          </w:tcPr>
          <w:p>
            <w:pPr>
              <w:pStyle w:val="TableContents"/>
              <w:pBdr/>
              <w:spacing w:before="0" w:after="0"/>
              <w:ind w:left="75" w:right="75" w:hanging="0"/>
              <w:rPr>
                <w:rFonts w:ascii="Arial" w:hAnsi="Arial"/>
                <w:b/>
                <w:color w:val="D31B5D"/>
                <w:sz w:val="54"/>
              </w:rPr>
            </w:pPr>
            <w:r>
              <w:rPr>
                <w:rFonts w:ascii="Arial" w:hAnsi="Arial"/>
                <w:b/>
                <w:color w:val="D31B5D"/>
                <w:sz w:val="54"/>
              </w:rPr>
              <w:t>5</w:t>
            </w:r>
          </w:p>
        </w:tc>
        <w:tc>
          <w:tcPr>
            <w:tcW w:w="2956" w:type="dxa"/>
            <w:tcBorders>
              <w:bottom w:val="single" w:sz="2" w:space="0" w:color="575756"/>
            </w:tcBorders>
            <w:shd w:fill="auto" w:val="clear"/>
            <w:tcMar>
              <w:bottom w:w="30" w:type="dxa"/>
            </w:tcMar>
            <w:vAlign w:val="center"/>
          </w:tcPr>
          <w:p>
            <w:pPr>
              <w:pStyle w:val="TableContents"/>
              <w:pBdr/>
              <w:spacing w:before="60" w:after="15"/>
              <w:ind w:left="75" w:right="75" w:hanging="0"/>
              <w:rPr>
                <w:rFonts w:ascii="Arial" w:hAnsi="Arial"/>
                <w:b/>
                <w:color w:val="245BA7"/>
                <w:sz w:val="21"/>
              </w:rPr>
            </w:pPr>
            <w:r>
              <w:rPr>
                <w:rFonts w:ascii="Arial" w:hAnsi="Arial"/>
                <w:b/>
                <w:color w:val="245BA7"/>
                <w:sz w:val="21"/>
              </w:rPr>
              <w:t>Non-Binding Shareholder Proposal</w:t>
            </w:r>
          </w:p>
        </w:tc>
        <w:tc>
          <w:tcPr>
            <w:tcW w:w="2957" w:type="dxa"/>
            <w:tcBorders>
              <w:bottom w:val="single" w:sz="2" w:space="0" w:color="575756"/>
            </w:tcBorders>
            <w:shd w:fill="auto" w:val="clear"/>
            <w:tcMar>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Non-binding proposal. We will consider the matter approved if it receives the affirmative vote of a majority of the votes cast</w:t>
            </w:r>
          </w:p>
        </w:tc>
        <w:tc>
          <w:tcPr>
            <w:tcW w:w="2120" w:type="dxa"/>
            <w:tcBorders>
              <w:bottom w:val="single" w:sz="2" w:space="0" w:color="575756"/>
            </w:tcBorders>
            <w:shd w:fill="auto" w:val="clear"/>
            <w:tcMar>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No effect—not considered votes cast on this proposal</w:t>
            </w:r>
          </w:p>
        </w:tc>
        <w:tc>
          <w:tcPr>
            <w:tcW w:w="1676" w:type="dxa"/>
            <w:tcBorders>
              <w:bottom w:val="single" w:sz="2" w:space="0" w:color="575756"/>
            </w:tcBorders>
            <w:shd w:fill="auto" w:val="clear"/>
            <w:tcMar>
              <w:bottom w:w="30" w:type="dxa"/>
            </w:tcMar>
            <w:vAlign w:val="center"/>
          </w:tcPr>
          <w:p>
            <w:pPr>
              <w:pStyle w:val="TableContents"/>
              <w:pBdr/>
              <w:spacing w:before="60" w:after="60"/>
              <w:ind w:left="75" w:right="75" w:hanging="0"/>
              <w:rPr>
                <w:rFonts w:ascii="Arial" w:hAnsi="Arial"/>
                <w:color w:val="000000"/>
                <w:sz w:val="20"/>
              </w:rPr>
            </w:pPr>
            <w:r>
              <w:rPr>
                <w:rFonts w:ascii="Arial" w:hAnsi="Arial"/>
                <w:color w:val="000000"/>
                <w:sz w:val="20"/>
              </w:rPr>
              <w:t>No—brokers without voting instructions will not be able to vote on this proposal</w:t>
            </w:r>
          </w:p>
        </w:tc>
      </w:tr>
      <w:tr>
        <w:trPr/>
        <w:tc>
          <w:tcPr>
            <w:tcW w:w="10205" w:type="dxa"/>
            <w:gridSpan w:val="5"/>
            <w:tcBorders/>
            <w:shd w:fill="auto" w:val="clear"/>
            <w:tcMar>
              <w:bottom w:w="0" w:type="dxa"/>
            </w:tcMar>
            <w:vAlign w:val="center"/>
          </w:tcPr>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0"/>
              <w:ind w:left="0" w:right="30" w:hanging="0"/>
              <w:rPr>
                <w:rFonts w:ascii="Arial" w:hAnsi="Arial"/>
                <w:color w:val="000000"/>
                <w:sz w:val="20"/>
              </w:rPr>
            </w:pPr>
            <w:r>
              <w:rPr>
                <w:rFonts w:ascii="Arial" w:hAnsi="Arial"/>
                <w:color w:val="000000"/>
                <w:sz w:val="20"/>
              </w:rPr>
              <w:t>As noted above, abstentions will be counted as present for purposes of establishing a quorum at the Annual Meeting.</w:t>
            </w:r>
          </w:p>
          <w:p>
            <w:pPr>
              <w:pStyle w:val="TableContents"/>
              <w:spacing w:before="0" w:after="0"/>
              <w:ind w:left="0" w:right="30" w:hanging="0"/>
              <w:rPr>
                <w:rFonts w:ascii="Arial" w:hAnsi="Arial"/>
                <w:color w:val="245BA7"/>
                <w:sz w:val="20"/>
              </w:rPr>
            </w:pPr>
            <w:r>
              <w:rPr>
                <w:rFonts w:ascii="Arial" w:hAnsi="Arial"/>
                <w:color w:val="245BA7"/>
                <w:sz w:val="20"/>
              </w:rPr>
              <w:t>+</w:t>
            </w:r>
          </w:p>
          <w:p>
            <w:pPr>
              <w:pStyle w:val="TableContents"/>
              <w:pBdr/>
              <w:spacing w:before="0" w:after="0"/>
              <w:ind w:left="0" w:right="30" w:hanging="0"/>
              <w:rPr>
                <w:rFonts w:ascii="Arial" w:hAnsi="Arial"/>
                <w:color w:val="000000"/>
                <w:sz w:val="20"/>
              </w:rPr>
            </w:pPr>
            <w:r>
              <w:rPr>
                <w:rFonts w:ascii="Arial" w:hAnsi="Arial"/>
                <w:color w:val="000000"/>
                <w:sz w:val="20"/>
              </w:rPr>
              <w:t>Only relevant if you are the beneficial owner of shares held in “street name.” If you are a shareholder of record and you do not cast your vote, no votes will be cast on your behalf on any of the items of business at the Annual Meeting.</w:t>
            </w:r>
          </w:p>
        </w:tc>
      </w:tr>
    </w:tbl>
    <w:p>
      <w:pPr>
        <w:pStyle w:val="TextBody"/>
        <w:pBdr/>
        <w:spacing w:before="0" w:after="210"/>
        <w:ind w:left="0" w:right="0" w:hanging="0"/>
        <w:rPr>
          <w:rFonts w:ascii="Arial" w:hAnsi="Arial"/>
          <w:color w:val="000000"/>
          <w:sz w:val="21"/>
        </w:rPr>
      </w:pPr>
      <w:r>
        <w:rPr>
          <w:rFonts w:ascii="Arial" w:hAnsi="Arial"/>
          <w:color w:val="000000"/>
          <w:sz w:val="21"/>
        </w:rPr>
        <w:t>If any other matter is properly brought before the Annual Meeting, such matter also will be determined by the affirmative vote of a majority of the votes cast at the Annual Meeting.</w:t>
      </w:r>
    </w:p>
    <w:p>
      <w:pPr>
        <w:pStyle w:val="Heading4"/>
        <w:pBdr/>
        <w:spacing w:before="300" w:after="150"/>
        <w:ind w:left="0" w:right="0" w:hanging="0"/>
        <w:rPr>
          <w:rFonts w:ascii="Arial" w:hAnsi="Arial"/>
          <w:b/>
          <w:i w:val="false"/>
          <w:caps w:val="false"/>
          <w:smallCaps w:val="false"/>
          <w:color w:val="245BA7"/>
          <w:sz w:val="24"/>
        </w:rPr>
      </w:pPr>
      <w:bookmarkStart w:id="206" w:name="new_id-194"/>
      <w:bookmarkEnd w:id="206"/>
      <w:r>
        <w:rPr>
          <w:rFonts w:ascii="Arial" w:hAnsi="Arial"/>
          <w:b/>
          <w:i w:val="false"/>
          <w:caps w:val="false"/>
          <w:smallCaps w:val="false"/>
          <w:color w:val="245BA7"/>
          <w:sz w:val="24"/>
        </w:rPr>
        <w:t xml:space="preserve">When are shareholder proposals and nominations due for the 2024 Annual Meeting of Shareholders? </w:t>
      </w:r>
    </w:p>
    <w:p>
      <w:pPr>
        <w:pStyle w:val="TextBody"/>
        <w:pBdr/>
        <w:spacing w:before="0" w:after="210"/>
        <w:ind w:left="0" w:right="0" w:hanging="0"/>
        <w:rPr>
          <w:rFonts w:ascii="Arial" w:hAnsi="Arial"/>
          <w:color w:val="000000"/>
          <w:sz w:val="21"/>
        </w:rPr>
      </w:pPr>
      <w:r>
        <w:rPr>
          <w:rFonts w:ascii="Arial" w:hAnsi="Arial"/>
          <w:color w:val="000000"/>
          <w:sz w:val="21"/>
        </w:rPr>
        <w:t>A shareholder wishing to present a proposal at the 2024 Annual Meeting of Shareholders and have the proposal included in our proxy statement must submit the proposal in writing and it must be received by the Company at its principal executive offices at 777 Old Saw Mill River Road, Tarrytown, New York 10591-6707 by December 23, 2023, and must satisfy the other conditions established by the SEC.</w:t>
      </w:r>
    </w:p>
    <w:p>
      <w:pPr>
        <w:pStyle w:val="TextBody"/>
        <w:pBdr/>
        <w:spacing w:before="0" w:after="210"/>
        <w:ind w:left="0" w:right="0" w:hanging="0"/>
        <w:rPr>
          <w:rFonts w:ascii="Arial" w:hAnsi="Arial"/>
          <w:color w:val="000000"/>
          <w:sz w:val="21"/>
        </w:rPr>
      </w:pPr>
      <w:r>
        <w:rPr>
          <w:rFonts w:ascii="Arial" w:hAnsi="Arial"/>
          <w:color w:val="000000"/>
          <w:sz w:val="21"/>
        </w:rPr>
        <w:t xml:space="preserve">Under our Amended and Restated By-Laws, proposals of shareholders (other than proposals to be included in our proxy statement) and nominations of directors for election at the 2024 Annual Meeting may be made only by a shareholder of record who has given notice of the proposal or nomination to the Secretary of the Company at our principal executive offices no earlier than 90 days and no later than 60 days prior to the meeting; provided that if less than 70 days’ notice or public disclosure of the date of the 2024 Annual Meeting is given or made to shareholders, notice by the shareholder in order to be timely must be received no later than the close of business on the tenth day following the day on which such notice of the annual meeting was first mailed or such public disclosure of the annual meeting was made, whichever first occurs. The notice must contain certain information as specified in our Amended and Restated By-Laws. Assuming our 2024 Annual Meeting is held on June 14, 2024 in accordance with the Company’s past practice, and at least 70 days’ notice or prior public disclosure of the date of the 2024 Annual Meeting is given or made to shareholders, notice of such proposals or nominations would need to be given no earlier than </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30"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62" descr=""/>
                          <pic:cNvPicPr>
                            <a:picLocks noChangeAspect="1" noChangeArrowheads="1"/>
                          </pic:cNvPicPr>
                        </pic:nvPicPr>
                        <pic:blipFill>
                          <a:blip r:embed="rId263"/>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113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March 16, 2024 and no later than April 15, 2024. In addition to satisfying the requirements under our Amended and Restated By-Laws relating to nominations of directors, including the deadline for written notice, to comply with the SEC’s “universal proxy rules,” shareholders who intend to solicit proxies in support of director nominees other than the Company’s nominees at the 2024 Annual Meeting in compliance with Rule 14a-19 under the Exchange Act must provide written notice containing the information required by Rule 14a-19 to our Corporate Secretary at 777 Old Saw Mill River Road, Tarrytown, New York 10591-6707 no later than April 10, 2024.</w:t>
      </w:r>
    </w:p>
    <w:p>
      <w:pPr>
        <w:pStyle w:val="Heading4"/>
        <w:pBdr/>
        <w:spacing w:before="300" w:after="150"/>
        <w:ind w:left="0" w:right="0" w:hanging="0"/>
        <w:rPr>
          <w:rFonts w:ascii="Arial" w:hAnsi="Arial"/>
          <w:b/>
          <w:i w:val="false"/>
          <w:caps w:val="false"/>
          <w:smallCaps w:val="false"/>
          <w:color w:val="245BA7"/>
          <w:sz w:val="24"/>
        </w:rPr>
      </w:pPr>
      <w:bookmarkStart w:id="207" w:name="new_id-195"/>
      <w:bookmarkEnd w:id="207"/>
      <w:r>
        <w:rPr>
          <w:rFonts w:ascii="Arial" w:hAnsi="Arial"/>
          <w:b/>
          <w:i w:val="false"/>
          <w:caps w:val="false"/>
          <w:smallCaps w:val="false"/>
          <w:color w:val="245BA7"/>
          <w:sz w:val="24"/>
        </w:rPr>
        <w:t xml:space="preserve">What happens if multiple shareholders share an address? </w:t>
      </w:r>
    </w:p>
    <w:p>
      <w:pPr>
        <w:pStyle w:val="TextBody"/>
        <w:pBdr/>
        <w:spacing w:before="0" w:after="210"/>
        <w:ind w:left="0" w:right="0" w:hanging="0"/>
        <w:rPr>
          <w:rFonts w:ascii="Arial" w:hAnsi="Arial"/>
          <w:color w:val="000000"/>
          <w:sz w:val="21"/>
        </w:rPr>
      </w:pPr>
      <w:r>
        <w:rPr>
          <w:rFonts w:ascii="Arial" w:hAnsi="Arial"/>
          <w:color w:val="000000"/>
          <w:sz w:val="21"/>
        </w:rPr>
        <w:t xml:space="preserve">Applicable rules permit brokerage firms and the Company to send one Notice (or one annual report, proxy statement, and Notice in the case of shareholders who have elected to receive paper copies of our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copy of the applicable proxy materials to multiple shareholders sharing the same address. If you wish to receive separate copies of the proxy statement for the 2023 Annual Meeting, the 2022 Annual Report, or the Notice, you may find these materials at our internet website </w:t>
      </w:r>
      <w:r>
        <w:rPr>
          <w:rFonts w:ascii="Arial" w:hAnsi="Arial"/>
          <w:b/>
          <w:color w:val="000000"/>
          <w:sz w:val="21"/>
        </w:rPr>
        <w:t>(www.regeneron.com)</w:t>
      </w:r>
      <w:r>
        <w:rPr>
          <w:rFonts w:ascii="Arial" w:hAnsi="Arial"/>
          <w:color w:val="000000"/>
          <w:sz w:val="21"/>
        </w:rPr>
        <w:t xml:space="preserve"> or you may stop householding for your account and receive separate printed copies of these materials by contacting our Investor Relations Department, at Regeneron Pharmaceuticals, Inc., 777 Old Saw Mill River Road, Tarrytown, New York 10591-6707, or by calling us at 914-847-7000,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pStyle w:val="Heading4"/>
        <w:pBdr/>
        <w:spacing w:before="300" w:after="150"/>
        <w:ind w:left="0" w:right="0" w:hanging="0"/>
        <w:rPr>
          <w:rFonts w:ascii="Arial" w:hAnsi="Arial"/>
          <w:b/>
          <w:i w:val="false"/>
          <w:caps w:val="false"/>
          <w:smallCaps w:val="false"/>
          <w:color w:val="245BA7"/>
          <w:sz w:val="24"/>
        </w:rPr>
      </w:pPr>
      <w:bookmarkStart w:id="208" w:name="new_id-196"/>
      <w:bookmarkEnd w:id="208"/>
      <w:r>
        <w:rPr>
          <w:rFonts w:ascii="Arial" w:hAnsi="Arial"/>
          <w:b/>
          <w:i w:val="false"/>
          <w:caps w:val="false"/>
          <w:smallCaps w:val="false"/>
          <w:color w:val="245BA7"/>
          <w:sz w:val="24"/>
        </w:rPr>
        <w:t xml:space="preserve">Are there any other matters to be addressed at the Annual Meeting? </w:t>
      </w:r>
    </w:p>
    <w:p>
      <w:pPr>
        <w:pStyle w:val="TextBody"/>
        <w:pBdr/>
        <w:spacing w:before="0" w:after="210"/>
        <w:ind w:left="0" w:right="0" w:hanging="0"/>
        <w:rPr>
          <w:rFonts w:ascii="Arial" w:hAnsi="Arial"/>
          <w:color w:val="000000"/>
          <w:sz w:val="21"/>
        </w:rPr>
      </w:pPr>
      <w:r>
        <w:rPr>
          <w:rFonts w:ascii="Arial" w:hAnsi="Arial"/>
          <w:color w:val="000000"/>
          <w:sz w:val="21"/>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pStyle w:val="Heading4"/>
        <w:pBdr/>
        <w:spacing w:before="300" w:after="150"/>
        <w:ind w:left="0" w:right="0" w:hanging="0"/>
        <w:rPr>
          <w:rFonts w:ascii="Arial" w:hAnsi="Arial"/>
          <w:b/>
          <w:i w:val="false"/>
          <w:caps w:val="false"/>
          <w:smallCaps w:val="false"/>
          <w:color w:val="245BA7"/>
          <w:sz w:val="24"/>
        </w:rPr>
      </w:pPr>
      <w:bookmarkStart w:id="209" w:name="new_id-197"/>
      <w:bookmarkEnd w:id="209"/>
      <w:r>
        <w:rPr>
          <w:rFonts w:ascii="Arial" w:hAnsi="Arial"/>
          <w:b/>
          <w:i w:val="false"/>
          <w:caps w:val="false"/>
          <w:smallCaps w:val="false"/>
          <w:color w:val="245BA7"/>
          <w:sz w:val="24"/>
        </w:rPr>
        <w:t xml:space="preserve">How can you receive a printed copy of the Company’s 2022 Annual Report? </w:t>
      </w:r>
    </w:p>
    <w:p>
      <w:pPr>
        <w:pStyle w:val="TextBody"/>
        <w:pBdr/>
        <w:spacing w:before="0" w:after="210"/>
        <w:ind w:left="0" w:right="0" w:hanging="0"/>
        <w:rPr>
          <w:rFonts w:ascii="Arial" w:hAnsi="Arial"/>
          <w:b/>
          <w:color w:val="000000"/>
          <w:sz w:val="21"/>
        </w:rPr>
      </w:pPr>
      <w:r>
        <w:rPr>
          <w:rFonts w:ascii="Arial" w:hAnsi="Arial"/>
          <w:b/>
          <w:color w:val="000000"/>
          <w:sz w:val="21"/>
        </w:rPr>
        <w:t xml:space="preserve">Interested shareholders may obtain without charge a copy of our 2022 Annual Report (without exhibits), which includes our audited financial statements for the fiscal year ended December 31, 2022, required to be filed with the SEC, by making a written request to Regeneron Pharmaceuticals, Inc., 777 Old Saw Mill River Road, Tarrytown, New York 10591-6707, Attention: Investor Relations, or by calling our Investor Relations Department at (914) 847-7000. </w:t>
      </w:r>
    </w:p>
    <w:p>
      <w:pPr>
        <w:pStyle w:val="Heading4"/>
        <w:pBdr/>
        <w:spacing w:before="300" w:after="150"/>
        <w:ind w:left="0" w:right="0" w:hanging="0"/>
        <w:rPr>
          <w:rFonts w:ascii="Arial" w:hAnsi="Arial"/>
          <w:b/>
          <w:i w:val="false"/>
          <w:caps w:val="false"/>
          <w:smallCaps w:val="false"/>
          <w:color w:val="245BA7"/>
          <w:sz w:val="24"/>
        </w:rPr>
      </w:pPr>
      <w:bookmarkStart w:id="210" w:name="new_id-198"/>
      <w:bookmarkEnd w:id="210"/>
      <w:r>
        <w:rPr>
          <w:rFonts w:ascii="Arial" w:hAnsi="Arial"/>
          <w:b/>
          <w:i w:val="false"/>
          <w:caps w:val="false"/>
          <w:smallCaps w:val="false"/>
          <w:color w:val="245BA7"/>
          <w:sz w:val="24"/>
        </w:rPr>
        <w:t xml:space="preserve">How do you elect to receive future proxy materials electronically? </w:t>
      </w:r>
    </w:p>
    <w:p>
      <w:pPr>
        <w:pStyle w:val="TextBody"/>
        <w:pBdr/>
        <w:spacing w:before="0" w:after="210"/>
        <w:ind w:left="0" w:right="0" w:hanging="0"/>
        <w:rPr>
          <w:rFonts w:ascii="Arial" w:hAnsi="Arial"/>
          <w:color w:val="000000"/>
          <w:sz w:val="21"/>
        </w:rPr>
      </w:pPr>
      <w:r>
        <w:rPr>
          <w:rFonts w:ascii="Arial" w:hAnsi="Arial"/>
          <w:color w:val="000000"/>
          <w:sz w:val="21"/>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pStyle w:val="TextBody"/>
        <w:pBdr/>
        <w:spacing w:before="0" w:after="210"/>
        <w:ind w:left="0" w:right="0" w:hanging="0"/>
        <w:rPr>
          <w:rFonts w:ascii="Arial" w:hAnsi="Arial"/>
          <w:color w:val="000000"/>
          <w:sz w:val="21"/>
        </w:rPr>
      </w:pPr>
      <w:r>
        <w:rPr>
          <w:rFonts w:ascii="Arial" w:hAnsi="Arial"/>
          <w:color w:val="000000"/>
          <w:sz w:val="21"/>
        </w:rPr>
        <w:t xml:space="preserve">If your shares are registered in your name or you hold shares in the Company Stock Fund in the Company’s 401(k) Savings Plan, to enroll in the electronic delivery service, vote your shares through the Internet at </w:t>
      </w:r>
      <w:r>
        <w:rPr>
          <w:rFonts w:ascii="Arial" w:hAnsi="Arial"/>
          <w:b/>
          <w:color w:val="000000"/>
          <w:sz w:val="21"/>
        </w:rPr>
        <w:t>www.proxyvote.com</w:t>
      </w:r>
      <w:r>
        <w:rPr>
          <w:rFonts w:ascii="Arial" w:hAnsi="Arial"/>
          <w:color w:val="000000"/>
          <w:sz w:val="21"/>
        </w:rPr>
        <w:t xml:space="preserve"> 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31"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63" descr=""/>
                          <pic:cNvPicPr>
                            <a:picLocks noChangeAspect="1" noChangeArrowheads="1"/>
                          </pic:cNvPicPr>
                        </pic:nvPicPr>
                        <pic:blipFill>
                          <a:blip r:embed="rId264"/>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114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jc w:val="left"/>
        <w:rPr/>
      </w:pPr>
      <w:r>
        <w:rPr/>
        <w:drawing>
          <wp:inline distT="0" distB="0" distL="0" distR="0">
            <wp:extent cx="7620000" cy="1552575"/>
            <wp:effectExtent l="0" t="0" r="0" b="0"/>
            <wp:docPr id="332"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64" descr=""/>
                    <pic:cNvPicPr>
                      <a:picLocks noChangeAspect="1" noChangeArrowheads="1"/>
                    </pic:cNvPicPr>
                  </pic:nvPicPr>
                  <pic:blipFill>
                    <a:blip r:embed="rId265"/>
                    <a:stretch>
                      <a:fillRect/>
                    </a:stretch>
                  </pic:blipFill>
                  <pic:spPr bwMode="auto">
                    <a:xfrm>
                      <a:off x="0" y="0"/>
                      <a:ext cx="7620000" cy="1552575"/>
                    </a:xfrm>
                    <a:prstGeom prst="rect">
                      <a:avLst/>
                    </a:prstGeom>
                  </pic:spPr>
                </pic:pic>
              </a:graphicData>
            </a:graphic>
          </wp:inline>
        </w:drawing>
      </w:r>
    </w:p>
    <w:p>
      <w:pPr>
        <w:pStyle w:val="Heading1"/>
        <w:pBdr/>
        <w:spacing w:before="0" w:after="705"/>
        <w:ind w:left="200" w:right="0" w:hanging="0"/>
        <w:jc w:val="left"/>
        <w:rPr>
          <w:rFonts w:ascii="Arial" w:hAnsi="Arial"/>
          <w:b/>
          <w:i w:val="false"/>
          <w:caps w:val="false"/>
          <w:smallCaps w:val="false"/>
          <w:color w:val="FFFFFF"/>
          <w:sz w:val="59"/>
        </w:rPr>
      </w:pPr>
      <w:bookmarkStart w:id="211" w:name="new_id-199"/>
      <w:bookmarkEnd w:id="211"/>
      <w:r>
        <w:rPr>
          <w:rFonts w:ascii="Arial" w:hAnsi="Arial"/>
          <w:b/>
          <w:i w:val="false"/>
          <w:caps w:val="false"/>
          <w:smallCaps w:val="false"/>
          <w:color w:val="FFFFFF"/>
          <w:sz w:val="59"/>
        </w:rPr>
        <w:t xml:space="preserve">APPENDIX A </w:t>
      </w:r>
    </w:p>
    <w:p>
      <w:pPr>
        <w:pStyle w:val="Heading4"/>
        <w:pBdr/>
        <w:spacing w:before="450" w:after="150"/>
        <w:ind w:left="0" w:right="0" w:hanging="0"/>
        <w:rPr>
          <w:rFonts w:ascii="Arial" w:hAnsi="Arial"/>
          <w:b/>
          <w:i w:val="false"/>
          <w:caps w:val="false"/>
          <w:smallCaps w:val="false"/>
          <w:color w:val="245BA7"/>
          <w:sz w:val="24"/>
        </w:rPr>
      </w:pPr>
      <w:bookmarkStart w:id="212" w:name="new_id-200"/>
      <w:bookmarkEnd w:id="212"/>
      <w:r>
        <w:rPr>
          <w:rFonts w:ascii="Arial" w:hAnsi="Arial"/>
          <w:b/>
          <w:i w:val="false"/>
          <w:caps w:val="false"/>
          <w:smallCaps w:val="false"/>
          <w:color w:val="245BA7"/>
          <w:sz w:val="24"/>
        </w:rPr>
        <w:t xml:space="preserve">Note Regarding Forward-Looking Statements and Non-GAAP Financial Measures </w:t>
      </w:r>
    </w:p>
    <w:p>
      <w:pPr>
        <w:pStyle w:val="TextBody"/>
        <w:pBdr/>
        <w:spacing w:before="0" w:after="210"/>
        <w:ind w:left="0" w:right="0" w:hanging="0"/>
        <w:rPr>
          <w:rFonts w:ascii="Arial" w:hAnsi="Arial"/>
          <w:color w:val="000000"/>
          <w:sz w:val="21"/>
        </w:rPr>
      </w:pPr>
      <w:r>
        <w:rPr>
          <w:rFonts w:ascii="Arial" w:hAnsi="Arial"/>
          <w:color w:val="000000"/>
          <w:sz w:val="21"/>
        </w:rPr>
        <w:t>This proxy statement includes forward-looking statements that involve risks and uncertainties relating to future events and the future performance of Regeneron Pharmaceuticals, Inc. (where applicable, together with its subsidiaries,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or licensees (collectively, “Regeneron’s Products”), and the global economy; the nature, timing, and possible success and therapeutic applications of Regeneron’s Products and product candidates being developed by Regeneron and/or its collaborators or licensees (collectively, “Regeneron’s Product Candidates”) and research and clinical programs now underway or planned, including without limitation EYLEA</w:t>
      </w:r>
      <w:r>
        <w:rPr>
          <w:rFonts w:ascii="Arial" w:hAnsi="Arial"/>
          <w:color w:val="000000"/>
          <w:sz w:val="12"/>
        </w:rPr>
        <w:t>®</w:t>
      </w:r>
      <w:r>
        <w:rPr>
          <w:rFonts w:ascii="Arial" w:hAnsi="Arial"/>
          <w:color w:val="000000"/>
          <w:sz w:val="21"/>
        </w:rPr>
        <w:t xml:space="preserve"> (aflibercept) Injection, Dupixent</w:t>
      </w:r>
      <w:r>
        <w:rPr>
          <w:rFonts w:ascii="Arial" w:hAnsi="Arial"/>
          <w:color w:val="000000"/>
          <w:sz w:val="12"/>
        </w:rPr>
        <w:t>®</w:t>
      </w:r>
      <w:r>
        <w:rPr>
          <w:rFonts w:ascii="Arial" w:hAnsi="Arial"/>
          <w:color w:val="000000"/>
          <w:sz w:val="21"/>
        </w:rPr>
        <w:t xml:space="preserve"> (dupilumab), Libtayo</w:t>
      </w:r>
      <w:r>
        <w:rPr>
          <w:rFonts w:ascii="Arial" w:hAnsi="Arial"/>
          <w:color w:val="000000"/>
          <w:sz w:val="12"/>
        </w:rPr>
        <w:t>®</w:t>
      </w:r>
      <w:r>
        <w:rPr>
          <w:rFonts w:ascii="Arial" w:hAnsi="Arial"/>
          <w:color w:val="000000"/>
          <w:sz w:val="21"/>
        </w:rPr>
        <w:t xml:space="preserve"> (cemiplimab), Praluent</w:t>
      </w:r>
      <w:r>
        <w:rPr>
          <w:rFonts w:ascii="Arial" w:hAnsi="Arial"/>
          <w:color w:val="000000"/>
          <w:sz w:val="12"/>
        </w:rPr>
        <w:t>®</w:t>
      </w:r>
      <w:r>
        <w:rPr>
          <w:rFonts w:ascii="Arial" w:hAnsi="Arial"/>
          <w:color w:val="000000"/>
          <w:sz w:val="21"/>
        </w:rPr>
        <w:t xml:space="preserve"> (alirocumab), Kevzara</w:t>
      </w:r>
      <w:r>
        <w:rPr>
          <w:rFonts w:ascii="Arial" w:hAnsi="Arial"/>
          <w:color w:val="000000"/>
          <w:sz w:val="12"/>
        </w:rPr>
        <w:t>®</w:t>
      </w:r>
      <w:r>
        <w:rPr>
          <w:rFonts w:ascii="Arial" w:hAnsi="Arial"/>
          <w:color w:val="000000"/>
          <w:sz w:val="21"/>
        </w:rPr>
        <w:t xml:space="preserve"> (sarilumab), Evkeeza</w:t>
      </w:r>
      <w:r>
        <w:rPr>
          <w:rFonts w:ascii="Arial" w:hAnsi="Arial"/>
          <w:color w:val="000000"/>
          <w:sz w:val="12"/>
        </w:rPr>
        <w:t>®</w:t>
      </w:r>
      <w:r>
        <w:rPr>
          <w:rFonts w:ascii="Arial" w:hAnsi="Arial"/>
          <w:color w:val="000000"/>
          <w:sz w:val="21"/>
        </w:rPr>
        <w:t xml:space="preserve"> (evinacumab), Inmazeb</w:t>
      </w:r>
      <w:r>
        <w:rPr>
          <w:rFonts w:ascii="Arial" w:hAnsi="Arial"/>
          <w:color w:val="000000"/>
          <w:sz w:val="12"/>
        </w:rPr>
        <w:t>®</w:t>
      </w:r>
      <w:r>
        <w:rPr>
          <w:rFonts w:ascii="Arial" w:hAnsi="Arial"/>
          <w:color w:val="000000"/>
          <w:sz w:val="21"/>
        </w:rPr>
        <w:t xml:space="preserve"> (atoltivimab, maftivimab, and odesivimab-ebgn), aflibercept 8 mg, pozelimab, odronextamab, itepekimab, fianlimab, garetosmab, linvoseltamab, REGN5713-5714-5715, Regeneron’s other oncology programs (including its costimulatory bispecific portfolio), Regeneron’s and its collaborators’ earlier-stage programs, and the use of human genetics in Regeneron’s research programs; the likelihood and timing of achieving any of Regeneron’s anticipated development and production milestones;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without limitation those listed above;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effective than, Regeneron’s Products and Regeneron’s Product Candidates; uncertainty of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licensees,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payors, including private payor healthcare and insurance programs, health maintenance organizations, pharmacy benefit management companies, and government programs such as Medicare and Medicaid; coverage and reimbursement determinations by such payors and new policies and procedures adopted by such payors; unanticipated expenses; the costs of developing, producing, and selling products; the ability of Regeneron to meet any of its financial projections or guidance, and changes to the assumptions underlying those projections or guidance; the potential for any license or collaboration agreement, including Regeneron’s agreements with Sanofi and Bayer (or their respective affiliated companies, as applicable) to be cancelled or terminated; and risks associated with intellectual property of other parties and pending or future litigation relating thereto (including without limitation the patent litigation and other related proceedings relating to EYLEA, Praluent, and REGEN-COV</w:t>
      </w:r>
      <w:r>
        <w:rPr>
          <w:rFonts w:ascii="Arial" w:hAnsi="Arial"/>
          <w:color w:val="000000"/>
          <w:sz w:val="12"/>
        </w:rPr>
        <w:t>®</w:t>
      </w:r>
      <w:r>
        <w:rPr>
          <w:rFonts w:ascii="Arial" w:hAnsi="Arial"/>
          <w:color w:val="000000"/>
          <w:sz w:val="21"/>
        </w:rPr>
        <w:t xml:space="preserve"> (casirivimab and imdevimab)), other litigation and other proceedings and government investigations relating to the Company and/or its operations, </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33"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65" descr=""/>
                          <pic:cNvPicPr>
                            <a:picLocks noChangeAspect="1" noChangeArrowheads="1"/>
                          </pic:cNvPicPr>
                        </pic:nvPicPr>
                        <pic:blipFill>
                          <a:blip r:embed="rId266"/>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115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210"/>
        <w:ind w:left="0" w:right="0" w:hanging="0"/>
        <w:rPr>
          <w:rFonts w:ascii="Arial" w:hAnsi="Arial"/>
          <w:color w:val="000000"/>
          <w:sz w:val="21"/>
        </w:rPr>
      </w:pPr>
      <w:r>
        <w:rPr>
          <w:rFonts w:ascii="Arial" w:hAnsi="Arial"/>
          <w:color w:val="000000"/>
          <w:sz w:val="21"/>
        </w:rPr>
        <w:t>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2022, including in the section thereof captioned “Item 1A. Risk Factors.”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whether as a result of new information, future events, or otherwise.</w:t>
      </w:r>
    </w:p>
    <w:p>
      <w:pPr>
        <w:pStyle w:val="TextBody"/>
        <w:pBdr/>
        <w:spacing w:before="0" w:after="210"/>
        <w:ind w:left="0" w:right="0" w:hanging="0"/>
        <w:rPr>
          <w:rFonts w:ascii="Arial" w:hAnsi="Arial"/>
          <w:color w:val="000000"/>
          <w:sz w:val="21"/>
        </w:rPr>
      </w:pPr>
      <w:r>
        <w:rPr>
          <w:rFonts w:ascii="Arial" w:hAnsi="Arial"/>
          <w:color w:val="000000"/>
          <w:sz w:val="21"/>
        </w:rPr>
        <w:t>This proxy statement uses non-GAAP net income, non-GAAP net income per share, and total revenues excluding REGEN-COV and Ronapreve</w:t>
      </w:r>
      <w:r>
        <w:rPr>
          <w:rFonts w:ascii="Arial" w:hAnsi="Arial"/>
          <w:color w:val="000000"/>
          <w:sz w:val="12"/>
        </w:rPr>
        <w:t>TM</w:t>
      </w:r>
      <w:r>
        <w:rPr>
          <w:rFonts w:ascii="Arial" w:hAnsi="Arial"/>
          <w:color w:val="000000"/>
          <w:sz w:val="21"/>
        </w:rPr>
        <w:t>,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 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below.</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34"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66" descr=""/>
                          <pic:cNvPicPr>
                            <a:picLocks noChangeAspect="1" noChangeArrowheads="1"/>
                          </pic:cNvPicPr>
                        </pic:nvPicPr>
                        <pic:blipFill>
                          <a:blip r:embed="rId267"/>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116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150"/>
        <w:ind w:left="0" w:right="0" w:hanging="0"/>
        <w:rPr>
          <w:rFonts w:ascii="Arial" w:hAnsi="Arial"/>
          <w:b/>
          <w:color w:val="245BA7"/>
          <w:sz w:val="24"/>
        </w:rPr>
      </w:pPr>
      <w:bookmarkStart w:id="213" w:name="new_id-201"/>
      <w:bookmarkEnd w:id="213"/>
      <w:r>
        <w:rPr>
          <w:rFonts w:ascii="Arial" w:hAnsi="Arial"/>
          <w:b/>
          <w:color w:val="245BA7"/>
          <w:sz w:val="24"/>
        </w:rPr>
        <w:t xml:space="preserve">Reconciliation of GAAP to Non-GAAP Financial Information (Unaudited) (In millions, except per share data) </w:t>
      </w:r>
    </w:p>
    <w:tbl>
      <w:tblPr>
        <w:tblW w:w="6939" w:type="dxa"/>
        <w:jc w:val="left"/>
        <w:tblInd w:w="0" w:type="dxa"/>
        <w:tblCellMar>
          <w:top w:w="0" w:type="dxa"/>
          <w:left w:w="0" w:type="dxa"/>
          <w:bottom w:w="90" w:type="dxa"/>
          <w:right w:w="0" w:type="dxa"/>
        </w:tblCellMar>
      </w:tblPr>
      <w:tblGrid>
        <w:gridCol w:w="4670"/>
        <w:gridCol w:w="1965"/>
        <w:gridCol w:w="304"/>
      </w:tblGrid>
      <w:tr>
        <w:trPr/>
        <w:tc>
          <w:tcPr>
            <w:tcW w:w="4670" w:type="dxa"/>
            <w:vMerge w:val="restart"/>
            <w:tcBorders>
              <w:bottom w:val="single" w:sz="12" w:space="0" w:color="245BA7"/>
            </w:tcBorders>
            <w:shd w:fill="auto" w:val="clear"/>
            <w:vAlign w:val="center"/>
          </w:tcPr>
          <w:p>
            <w:pPr>
              <w:pStyle w:val="TableContents"/>
              <w:pBdr/>
              <w:spacing w:before="15" w:after="0"/>
              <w:ind w:left="60" w:right="60" w:hanging="0"/>
              <w:rPr>
                <w:color w:val="245BA7"/>
              </w:rPr>
            </w:pPr>
            <w:r>
              <w:rPr>
                <w:color w:val="245BA7"/>
              </w:rPr>
              <w:t> </w:t>
            </w:r>
          </w:p>
        </w:tc>
        <w:tc>
          <w:tcPr>
            <w:tcW w:w="2269" w:type="dxa"/>
            <w:gridSpan w:val="2"/>
            <w:tcBorders>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Year Ended December 31,</w:t>
            </w:r>
          </w:p>
        </w:tc>
      </w:tr>
      <w:tr>
        <w:trPr/>
        <w:tc>
          <w:tcPr>
            <w:tcW w:w="4670" w:type="dxa"/>
            <w:vMerge w:val="continue"/>
            <w:tcBorders>
              <w:bottom w:val="single" w:sz="12" w:space="0" w:color="245BA7"/>
            </w:tcBorders>
            <w:shd w:fill="auto" w:val="clear"/>
            <w:vAlign w:val="center"/>
          </w:tcPr>
          <w:p>
            <w:pPr>
              <w:pStyle w:val="Normal"/>
              <w:rPr/>
            </w:pPr>
            <w:r>
              <w:rPr/>
            </w:r>
          </w:p>
        </w:tc>
        <w:tc>
          <w:tcPr>
            <w:tcW w:w="2269" w:type="dxa"/>
            <w:gridSpan w:val="2"/>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2022</w:t>
            </w:r>
          </w:p>
        </w:tc>
      </w:tr>
      <w:tr>
        <w:trPr/>
        <w:tc>
          <w:tcPr>
            <w:tcW w:w="4670" w:type="dxa"/>
            <w:tcBorders/>
            <w:shd w:fill="auto" w:val="clear"/>
            <w:tcMar>
              <w:bottom w:w="0"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GAAP R&amp;D</w:t>
            </w:r>
          </w:p>
        </w:tc>
        <w:tc>
          <w:tcPr>
            <w:tcW w:w="1965" w:type="dxa"/>
            <w:tcBorders/>
            <w:shd w:fill="auto" w:val="clear"/>
            <w:tcMar>
              <w:bottom w:w="0"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$ 3,592.5</w:t>
            </w:r>
          </w:p>
        </w:tc>
        <w:tc>
          <w:tcPr>
            <w:tcW w:w="304"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180" w:right="0" w:hanging="0"/>
              <w:rPr>
                <w:rFonts w:ascii="Arial" w:hAnsi="Arial"/>
                <w:color w:val="000000"/>
                <w:sz w:val="18"/>
              </w:rPr>
            </w:pPr>
            <w:r>
              <w:rPr>
                <w:rFonts w:ascii="Arial" w:hAnsi="Arial"/>
                <w:color w:val="000000"/>
                <w:sz w:val="18"/>
              </w:rPr>
              <w:t>R&amp;D: Stock-based compensation expense</w:t>
            </w:r>
          </w:p>
        </w:tc>
        <w:tc>
          <w:tcPr>
            <w:tcW w:w="1965"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406.8</w:t>
            </w:r>
          </w:p>
        </w:tc>
        <w:tc>
          <w:tcPr>
            <w:tcW w:w="304"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shd w:fill="auto" w:val="clear"/>
            <w:tcMar>
              <w:bottom w:w="0" w:type="dxa"/>
            </w:tcMar>
            <w:vAlign w:val="center"/>
          </w:tcPr>
          <w:p>
            <w:pPr>
              <w:pStyle w:val="TableContents"/>
              <w:pBdr/>
              <w:spacing w:before="0" w:after="15"/>
              <w:ind w:left="180" w:right="0" w:hanging="0"/>
              <w:rPr>
                <w:rFonts w:ascii="Arial" w:hAnsi="Arial"/>
                <w:color w:val="000000"/>
                <w:sz w:val="18"/>
              </w:rPr>
            </w:pPr>
            <w:r>
              <w:rPr>
                <w:rFonts w:ascii="Arial" w:hAnsi="Arial"/>
                <w:color w:val="000000"/>
                <w:sz w:val="18"/>
              </w:rPr>
              <w:t>R&amp;D: Acquisition-related integration costs</w:t>
            </w:r>
          </w:p>
        </w:tc>
        <w:tc>
          <w:tcPr>
            <w:tcW w:w="1965" w:type="dxa"/>
            <w:tcBorders/>
            <w:shd w:fill="auto" w:val="clear"/>
            <w:tcMar>
              <w:bottom w:w="0"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17.0</w:t>
            </w:r>
          </w:p>
        </w:tc>
        <w:tc>
          <w:tcPr>
            <w:tcW w:w="304"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 xml:space="preserve">Non-GAAP R&amp;D </w:t>
            </w:r>
          </w:p>
        </w:tc>
        <w:tc>
          <w:tcPr>
            <w:tcW w:w="1965" w:type="dxa"/>
            <w:tcBorders>
              <w:top w:val="single" w:sz="2" w:space="0" w:color="575756"/>
              <w:left w:val="single" w:sz="2" w:space="0" w:color="F2F2F2"/>
              <w:bottom w:val="double" w:sz="6" w:space="0" w:color="575756"/>
              <w:right w:val="single" w:sz="2" w:space="0" w:color="F2F2F2"/>
            </w:tcBorders>
            <w:shd w:fill="F2F2F2" w:val="clear"/>
            <w:tcMar>
              <w:top w:w="75" w:type="dxa"/>
              <w:left w:w="28" w:type="dxa"/>
              <w:bottom w:w="30"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$ 3,168.7</w:t>
            </w:r>
          </w:p>
        </w:tc>
        <w:tc>
          <w:tcPr>
            <w:tcW w:w="304" w:type="dxa"/>
            <w:tcBorders>
              <w:top w:val="single" w:sz="2" w:space="0" w:color="575756"/>
              <w:left w:val="single" w:sz="2" w:space="0" w:color="F2F2F2"/>
              <w:bottom w:val="double" w:sz="6" w:space="0" w:color="575756"/>
              <w:right w:val="single" w:sz="2" w:space="0" w:color="F2F2F2"/>
            </w:tcBorders>
            <w:shd w:fill="F2F2F2" w:val="clear"/>
            <w:tcMar>
              <w:top w:w="75" w:type="dxa"/>
              <w:left w:w="28" w:type="dxa"/>
              <w:bottom w:w="30"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shd w:fill="auto" w:val="clear"/>
            <w:tcMar>
              <w:bottom w:w="0"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GAAP SG&amp;A</w:t>
            </w:r>
          </w:p>
        </w:tc>
        <w:tc>
          <w:tcPr>
            <w:tcW w:w="1965" w:type="dxa"/>
            <w:tcBorders/>
            <w:shd w:fill="auto" w:val="clear"/>
            <w:tcMar>
              <w:bottom w:w="0"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$ 2,115.9</w:t>
            </w:r>
          </w:p>
        </w:tc>
        <w:tc>
          <w:tcPr>
            <w:tcW w:w="304"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180" w:right="0" w:hanging="0"/>
              <w:rPr>
                <w:rFonts w:ascii="Arial" w:hAnsi="Arial"/>
                <w:color w:val="000000"/>
                <w:sz w:val="18"/>
              </w:rPr>
            </w:pPr>
            <w:r>
              <w:rPr>
                <w:rFonts w:ascii="Arial" w:hAnsi="Arial"/>
                <w:color w:val="000000"/>
                <w:sz w:val="18"/>
              </w:rPr>
              <w:t>SG&amp;A: Stock-based compensation expense</w:t>
            </w:r>
          </w:p>
        </w:tc>
        <w:tc>
          <w:tcPr>
            <w:tcW w:w="1965"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256.4</w:t>
            </w:r>
          </w:p>
        </w:tc>
        <w:tc>
          <w:tcPr>
            <w:tcW w:w="304"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shd w:fill="auto" w:val="clear"/>
            <w:tcMar>
              <w:bottom w:w="0" w:type="dxa"/>
            </w:tcMar>
            <w:vAlign w:val="center"/>
          </w:tcPr>
          <w:p>
            <w:pPr>
              <w:pStyle w:val="TableContents"/>
              <w:pBdr/>
              <w:spacing w:before="0" w:after="15"/>
              <w:ind w:left="180" w:right="0" w:hanging="0"/>
              <w:rPr>
                <w:rFonts w:ascii="Arial" w:hAnsi="Arial"/>
                <w:color w:val="000000"/>
                <w:sz w:val="18"/>
              </w:rPr>
            </w:pPr>
            <w:r>
              <w:rPr>
                <w:rFonts w:ascii="Arial" w:hAnsi="Arial"/>
                <w:color w:val="000000"/>
                <w:sz w:val="18"/>
              </w:rPr>
              <w:t>SG&amp;A: Acquisition-related integration costs and other</w:t>
            </w:r>
          </w:p>
        </w:tc>
        <w:tc>
          <w:tcPr>
            <w:tcW w:w="1965" w:type="dxa"/>
            <w:tcBorders/>
            <w:shd w:fill="auto" w:val="clear"/>
            <w:tcMar>
              <w:bottom w:w="0"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6.6</w:t>
            </w:r>
          </w:p>
        </w:tc>
        <w:tc>
          <w:tcPr>
            <w:tcW w:w="304"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Non-GAAP SG&amp;A</w:t>
            </w:r>
          </w:p>
        </w:tc>
        <w:tc>
          <w:tcPr>
            <w:tcW w:w="1965" w:type="dxa"/>
            <w:tcBorders>
              <w:top w:val="single" w:sz="2" w:space="0" w:color="575756"/>
              <w:left w:val="single" w:sz="2" w:space="0" w:color="F2F2F2"/>
              <w:bottom w:val="double" w:sz="6" w:space="0" w:color="575756"/>
              <w:right w:val="single" w:sz="2" w:space="0" w:color="F2F2F2"/>
            </w:tcBorders>
            <w:shd w:fill="F2F2F2" w:val="clear"/>
            <w:tcMar>
              <w:top w:w="75" w:type="dxa"/>
              <w:left w:w="28" w:type="dxa"/>
              <w:bottom w:w="30"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$ 1,852.9</w:t>
            </w:r>
          </w:p>
        </w:tc>
        <w:tc>
          <w:tcPr>
            <w:tcW w:w="304" w:type="dxa"/>
            <w:tcBorders>
              <w:top w:val="single" w:sz="2" w:space="0" w:color="575756"/>
              <w:left w:val="single" w:sz="2" w:space="0" w:color="F2F2F2"/>
              <w:bottom w:val="double" w:sz="6" w:space="0" w:color="575756"/>
              <w:right w:val="single" w:sz="2" w:space="0" w:color="F2F2F2"/>
            </w:tcBorders>
            <w:shd w:fill="F2F2F2" w:val="clear"/>
            <w:tcMar>
              <w:top w:w="75" w:type="dxa"/>
              <w:left w:w="28" w:type="dxa"/>
              <w:bottom w:w="30"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shd w:fill="auto" w:val="clear"/>
            <w:tcMar>
              <w:bottom w:w="0"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GAAP COGS</w:t>
            </w:r>
          </w:p>
        </w:tc>
        <w:tc>
          <w:tcPr>
            <w:tcW w:w="1965" w:type="dxa"/>
            <w:tcBorders/>
            <w:shd w:fill="auto" w:val="clear"/>
            <w:tcMar>
              <w:bottom w:w="0"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    800.0</w:t>
            </w:r>
          </w:p>
        </w:tc>
        <w:tc>
          <w:tcPr>
            <w:tcW w:w="304"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180" w:right="0" w:hanging="0"/>
              <w:rPr>
                <w:rFonts w:ascii="Arial" w:hAnsi="Arial"/>
                <w:color w:val="000000"/>
                <w:sz w:val="18"/>
              </w:rPr>
            </w:pPr>
            <w:r>
              <w:rPr>
                <w:rFonts w:ascii="Arial" w:hAnsi="Arial"/>
                <w:color w:val="000000"/>
                <w:sz w:val="18"/>
              </w:rPr>
              <w:t>COGS: Stock-based compensation expense</w:t>
            </w:r>
          </w:p>
        </w:tc>
        <w:tc>
          <w:tcPr>
            <w:tcW w:w="1965"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61.8</w:t>
            </w:r>
          </w:p>
        </w:tc>
        <w:tc>
          <w:tcPr>
            <w:tcW w:w="304"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shd w:fill="auto" w:val="clear"/>
            <w:tcMar>
              <w:bottom w:w="0" w:type="dxa"/>
            </w:tcMar>
            <w:vAlign w:val="center"/>
          </w:tcPr>
          <w:p>
            <w:pPr>
              <w:pStyle w:val="TableContents"/>
              <w:pBdr/>
              <w:spacing w:before="0" w:after="15"/>
              <w:ind w:left="180" w:right="0" w:hanging="0"/>
              <w:rPr>
                <w:rFonts w:ascii="Arial" w:hAnsi="Arial"/>
                <w:color w:val="000000"/>
                <w:sz w:val="18"/>
              </w:rPr>
            </w:pPr>
            <w:r>
              <w:rPr>
                <w:rFonts w:ascii="Arial" w:hAnsi="Arial"/>
                <w:color w:val="000000"/>
                <w:sz w:val="18"/>
              </w:rPr>
              <w:t>COGS: Intangible asset amortization expense</w:t>
            </w:r>
          </w:p>
        </w:tc>
        <w:tc>
          <w:tcPr>
            <w:tcW w:w="1965" w:type="dxa"/>
            <w:tcBorders/>
            <w:shd w:fill="auto" w:val="clear"/>
            <w:tcMar>
              <w:bottom w:w="0"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34.8</w:t>
            </w:r>
          </w:p>
        </w:tc>
        <w:tc>
          <w:tcPr>
            <w:tcW w:w="304"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180" w:right="0" w:hanging="0"/>
              <w:rPr>
                <w:rFonts w:ascii="Arial" w:hAnsi="Arial"/>
                <w:color w:val="000000"/>
                <w:sz w:val="18"/>
              </w:rPr>
            </w:pPr>
            <w:r>
              <w:rPr>
                <w:rFonts w:ascii="Arial" w:hAnsi="Arial"/>
                <w:color w:val="000000"/>
                <w:sz w:val="18"/>
              </w:rPr>
              <w:t>COGS: Charges related to REGEN-COV</w:t>
            </w:r>
          </w:p>
        </w:tc>
        <w:tc>
          <w:tcPr>
            <w:tcW w:w="1965" w:type="dxa"/>
            <w:tcBorders>
              <w:top w:val="single" w:sz="2" w:space="0" w:color="F2F2F2"/>
              <w:left w:val="single" w:sz="2" w:space="0" w:color="F2F2F2"/>
              <w:bottom w:val="single" w:sz="2" w:space="0" w:color="0A2355"/>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196.6</w:t>
            </w:r>
          </w:p>
        </w:tc>
        <w:tc>
          <w:tcPr>
            <w:tcW w:w="304" w:type="dxa"/>
            <w:tcBorders>
              <w:top w:val="single" w:sz="2" w:space="0" w:color="F2F2F2"/>
              <w:left w:val="single" w:sz="2" w:space="0" w:color="F2F2F2"/>
              <w:bottom w:val="single" w:sz="2" w:space="0" w:color="0A2355"/>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shd w:fill="auto" w:val="clear"/>
            <w:tcMar>
              <w:bottom w:w="0"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Non-GAAP COGS</w:t>
            </w:r>
          </w:p>
        </w:tc>
        <w:tc>
          <w:tcPr>
            <w:tcW w:w="1965" w:type="dxa"/>
            <w:tcBorders>
              <w:left w:val="single" w:sz="2" w:space="0" w:color="F2F2F2"/>
              <w:bottom w:val="double" w:sz="6" w:space="0" w:color="575756"/>
              <w:right w:val="single" w:sz="2" w:space="0" w:color="F2F2F2"/>
            </w:tcBorders>
            <w:shd w:fill="auto" w:val="clear"/>
            <w:tcMar>
              <w:left w:w="28" w:type="dxa"/>
              <w:bottom w:w="30"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   506.8</w:t>
            </w:r>
          </w:p>
        </w:tc>
        <w:tc>
          <w:tcPr>
            <w:tcW w:w="304" w:type="dxa"/>
            <w:tcBorders>
              <w:left w:val="single" w:sz="2" w:space="0" w:color="F2F2F2"/>
              <w:bottom w:val="double" w:sz="6" w:space="0" w:color="575756"/>
              <w:right w:val="single" w:sz="2" w:space="0" w:color="F2F2F2"/>
            </w:tcBorders>
            <w:shd w:fill="auto" w:val="clear"/>
            <w:tcMar>
              <w:left w:w="28" w:type="dxa"/>
              <w:bottom w:w="30"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GAAP other income (expense), net</w:t>
            </w:r>
          </w:p>
        </w:tc>
        <w:tc>
          <w:tcPr>
            <w:tcW w:w="1965"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   119.9</w:t>
            </w:r>
          </w:p>
        </w:tc>
        <w:tc>
          <w:tcPr>
            <w:tcW w:w="304"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shd w:fill="auto" w:val="clear"/>
            <w:tcMar>
              <w:bottom w:w="0" w:type="dxa"/>
            </w:tcMar>
            <w:vAlign w:val="center"/>
          </w:tcPr>
          <w:p>
            <w:pPr>
              <w:pStyle w:val="TableContents"/>
              <w:pBdr/>
              <w:spacing w:before="0" w:after="15"/>
              <w:ind w:left="180" w:right="0" w:hanging="0"/>
              <w:rPr>
                <w:rFonts w:ascii="Arial" w:hAnsi="Arial"/>
                <w:color w:val="000000"/>
                <w:sz w:val="18"/>
              </w:rPr>
            </w:pPr>
            <w:r>
              <w:rPr>
                <w:rFonts w:ascii="Arial" w:hAnsi="Arial"/>
                <w:color w:val="000000"/>
                <w:sz w:val="18"/>
              </w:rPr>
              <w:t>Other income/expense: (Gains) losses on investments</w:t>
            </w:r>
          </w:p>
        </w:tc>
        <w:tc>
          <w:tcPr>
            <w:tcW w:w="1965" w:type="dxa"/>
            <w:tcBorders/>
            <w:shd w:fill="auto" w:val="clear"/>
            <w:tcMar>
              <w:bottom w:w="0"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36.8</w:t>
            </w:r>
          </w:p>
        </w:tc>
        <w:tc>
          <w:tcPr>
            <w:tcW w:w="304"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Non-GAAP other income (expense), net</w:t>
            </w:r>
          </w:p>
        </w:tc>
        <w:tc>
          <w:tcPr>
            <w:tcW w:w="1965" w:type="dxa"/>
            <w:tcBorders>
              <w:top w:val="single" w:sz="2" w:space="0" w:color="575756"/>
              <w:left w:val="single" w:sz="2" w:space="0" w:color="F2F2F2"/>
              <w:bottom w:val="double" w:sz="6" w:space="0" w:color="575756"/>
              <w:right w:val="single" w:sz="2" w:space="0" w:color="F2F2F2"/>
            </w:tcBorders>
            <w:shd w:fill="F2F2F2" w:val="clear"/>
            <w:tcMar>
              <w:top w:w="75" w:type="dxa"/>
              <w:left w:w="28" w:type="dxa"/>
              <w:bottom w:w="30"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    156.7</w:t>
            </w:r>
          </w:p>
        </w:tc>
        <w:tc>
          <w:tcPr>
            <w:tcW w:w="304" w:type="dxa"/>
            <w:tcBorders>
              <w:top w:val="single" w:sz="2" w:space="0" w:color="575756"/>
              <w:left w:val="single" w:sz="2" w:space="0" w:color="F2F2F2"/>
              <w:bottom w:val="double" w:sz="6" w:space="0" w:color="575756"/>
              <w:right w:val="single" w:sz="2" w:space="0" w:color="F2F2F2"/>
            </w:tcBorders>
            <w:shd w:fill="F2F2F2" w:val="clear"/>
            <w:tcMar>
              <w:top w:w="75" w:type="dxa"/>
              <w:left w:w="28" w:type="dxa"/>
              <w:bottom w:w="30"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shd w:fill="auto" w:val="clear"/>
            <w:tcMar>
              <w:bottom w:w="0"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GAAP net income</w:t>
            </w:r>
          </w:p>
        </w:tc>
        <w:tc>
          <w:tcPr>
            <w:tcW w:w="1965" w:type="dxa"/>
            <w:tcBorders/>
            <w:shd w:fill="auto" w:val="clear"/>
            <w:tcMar>
              <w:bottom w:w="0"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$ 4,338.4</w:t>
            </w:r>
          </w:p>
        </w:tc>
        <w:tc>
          <w:tcPr>
            <w:tcW w:w="304"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180" w:right="0" w:hanging="0"/>
              <w:rPr>
                <w:rFonts w:ascii="Arial" w:hAnsi="Arial"/>
                <w:color w:val="000000"/>
                <w:sz w:val="18"/>
              </w:rPr>
            </w:pPr>
            <w:r>
              <w:rPr>
                <w:rFonts w:ascii="Arial" w:hAnsi="Arial"/>
                <w:color w:val="000000"/>
                <w:sz w:val="18"/>
              </w:rPr>
              <w:t>Total of GAAP to non-GAAP reconciling items above</w:t>
            </w:r>
          </w:p>
        </w:tc>
        <w:tc>
          <w:tcPr>
            <w:tcW w:w="1965"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1,016.8</w:t>
            </w:r>
          </w:p>
        </w:tc>
        <w:tc>
          <w:tcPr>
            <w:tcW w:w="304"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shd w:fill="auto" w:val="clear"/>
            <w:tcMar>
              <w:bottom w:w="0" w:type="dxa"/>
            </w:tcMar>
            <w:vAlign w:val="center"/>
          </w:tcPr>
          <w:p>
            <w:pPr>
              <w:pStyle w:val="TableContents"/>
              <w:pBdr/>
              <w:spacing w:before="0" w:after="15"/>
              <w:ind w:left="180" w:right="0" w:hanging="0"/>
              <w:rPr>
                <w:rFonts w:ascii="Arial" w:hAnsi="Arial"/>
                <w:color w:val="000000"/>
                <w:sz w:val="18"/>
              </w:rPr>
            </w:pPr>
            <w:r>
              <w:rPr>
                <w:rFonts w:ascii="Arial" w:hAnsi="Arial"/>
                <w:color w:val="000000"/>
                <w:sz w:val="18"/>
              </w:rPr>
              <w:t>Income tax effect of GAAP to non-GAAP reconciling items</w:t>
            </w:r>
          </w:p>
        </w:tc>
        <w:tc>
          <w:tcPr>
            <w:tcW w:w="1965" w:type="dxa"/>
            <w:tcBorders/>
            <w:shd w:fill="auto" w:val="clear"/>
            <w:tcMar>
              <w:bottom w:w="0"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(191.3)</w:t>
            </w:r>
          </w:p>
        </w:tc>
        <w:tc>
          <w:tcPr>
            <w:tcW w:w="304"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Non-GAAP net income</w:t>
            </w:r>
          </w:p>
        </w:tc>
        <w:tc>
          <w:tcPr>
            <w:tcW w:w="1965" w:type="dxa"/>
            <w:tcBorders>
              <w:top w:val="single" w:sz="2" w:space="0" w:color="575756"/>
              <w:left w:val="single" w:sz="2" w:space="0" w:color="F2F2F2"/>
              <w:bottom w:val="double" w:sz="6" w:space="0" w:color="575756"/>
              <w:right w:val="single" w:sz="2" w:space="0" w:color="F2F2F2"/>
            </w:tcBorders>
            <w:shd w:fill="F2F2F2" w:val="clear"/>
            <w:tcMar>
              <w:top w:w="75" w:type="dxa"/>
              <w:left w:w="28" w:type="dxa"/>
              <w:bottom w:w="30"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$ 5,163.9</w:t>
            </w:r>
          </w:p>
        </w:tc>
        <w:tc>
          <w:tcPr>
            <w:tcW w:w="304" w:type="dxa"/>
            <w:tcBorders>
              <w:top w:val="single" w:sz="2" w:space="0" w:color="575756"/>
              <w:left w:val="single" w:sz="2" w:space="0" w:color="F2F2F2"/>
              <w:bottom w:val="double" w:sz="6" w:space="0" w:color="575756"/>
              <w:right w:val="single" w:sz="2" w:space="0" w:color="F2F2F2"/>
            </w:tcBorders>
            <w:shd w:fill="F2F2F2" w:val="clear"/>
            <w:tcMar>
              <w:top w:w="75" w:type="dxa"/>
              <w:left w:w="28" w:type="dxa"/>
              <w:bottom w:w="30"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shd w:fill="auto" w:val="clear"/>
            <w:tcMar>
              <w:bottom w:w="0"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Non-GAAP net income per share - basic</w:t>
            </w:r>
          </w:p>
        </w:tc>
        <w:tc>
          <w:tcPr>
            <w:tcW w:w="1965" w:type="dxa"/>
            <w:tcBorders/>
            <w:shd w:fill="auto" w:val="clear"/>
            <w:tcMar>
              <w:bottom w:w="0"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   48.22</w:t>
            </w:r>
          </w:p>
        </w:tc>
        <w:tc>
          <w:tcPr>
            <w:tcW w:w="304"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Non-GAAP net income per share - diluted</w:t>
            </w:r>
          </w:p>
          <w:p>
            <w:pPr>
              <w:pStyle w:val="TableContents"/>
              <w:pBdr/>
              <w:spacing w:before="0" w:after="15"/>
              <w:ind w:left="60" w:right="0" w:hanging="0"/>
              <w:rPr>
                <w:color w:val="000000"/>
              </w:rPr>
            </w:pPr>
            <w:r>
              <w:rPr>
                <w:color w:val="000000"/>
              </w:rPr>
              <w:t> </w:t>
            </w:r>
          </w:p>
        </w:tc>
        <w:tc>
          <w:tcPr>
            <w:tcW w:w="1965"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$   44.98</w:t>
            </w:r>
          </w:p>
        </w:tc>
        <w:tc>
          <w:tcPr>
            <w:tcW w:w="304"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shd w:fill="auto" w:val="clear"/>
            <w:tcMar>
              <w:bottom w:w="0" w:type="dxa"/>
            </w:tcMar>
            <w:vAlign w:val="center"/>
          </w:tcPr>
          <w:p>
            <w:pPr>
              <w:pStyle w:val="TableContents"/>
              <w:pBdr/>
              <w:spacing w:before="0" w:after="15"/>
              <w:ind w:left="60" w:right="0" w:hanging="0"/>
              <w:rPr>
                <w:rFonts w:ascii="Arial" w:hAnsi="Arial"/>
                <w:i/>
                <w:color w:val="000000"/>
                <w:sz w:val="18"/>
              </w:rPr>
            </w:pPr>
            <w:r>
              <w:rPr>
                <w:rFonts w:ascii="Arial" w:hAnsi="Arial"/>
                <w:i/>
                <w:color w:val="000000"/>
                <w:sz w:val="18"/>
              </w:rPr>
              <w:t>Shares used in calculating:</w:t>
            </w:r>
          </w:p>
        </w:tc>
        <w:tc>
          <w:tcPr>
            <w:tcW w:w="1965"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c>
          <w:tcPr>
            <w:tcW w:w="304"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GAAP net income per share - basic</w:t>
            </w:r>
          </w:p>
        </w:tc>
        <w:tc>
          <w:tcPr>
            <w:tcW w:w="1965"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107.1</w:t>
            </w:r>
          </w:p>
        </w:tc>
        <w:tc>
          <w:tcPr>
            <w:tcW w:w="304"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shd w:fill="auto" w:val="clear"/>
            <w:tcMar>
              <w:bottom w:w="0"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GAAP net income per share - diluted</w:t>
            </w:r>
          </w:p>
        </w:tc>
        <w:tc>
          <w:tcPr>
            <w:tcW w:w="1965" w:type="dxa"/>
            <w:tcBorders/>
            <w:shd w:fill="auto" w:val="clear"/>
            <w:tcMar>
              <w:bottom w:w="0"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113.5</w:t>
            </w:r>
          </w:p>
        </w:tc>
        <w:tc>
          <w:tcPr>
            <w:tcW w:w="304"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Non-GAAP net income per share - basic</w:t>
            </w:r>
          </w:p>
        </w:tc>
        <w:tc>
          <w:tcPr>
            <w:tcW w:w="1965"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107.1</w:t>
            </w:r>
          </w:p>
        </w:tc>
        <w:tc>
          <w:tcPr>
            <w:tcW w:w="304"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4670" w:type="dxa"/>
            <w:tcBorders/>
            <w:shd w:fill="auto" w:val="clear"/>
            <w:tcMar>
              <w:bottom w:w="0"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Non-GAAP net income per share - diluted</w:t>
            </w:r>
          </w:p>
        </w:tc>
        <w:tc>
          <w:tcPr>
            <w:tcW w:w="1965" w:type="dxa"/>
            <w:tcBorders/>
            <w:shd w:fill="auto" w:val="clear"/>
            <w:tcMar>
              <w:bottom w:w="0"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114.8</w:t>
            </w:r>
          </w:p>
        </w:tc>
        <w:tc>
          <w:tcPr>
            <w:tcW w:w="304"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p>
            <w:pPr>
              <w:pStyle w:val="TableContents"/>
              <w:pBdr/>
              <w:spacing w:before="0" w:after="15"/>
              <w:ind w:left="60" w:right="60" w:hanging="0"/>
              <w:jc w:val="right"/>
              <w:rPr>
                <w:color w:val="000000"/>
              </w:rPr>
            </w:pPr>
            <w:r>
              <w:rPr>
                <w:color w:val="000000"/>
              </w:rPr>
              <w:t> </w:t>
            </w:r>
          </w:p>
        </w:tc>
      </w:tr>
    </w:tbl>
    <w:tbl>
      <w:tblPr>
        <w:tblW w:w="9340" w:type="dxa"/>
        <w:jc w:val="left"/>
        <w:tblInd w:w="0" w:type="dxa"/>
        <w:tblCellMar>
          <w:top w:w="0" w:type="dxa"/>
          <w:left w:w="0" w:type="dxa"/>
          <w:bottom w:w="90" w:type="dxa"/>
          <w:right w:w="0" w:type="dxa"/>
        </w:tblCellMar>
      </w:tblPr>
      <w:tblGrid>
        <w:gridCol w:w="6496"/>
        <w:gridCol w:w="1036"/>
        <w:gridCol w:w="386"/>
        <w:gridCol w:w="991"/>
        <w:gridCol w:w="431"/>
      </w:tblGrid>
      <w:tr>
        <w:trPr/>
        <w:tc>
          <w:tcPr>
            <w:tcW w:w="6496" w:type="dxa"/>
            <w:vMerge w:val="restart"/>
            <w:tcBorders>
              <w:bottom w:val="single" w:sz="12" w:space="0" w:color="245BA7"/>
            </w:tcBorders>
            <w:shd w:fill="auto" w:val="clear"/>
            <w:vAlign w:val="center"/>
          </w:tcPr>
          <w:p>
            <w:pPr>
              <w:pStyle w:val="TableContents"/>
              <w:pBdr/>
              <w:spacing w:before="15" w:after="0"/>
              <w:ind w:left="60" w:right="60" w:hanging="0"/>
              <w:rPr>
                <w:color w:val="245BA7"/>
              </w:rPr>
            </w:pPr>
            <w:r>
              <w:rPr>
                <w:color w:val="245BA7"/>
              </w:rPr>
              <w:t> </w:t>
            </w:r>
          </w:p>
        </w:tc>
        <w:tc>
          <w:tcPr>
            <w:tcW w:w="2844" w:type="dxa"/>
            <w:gridSpan w:val="4"/>
            <w:tcBorders>
              <w:bottom w:val="single" w:sz="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Year Ended December 31,</w:t>
            </w:r>
          </w:p>
        </w:tc>
      </w:tr>
      <w:tr>
        <w:trPr/>
        <w:tc>
          <w:tcPr>
            <w:tcW w:w="6496" w:type="dxa"/>
            <w:vMerge w:val="continue"/>
            <w:tcBorders>
              <w:bottom w:val="single" w:sz="12" w:space="0" w:color="245BA7"/>
            </w:tcBorders>
            <w:shd w:fill="auto" w:val="clear"/>
            <w:vAlign w:val="center"/>
          </w:tcPr>
          <w:p>
            <w:pPr>
              <w:pStyle w:val="Normal"/>
              <w:rPr/>
            </w:pPr>
            <w:r>
              <w:rPr/>
            </w:r>
          </w:p>
        </w:tc>
        <w:tc>
          <w:tcPr>
            <w:tcW w:w="1422" w:type="dxa"/>
            <w:gridSpan w:val="2"/>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2022</w:t>
            </w:r>
          </w:p>
        </w:tc>
        <w:tc>
          <w:tcPr>
            <w:tcW w:w="1422" w:type="dxa"/>
            <w:gridSpan w:val="2"/>
            <w:tcBorders>
              <w:bottom w:val="single" w:sz="12" w:space="0" w:color="245BA7"/>
            </w:tcBorders>
            <w:shd w:fill="auto" w:val="clear"/>
            <w:vAlign w:val="center"/>
          </w:tcPr>
          <w:p>
            <w:pPr>
              <w:pStyle w:val="TableContents"/>
              <w:pBdr/>
              <w:spacing w:before="15" w:after="0"/>
              <w:ind w:left="0" w:right="0" w:hanging="0"/>
              <w:jc w:val="center"/>
              <w:rPr>
                <w:rFonts w:ascii="Arial" w:hAnsi="Arial"/>
                <w:b/>
                <w:color w:val="245BA7"/>
                <w:sz w:val="18"/>
              </w:rPr>
            </w:pPr>
            <w:r>
              <w:rPr>
                <w:rFonts w:ascii="Arial" w:hAnsi="Arial"/>
                <w:b/>
                <w:color w:val="245BA7"/>
                <w:sz w:val="18"/>
              </w:rPr>
              <w:t>2021</w:t>
            </w:r>
          </w:p>
        </w:tc>
      </w:tr>
      <w:tr>
        <w:trPr/>
        <w:tc>
          <w:tcPr>
            <w:tcW w:w="6496" w:type="dxa"/>
            <w:tcBorders/>
            <w:shd w:fill="auto" w:val="clear"/>
            <w:tcMar>
              <w:bottom w:w="0" w:type="dxa"/>
            </w:tcMar>
            <w:vAlign w:val="center"/>
          </w:tcPr>
          <w:p>
            <w:pPr>
              <w:pStyle w:val="TableContents"/>
              <w:pBdr/>
              <w:spacing w:before="0" w:after="15"/>
              <w:ind w:left="60" w:right="0" w:hanging="0"/>
              <w:rPr>
                <w:rFonts w:ascii="Arial" w:hAnsi="Arial"/>
                <w:i/>
                <w:color w:val="000000"/>
                <w:sz w:val="18"/>
              </w:rPr>
            </w:pPr>
            <w:r>
              <w:rPr>
                <w:rFonts w:ascii="Arial" w:hAnsi="Arial"/>
                <w:i/>
                <w:color w:val="000000"/>
                <w:sz w:val="18"/>
              </w:rPr>
              <w:t>Revenue reconciliation:</w:t>
            </w:r>
          </w:p>
        </w:tc>
        <w:tc>
          <w:tcPr>
            <w:tcW w:w="1036"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c>
          <w:tcPr>
            <w:tcW w:w="386"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c>
          <w:tcPr>
            <w:tcW w:w="991"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c>
          <w:tcPr>
            <w:tcW w:w="431"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r>
      <w:tr>
        <w:trPr/>
        <w:tc>
          <w:tcPr>
            <w:tcW w:w="6496"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Total revenues</w:t>
            </w:r>
          </w:p>
        </w:tc>
        <w:tc>
          <w:tcPr>
            <w:tcW w:w="1036"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$12,172.9</w:t>
            </w:r>
          </w:p>
        </w:tc>
        <w:tc>
          <w:tcPr>
            <w:tcW w:w="386"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color w:val="000000"/>
              </w:rPr>
            </w:pPr>
            <w:r>
              <w:rPr>
                <w:color w:val="000000"/>
              </w:rPr>
              <w:t>    </w:t>
            </w:r>
          </w:p>
        </w:tc>
        <w:tc>
          <w:tcPr>
            <w:tcW w:w="991"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$16,071.7</w:t>
            </w:r>
          </w:p>
        </w:tc>
        <w:tc>
          <w:tcPr>
            <w:tcW w:w="431"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6496" w:type="dxa"/>
            <w:tcBorders/>
            <w:shd w:fill="auto" w:val="clear"/>
            <w:tcMar>
              <w:bottom w:w="0" w:type="dxa"/>
            </w:tcMar>
            <w:vAlign w:val="center"/>
          </w:tcPr>
          <w:p>
            <w:pPr>
              <w:pStyle w:val="TableContents"/>
              <w:pBdr/>
              <w:spacing w:before="0" w:after="15"/>
              <w:ind w:left="180" w:right="0" w:hanging="0"/>
              <w:rPr>
                <w:rFonts w:ascii="Arial" w:hAnsi="Arial"/>
                <w:color w:val="000000"/>
                <w:sz w:val="18"/>
              </w:rPr>
            </w:pPr>
            <w:r>
              <w:rPr>
                <w:rFonts w:ascii="Arial" w:hAnsi="Arial"/>
                <w:color w:val="000000"/>
                <w:sz w:val="18"/>
              </w:rPr>
              <w:t>REGEN-COV net product sales in the United States</w:t>
            </w:r>
          </w:p>
        </w:tc>
        <w:tc>
          <w:tcPr>
            <w:tcW w:w="1036"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w:t>
            </w:r>
          </w:p>
        </w:tc>
        <w:tc>
          <w:tcPr>
            <w:tcW w:w="386"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c>
          <w:tcPr>
            <w:tcW w:w="991" w:type="dxa"/>
            <w:tcBorders/>
            <w:shd w:fill="auto" w:val="clear"/>
            <w:tcMar>
              <w:bottom w:w="0"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5,828.0</w:t>
            </w:r>
          </w:p>
        </w:tc>
        <w:tc>
          <w:tcPr>
            <w:tcW w:w="431" w:type="dxa"/>
            <w:tcBorders/>
            <w:shd w:fill="auto" w:val="clear"/>
            <w:tcMar>
              <w:bottom w:w="0" w:type="dxa"/>
            </w:tcMar>
            <w:vAlign w:val="center"/>
          </w:tcPr>
          <w:p>
            <w:pPr>
              <w:pStyle w:val="TableContents"/>
              <w:pBdr/>
              <w:spacing w:before="0" w:after="15"/>
              <w:ind w:left="60" w:right="60" w:hanging="0"/>
              <w:jc w:val="right"/>
              <w:rPr>
                <w:color w:val="000000"/>
              </w:rPr>
            </w:pPr>
            <w:r>
              <w:rPr>
                <w:color w:val="000000"/>
              </w:rPr>
              <w:t> </w:t>
            </w:r>
          </w:p>
        </w:tc>
      </w:tr>
      <w:tr>
        <w:trPr/>
        <w:tc>
          <w:tcPr>
            <w:tcW w:w="6496" w:type="dxa"/>
            <w:tcBorders>
              <w:top w:val="single" w:sz="2" w:space="0" w:color="F2F2F2"/>
              <w:left w:val="single" w:sz="2" w:space="0" w:color="F2F2F2"/>
              <w:bottom w:val="single" w:sz="2" w:space="0" w:color="F2F2F2"/>
              <w:right w:val="single" w:sz="2" w:space="0" w:color="F2F2F2"/>
            </w:tcBorders>
            <w:shd w:fill="F2F2F2" w:val="clear"/>
            <w:tcMar>
              <w:top w:w="75" w:type="dxa"/>
              <w:left w:w="28" w:type="dxa"/>
              <w:bottom w:w="45" w:type="dxa"/>
              <w:right w:w="28" w:type="dxa"/>
            </w:tcMar>
            <w:vAlign w:val="center"/>
          </w:tcPr>
          <w:p>
            <w:pPr>
              <w:pStyle w:val="TableContents"/>
              <w:pBdr/>
              <w:spacing w:before="0" w:after="15"/>
              <w:ind w:left="180" w:right="0" w:hanging="0"/>
              <w:rPr>
                <w:rFonts w:ascii="Arial" w:hAnsi="Arial"/>
                <w:color w:val="000000"/>
                <w:sz w:val="18"/>
              </w:rPr>
            </w:pPr>
            <w:r>
              <w:rPr>
                <w:rFonts w:ascii="Arial" w:hAnsi="Arial"/>
                <w:color w:val="000000"/>
                <w:sz w:val="18"/>
              </w:rPr>
              <w:t>Global gross profit payment from Roche in connection with sales of Ronapreve</w:t>
            </w:r>
          </w:p>
        </w:tc>
        <w:tc>
          <w:tcPr>
            <w:tcW w:w="1036" w:type="dxa"/>
            <w:tcBorders>
              <w:top w:val="single" w:sz="2" w:space="0" w:color="F2F2F2"/>
              <w:left w:val="single" w:sz="2" w:space="0" w:color="F2F2F2"/>
              <w:bottom w:val="single" w:sz="2" w:space="0" w:color="082255"/>
              <w:right w:val="single" w:sz="2" w:space="0" w:color="F2F2F2"/>
            </w:tcBorders>
            <w:shd w:fill="F2F2F2" w:val="clear"/>
            <w:tcMar>
              <w:top w:w="75" w:type="dxa"/>
              <w:left w:w="28" w:type="dxa"/>
              <w:bottom w:w="28"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627.3</w:t>
            </w:r>
          </w:p>
        </w:tc>
        <w:tc>
          <w:tcPr>
            <w:tcW w:w="386" w:type="dxa"/>
            <w:tcBorders>
              <w:top w:val="single" w:sz="2" w:space="0" w:color="F2F2F2"/>
              <w:left w:val="single" w:sz="2" w:space="0" w:color="F2F2F2"/>
              <w:bottom w:val="single" w:sz="2" w:space="0" w:color="082255"/>
              <w:right w:val="single" w:sz="2" w:space="0" w:color="F2F2F2"/>
            </w:tcBorders>
            <w:shd w:fill="F2F2F2" w:val="clear"/>
            <w:tcMar>
              <w:top w:w="75" w:type="dxa"/>
              <w:left w:w="28" w:type="dxa"/>
              <w:bottom w:w="28" w:type="dxa"/>
              <w:right w:w="28" w:type="dxa"/>
            </w:tcMar>
            <w:vAlign w:val="center"/>
          </w:tcPr>
          <w:p>
            <w:pPr>
              <w:pStyle w:val="TableContents"/>
              <w:pBdr/>
              <w:spacing w:before="0" w:after="15"/>
              <w:ind w:left="60" w:right="60" w:hanging="0"/>
              <w:jc w:val="right"/>
              <w:rPr>
                <w:color w:val="000000"/>
              </w:rPr>
            </w:pPr>
            <w:r>
              <w:rPr>
                <w:color w:val="000000"/>
              </w:rPr>
              <w:t> </w:t>
            </w:r>
          </w:p>
        </w:tc>
        <w:tc>
          <w:tcPr>
            <w:tcW w:w="991" w:type="dxa"/>
            <w:tcBorders>
              <w:top w:val="single" w:sz="2" w:space="0" w:color="F2F2F2"/>
              <w:left w:val="single" w:sz="2" w:space="0" w:color="F2F2F2"/>
              <w:bottom w:val="single" w:sz="2" w:space="0" w:color="082255"/>
              <w:right w:val="single" w:sz="2" w:space="0" w:color="F2F2F2"/>
            </w:tcBorders>
            <w:shd w:fill="F2F2F2" w:val="clear"/>
            <w:tcMar>
              <w:top w:w="75" w:type="dxa"/>
              <w:left w:w="28" w:type="dxa"/>
              <w:bottom w:w="28" w:type="dxa"/>
              <w:right w:w="28"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361.8</w:t>
            </w:r>
          </w:p>
        </w:tc>
        <w:tc>
          <w:tcPr>
            <w:tcW w:w="431" w:type="dxa"/>
            <w:tcBorders>
              <w:top w:val="single" w:sz="2" w:space="0" w:color="F2F2F2"/>
              <w:left w:val="single" w:sz="2" w:space="0" w:color="F2F2F2"/>
              <w:bottom w:val="single" w:sz="2" w:space="0" w:color="082255"/>
              <w:right w:val="single" w:sz="2" w:space="0" w:color="F2F2F2"/>
            </w:tcBorders>
            <w:shd w:fill="F2F2F2" w:val="clear"/>
            <w:tcMar>
              <w:top w:w="75" w:type="dxa"/>
              <w:left w:w="28" w:type="dxa"/>
              <w:bottom w:w="28" w:type="dxa"/>
              <w:right w:w="28" w:type="dxa"/>
            </w:tcMar>
            <w:vAlign w:val="center"/>
          </w:tcPr>
          <w:p>
            <w:pPr>
              <w:pStyle w:val="TableContents"/>
              <w:pBdr/>
              <w:spacing w:before="0" w:after="15"/>
              <w:ind w:left="60" w:right="60" w:hanging="0"/>
              <w:jc w:val="right"/>
              <w:rPr>
                <w:color w:val="000000"/>
              </w:rPr>
            </w:pPr>
            <w:r>
              <w:rPr>
                <w:color w:val="000000"/>
              </w:rPr>
              <w:t> </w:t>
            </w:r>
          </w:p>
        </w:tc>
      </w:tr>
      <w:tr>
        <w:trPr/>
        <w:tc>
          <w:tcPr>
            <w:tcW w:w="6496" w:type="dxa"/>
            <w:tcBorders/>
            <w:shd w:fill="auto" w:val="clear"/>
            <w:tcMar>
              <w:bottom w:w="0" w:type="dxa"/>
            </w:tcMar>
            <w:vAlign w:val="center"/>
          </w:tcPr>
          <w:p>
            <w:pPr>
              <w:pStyle w:val="TableContents"/>
              <w:pBdr/>
              <w:spacing w:before="0" w:after="15"/>
              <w:ind w:left="60" w:right="0" w:hanging="0"/>
              <w:rPr>
                <w:rFonts w:ascii="Arial" w:hAnsi="Arial"/>
                <w:color w:val="000000"/>
                <w:sz w:val="18"/>
              </w:rPr>
            </w:pPr>
            <w:r>
              <w:rPr>
                <w:rFonts w:ascii="Arial" w:hAnsi="Arial"/>
                <w:color w:val="000000"/>
                <w:sz w:val="18"/>
              </w:rPr>
              <w:t>Total revenues excluding REGEN-COV and Ronapreve</w:t>
            </w:r>
          </w:p>
        </w:tc>
        <w:tc>
          <w:tcPr>
            <w:tcW w:w="1036" w:type="dxa"/>
            <w:tcBorders>
              <w:bottom w:val="double" w:sz="6" w:space="0" w:color="575756"/>
            </w:tcBorders>
            <w:shd w:fill="auto" w:val="clear"/>
            <w:tcMar>
              <w:bottom w:w="30"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$ 11,545.6</w:t>
            </w:r>
          </w:p>
        </w:tc>
        <w:tc>
          <w:tcPr>
            <w:tcW w:w="386" w:type="dxa"/>
            <w:tcBorders>
              <w:bottom w:val="double" w:sz="6" w:space="0" w:color="575756"/>
            </w:tcBorders>
            <w:shd w:fill="auto" w:val="clear"/>
            <w:tcMar>
              <w:bottom w:w="30" w:type="dxa"/>
            </w:tcMar>
            <w:vAlign w:val="center"/>
          </w:tcPr>
          <w:p>
            <w:pPr>
              <w:pStyle w:val="TableContents"/>
              <w:pBdr/>
              <w:spacing w:before="0" w:after="15"/>
              <w:ind w:left="60" w:right="60" w:hanging="0"/>
              <w:jc w:val="right"/>
              <w:rPr>
                <w:color w:val="000000"/>
              </w:rPr>
            </w:pPr>
            <w:r>
              <w:rPr>
                <w:color w:val="000000"/>
              </w:rPr>
              <w:t> </w:t>
            </w:r>
          </w:p>
        </w:tc>
        <w:tc>
          <w:tcPr>
            <w:tcW w:w="991" w:type="dxa"/>
            <w:tcBorders>
              <w:bottom w:val="double" w:sz="6" w:space="0" w:color="575756"/>
            </w:tcBorders>
            <w:shd w:fill="auto" w:val="clear"/>
            <w:tcMar>
              <w:bottom w:w="30" w:type="dxa"/>
            </w:tcMar>
            <w:vAlign w:val="center"/>
          </w:tcPr>
          <w:p>
            <w:pPr>
              <w:pStyle w:val="TableContents"/>
              <w:pBdr/>
              <w:spacing w:before="0" w:after="15"/>
              <w:ind w:left="60" w:right="60" w:hanging="0"/>
              <w:jc w:val="right"/>
              <w:rPr>
                <w:rFonts w:ascii="Arial" w:hAnsi="Arial"/>
                <w:color w:val="000000"/>
                <w:sz w:val="18"/>
              </w:rPr>
            </w:pPr>
            <w:r>
              <w:rPr>
                <w:rFonts w:ascii="Arial" w:hAnsi="Arial"/>
                <w:color w:val="000000"/>
                <w:sz w:val="18"/>
              </w:rPr>
              <w:t>$ 9,881.9</w:t>
            </w:r>
          </w:p>
        </w:tc>
        <w:tc>
          <w:tcPr>
            <w:tcW w:w="431" w:type="dxa"/>
            <w:tcBorders>
              <w:bottom w:val="double" w:sz="6" w:space="0" w:color="575756"/>
            </w:tcBorders>
            <w:shd w:fill="auto" w:val="clear"/>
            <w:tcMar>
              <w:bottom w:w="30" w:type="dxa"/>
            </w:tcMar>
            <w:vAlign w:val="center"/>
          </w:tcPr>
          <w:p>
            <w:pPr>
              <w:pStyle w:val="TableContents"/>
              <w:pBdr/>
              <w:spacing w:before="0" w:after="15"/>
              <w:ind w:left="60" w:right="60" w:hanging="0"/>
              <w:jc w:val="right"/>
              <w:rPr>
                <w:color w:val="000000"/>
              </w:rPr>
            </w:pPr>
            <w:r>
              <w:rPr>
                <w:color w:val="000000"/>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130"/>
        <w:gridCol w:w="1380"/>
        <w:gridCol w:w="695"/>
      </w:tblGrid>
      <w:tr>
        <w:trPr/>
        <w:tc>
          <w:tcPr>
            <w:tcW w:w="8130" w:type="dxa"/>
            <w:tcBorders/>
            <w:shd w:fill="auto" w:val="clear"/>
            <w:vAlign w:val="center"/>
          </w:tcPr>
          <w:p>
            <w:pPr>
              <w:pStyle w:val="TableContents"/>
              <w:spacing w:before="0" w:after="283"/>
              <w:rPr>
                <w:b/>
                <w:color w:val="215BA8"/>
              </w:rPr>
            </w:pPr>
            <w:r>
              <w:rPr>
                <w:b/>
                <w:color w:val="215BA8"/>
              </w:rPr>
              <w:t>2023 PROXY STATEMENT AND NOTICE OF ANNUAL SHAREHOLDER MEETING</w:t>
            </w:r>
          </w:p>
        </w:tc>
        <w:tc>
          <w:tcPr>
            <w:tcW w:w="1380" w:type="dxa"/>
            <w:tcBorders/>
            <w:shd w:fill="auto" w:val="clear"/>
            <w:vAlign w:val="center"/>
          </w:tcPr>
          <w:p>
            <w:pPr>
              <w:pStyle w:val="TableContents"/>
              <w:spacing w:before="0" w:after="283"/>
              <w:jc w:val="right"/>
              <w:rPr/>
            </w:pPr>
            <w:r>
              <w:rPr/>
              <w:drawing>
                <wp:inline distT="0" distB="0" distL="0" distR="0">
                  <wp:extent cx="838200" cy="142875"/>
                  <wp:effectExtent l="0" t="0" r="0" b="0"/>
                  <wp:docPr id="335"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67" descr=""/>
                          <pic:cNvPicPr>
                            <a:picLocks noChangeAspect="1" noChangeArrowheads="1"/>
                          </pic:cNvPicPr>
                        </pic:nvPicPr>
                        <pic:blipFill>
                          <a:blip r:embed="rId268"/>
                          <a:stretch>
                            <a:fillRect/>
                          </a:stretch>
                        </pic:blipFill>
                        <pic:spPr bwMode="auto">
                          <a:xfrm>
                            <a:off x="0" y="0"/>
                            <a:ext cx="838200" cy="142875"/>
                          </a:xfrm>
                          <a:prstGeom prst="rect">
                            <a:avLst/>
                          </a:prstGeom>
                        </pic:spPr>
                      </pic:pic>
                    </a:graphicData>
                  </a:graphic>
                </wp:inline>
              </w:drawing>
            </w:r>
            <w:r>
              <w:rPr/>
              <w:t> </w:t>
            </w:r>
          </w:p>
        </w:tc>
        <w:tc>
          <w:tcPr>
            <w:tcW w:w="695" w:type="dxa"/>
            <w:tcBorders/>
            <w:shd w:fill="auto" w:val="clear"/>
            <w:vAlign w:val="center"/>
          </w:tcPr>
          <w:p>
            <w:pPr>
              <w:pStyle w:val="TableContents"/>
              <w:spacing w:before="0" w:after="283"/>
              <w:jc w:val="right"/>
              <w:rPr/>
            </w:pPr>
            <w:r>
              <w:rPr>
                <w:color w:val="00ADEE"/>
              </w:rPr>
              <w:t>  </w:t>
            </w:r>
            <w:r>
              <w:rPr>
                <w:b/>
                <w:color w:val="00ADEE"/>
              </w:rPr>
              <w:t>/  </w:t>
            </w:r>
            <w:r>
              <w:rPr>
                <w:b/>
              </w:rPr>
              <w:t>117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spacing w:before="0" w:after="0"/>
        <w:jc w:val="center"/>
        <w:rPr/>
      </w:pPr>
      <w:r>
        <w:rPr/>
        <w:drawing>
          <wp:inline distT="0" distB="0" distL="0" distR="0">
            <wp:extent cx="7620000" cy="9791700"/>
            <wp:effectExtent l="0" t="0" r="0" b="0"/>
            <wp:docPr id="336"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68" descr=""/>
                    <pic:cNvPicPr>
                      <a:picLocks noChangeAspect="1" noChangeArrowheads="1"/>
                    </pic:cNvPicPr>
                  </pic:nvPicPr>
                  <pic:blipFill>
                    <a:blip r:embed="rId269"/>
                    <a:stretch>
                      <a:fillRect/>
                    </a:stretch>
                  </pic:blipFill>
                  <pic:spPr bwMode="auto">
                    <a:xfrm>
                      <a:off x="0" y="0"/>
                      <a:ext cx="7620000" cy="9791700"/>
                    </a:xfrm>
                    <a:prstGeom prst="rect">
                      <a:avLst/>
                    </a:prstGeom>
                  </pic:spPr>
                </pic:pic>
              </a:graphicData>
            </a:graphic>
          </wp:inline>
        </w:drawing>
      </w:r>
      <w:r>
        <w:rPr/>
        <w:t xml:space="preserve"> </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spacing w:before="0" w:after="0"/>
        <w:jc w:val="center"/>
        <w:rPr/>
      </w:pPr>
      <w:r>
        <w:rPr/>
        <w:drawing>
          <wp:inline distT="0" distB="0" distL="0" distR="0">
            <wp:extent cx="7715250" cy="9744075"/>
            <wp:effectExtent l="0" t="0" r="0" b="0"/>
            <wp:docPr id="337"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69" descr=""/>
                    <pic:cNvPicPr>
                      <a:picLocks noChangeAspect="1" noChangeArrowheads="1"/>
                    </pic:cNvPicPr>
                  </pic:nvPicPr>
                  <pic:blipFill>
                    <a:blip r:embed="rId270"/>
                    <a:stretch>
                      <a:fillRect/>
                    </a:stretch>
                  </pic:blipFill>
                  <pic:spPr bwMode="auto">
                    <a:xfrm>
                      <a:off x="0" y="0"/>
                      <a:ext cx="7715250" cy="9744075"/>
                    </a:xfrm>
                    <a:prstGeom prst="rect">
                      <a:avLst/>
                    </a:prstGeom>
                  </pic:spPr>
                </pic:pic>
              </a:graphicData>
            </a:graphic>
          </wp:inline>
        </w:drawing>
      </w:r>
      <w:r>
        <w:rPr/>
        <w:t xml:space="preserve"> </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spacing w:before="0" w:after="0"/>
        <w:jc w:val="center"/>
        <w:rPr/>
      </w:pPr>
      <w:r>
        <w:rPr/>
        <w:drawing>
          <wp:inline distT="0" distB="0" distL="0" distR="0">
            <wp:extent cx="7715250" cy="10144125"/>
            <wp:effectExtent l="0" t="0" r="0" b="0"/>
            <wp:docPr id="338"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70" descr=""/>
                    <pic:cNvPicPr>
                      <a:picLocks noChangeAspect="1" noChangeArrowheads="1"/>
                    </pic:cNvPicPr>
                  </pic:nvPicPr>
                  <pic:blipFill>
                    <a:blip r:embed="rId271"/>
                    <a:stretch>
                      <a:fillRect/>
                    </a:stretch>
                  </pic:blipFill>
                  <pic:spPr bwMode="auto">
                    <a:xfrm>
                      <a:off x="0" y="0"/>
                      <a:ext cx="7715250" cy="10144125"/>
                    </a:xfrm>
                    <a:prstGeom prst="rect">
                      <a:avLst/>
                    </a:prstGeom>
                  </pic:spPr>
                </pic:pic>
              </a:graphicData>
            </a:graphic>
          </wp:inline>
        </w:drawing>
      </w:r>
      <w:r>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WenQuanYi Zen Hei Sharp" w:cs="DejaVu Sans"/>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WenQuanYi Zen Hei Sharp" w:cs="DejaVu Sans"/>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gif"/><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gif"/><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gif"/><Relationship Id="rId111" Type="http://schemas.openxmlformats.org/officeDocument/2006/relationships/image" Target="media/image110.gif"/><Relationship Id="rId112" Type="http://schemas.openxmlformats.org/officeDocument/2006/relationships/image" Target="media/image111.gif"/><Relationship Id="rId113" Type="http://schemas.openxmlformats.org/officeDocument/2006/relationships/image" Target="media/image112.gif"/><Relationship Id="rId114" Type="http://schemas.openxmlformats.org/officeDocument/2006/relationships/image" Target="media/image113.gif"/><Relationship Id="rId115" Type="http://schemas.openxmlformats.org/officeDocument/2006/relationships/image" Target="media/image114.gif"/><Relationship Id="rId116" Type="http://schemas.openxmlformats.org/officeDocument/2006/relationships/image" Target="media/image115.gif"/><Relationship Id="rId117" Type="http://schemas.openxmlformats.org/officeDocument/2006/relationships/image" Target="media/image116.gif"/><Relationship Id="rId118" Type="http://schemas.openxmlformats.org/officeDocument/2006/relationships/image" Target="media/image117.gif"/><Relationship Id="rId119" Type="http://schemas.openxmlformats.org/officeDocument/2006/relationships/image" Target="media/image118.gif"/><Relationship Id="rId120" Type="http://schemas.openxmlformats.org/officeDocument/2006/relationships/image" Target="media/image119.gif"/><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image" Target="media/image240.jpeg"/><Relationship Id="rId242" Type="http://schemas.openxmlformats.org/officeDocument/2006/relationships/image" Target="media/image241.jpeg"/><Relationship Id="rId243" Type="http://schemas.openxmlformats.org/officeDocument/2006/relationships/image" Target="media/image242.jpeg"/><Relationship Id="rId244" Type="http://schemas.openxmlformats.org/officeDocument/2006/relationships/image" Target="media/image243.jpeg"/><Relationship Id="rId245" Type="http://schemas.openxmlformats.org/officeDocument/2006/relationships/image" Target="media/image244.jpeg"/><Relationship Id="rId246" Type="http://schemas.openxmlformats.org/officeDocument/2006/relationships/image" Target="media/image245.jpeg"/><Relationship Id="rId247" Type="http://schemas.openxmlformats.org/officeDocument/2006/relationships/image" Target="media/image246.jpeg"/><Relationship Id="rId248" Type="http://schemas.openxmlformats.org/officeDocument/2006/relationships/image" Target="media/image247.jpeg"/><Relationship Id="rId249" Type="http://schemas.openxmlformats.org/officeDocument/2006/relationships/image" Target="media/image248.jpeg"/><Relationship Id="rId250" Type="http://schemas.openxmlformats.org/officeDocument/2006/relationships/image" Target="media/image249.jpeg"/><Relationship Id="rId251" Type="http://schemas.openxmlformats.org/officeDocument/2006/relationships/image" Target="media/image250.jpeg"/><Relationship Id="rId252" Type="http://schemas.openxmlformats.org/officeDocument/2006/relationships/image" Target="media/image251.jpeg"/><Relationship Id="rId253" Type="http://schemas.openxmlformats.org/officeDocument/2006/relationships/image" Target="media/image252.jpeg"/><Relationship Id="rId254" Type="http://schemas.openxmlformats.org/officeDocument/2006/relationships/image" Target="media/image253.jpeg"/><Relationship Id="rId255" Type="http://schemas.openxmlformats.org/officeDocument/2006/relationships/image" Target="media/image254.jpeg"/><Relationship Id="rId256" Type="http://schemas.openxmlformats.org/officeDocument/2006/relationships/image" Target="media/image255.jpeg"/><Relationship Id="rId257" Type="http://schemas.openxmlformats.org/officeDocument/2006/relationships/image" Target="media/image256.jpeg"/><Relationship Id="rId258" Type="http://schemas.openxmlformats.org/officeDocument/2006/relationships/image" Target="media/image257.jpeg"/><Relationship Id="rId259" Type="http://schemas.openxmlformats.org/officeDocument/2006/relationships/image" Target="media/image258.jpeg"/><Relationship Id="rId260" Type="http://schemas.openxmlformats.org/officeDocument/2006/relationships/image" Target="media/image259.jpeg"/><Relationship Id="rId261" Type="http://schemas.openxmlformats.org/officeDocument/2006/relationships/image" Target="media/image260.jpeg"/><Relationship Id="rId262" Type="http://schemas.openxmlformats.org/officeDocument/2006/relationships/image" Target="media/image261.jpeg"/><Relationship Id="rId263" Type="http://schemas.openxmlformats.org/officeDocument/2006/relationships/image" Target="media/image262.jpeg"/><Relationship Id="rId264" Type="http://schemas.openxmlformats.org/officeDocument/2006/relationships/image" Target="media/image263.jpeg"/><Relationship Id="rId265" Type="http://schemas.openxmlformats.org/officeDocument/2006/relationships/image" Target="media/image264.jpeg"/><Relationship Id="rId266" Type="http://schemas.openxmlformats.org/officeDocument/2006/relationships/image" Target="media/image265.jpeg"/><Relationship Id="rId267" Type="http://schemas.openxmlformats.org/officeDocument/2006/relationships/image" Target="media/image266.jpeg"/><Relationship Id="rId268" Type="http://schemas.openxmlformats.org/officeDocument/2006/relationships/image" Target="media/image267.jpeg"/><Relationship Id="rId269" Type="http://schemas.openxmlformats.org/officeDocument/2006/relationships/image" Target="media/image268.jpeg"/><Relationship Id="rId270" Type="http://schemas.openxmlformats.org/officeDocument/2006/relationships/image" Target="media/image269.jpeg"/><Relationship Id="rId271" Type="http://schemas.openxmlformats.org/officeDocument/2006/relationships/image" Target="media/image270.jpeg"/><Relationship Id="rId272" Type="http://schemas.openxmlformats.org/officeDocument/2006/relationships/fontTable" Target="fontTable.xml"/><Relationship Id="rId2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122</Pages>
  <Words>58150</Words>
  <CharactersWithSpaces>382174</CharactersWithSpaces>
  <Paragraphs>6950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