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Date of Report (Date of earliest event reported) OCTOBER 12, 2001</w:t>
      </w:r>
    </w:p>
    <w:p>
      <w:pPr>
        <w:spacing w:after="0" w:line="21"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1060" w:right="3159" w:firstLine="1264"/>
        <w:spacing w:after="0" w:line="237" w:lineRule="auto"/>
        <w:rPr>
          <w:sz w:val="20"/>
          <w:szCs w:val="20"/>
          <w:color w:val="auto"/>
        </w:rPr>
      </w:pPr>
      <w:r>
        <w:rPr>
          <w:rFonts w:ascii="Courier New" w:cs="Courier New" w:eastAsia="Courier New" w:hAnsi="Courier New"/>
          <w:sz w:val="18"/>
          <w:szCs w:val="18"/>
          <w:color w:val="auto"/>
        </w:rPr>
        <w:t>NEW YORK 0-19034 No. 13-3444607 ------------------------------------------- (State or other jurisdiction (Commission (IRS Employer of incorporation) File Number) 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20"/>
        <w:spacing w:after="0"/>
        <w:tabs>
          <w:tab w:leader="none" w:pos="6200" w:val="left"/>
        </w:tabs>
        <w:rPr>
          <w:sz w:val="20"/>
          <w:szCs w:val="20"/>
          <w:color w:val="auto"/>
        </w:rPr>
      </w:pPr>
      <w:r>
        <w:rPr>
          <w:rFonts w:ascii="Courier New" w:cs="Courier New" w:eastAsia="Courier New" w:hAnsi="Courier New"/>
          <w:sz w:val="18"/>
          <w:szCs w:val="18"/>
          <w:color w:val="auto"/>
        </w:rPr>
        <w:t>777 OLD SAW MILL RIVER ROAD, TARRYTOWN, NY</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420"/>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(914) 347-7000 --------------</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NOT APPLICABLE</w:t>
      </w:r>
    </w:p>
    <w:p>
      <w:pPr>
        <w:ind w:left="2840"/>
        <w:spacing w:after="0" w:line="238" w:lineRule="auto"/>
        <w:rPr>
          <w:sz w:val="20"/>
          <w:szCs w:val="20"/>
          <w:color w:val="auto"/>
        </w:rPr>
      </w:pPr>
      <w:r>
        <w:rPr>
          <w:rFonts w:ascii="Courier New" w:cs="Courier New" w:eastAsia="Courier New" w:hAnsi="Courier New"/>
          <w:sz w:val="18"/>
          <w:szCs w:val="18"/>
          <w:color w:val="auto"/>
        </w:rPr>
        <w:t>---- ---------------</w:t>
      </w:r>
    </w:p>
    <w:p>
      <w:pPr>
        <w:ind w:left="74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INFORMATION TO BE INCLUDED IN REPORT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On October 12, 2001, the Company issued a press release, a copy of which is included as an exhibit to this filing.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99(a)</w:t>
      </w:r>
      <w:r>
        <w:rPr>
          <w:rFonts w:ascii="Courier New" w:cs="Courier New" w:eastAsia="Courier New" w:hAnsi="Courier New"/>
          <w:sz w:val="16"/>
          <w:szCs w:val="16"/>
          <w:color w:val="auto"/>
        </w:rPr>
        <w:t>Press Release dated October 12,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Stuart Kolinski</w:t>
      </w:r>
    </w:p>
    <w:p>
      <w:pPr>
        <w:ind w:left="4740"/>
        <w:spacing w:after="0" w:line="238" w:lineRule="auto"/>
        <w:rPr>
          <w:sz w:val="20"/>
          <w:szCs w:val="20"/>
          <w:color w:val="auto"/>
        </w:rPr>
      </w:pPr>
      <w:r>
        <w:rPr>
          <w:rFonts w:ascii="Courier New" w:cs="Courier New" w:eastAsia="Courier New" w:hAnsi="Courier New"/>
          <w:sz w:val="18"/>
          <w:szCs w:val="18"/>
          <w:color w:val="auto"/>
        </w:rPr>
        <w:t>Vice President &amp; General Counsel</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12,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SELLS $200 MILLION OF</w:t>
      </w:r>
    </w:p>
    <w:p>
      <w:pPr>
        <w:spacing w:after="0" w:line="238" w:lineRule="auto"/>
        <w:rPr>
          <w:sz w:val="20"/>
          <w:szCs w:val="20"/>
          <w:color w:val="auto"/>
        </w:rPr>
      </w:pPr>
      <w:r>
        <w:rPr>
          <w:rFonts w:ascii="Courier New" w:cs="Courier New" w:eastAsia="Courier New" w:hAnsi="Courier New"/>
          <w:sz w:val="18"/>
          <w:szCs w:val="18"/>
          <w:color w:val="auto"/>
        </w:rPr>
        <w:t>CONVERTIBLE SENIOR SUBORDINATED NOTES</w:t>
      </w:r>
    </w:p>
    <w:p>
      <w:pPr>
        <w:spacing w:after="0" w:line="200" w:lineRule="exact"/>
        <w:rPr>
          <w:sz w:val="20"/>
          <w:szCs w:val="20"/>
          <w:color w:val="auto"/>
        </w:rPr>
      </w:pP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Tarrytown, NY - (October 12, 2001) -- Regeneron Pharmaceuticals, Inc. (NASDAQ: REGN) announced today that it has entered into a purchase agreement providing for the sale of $200 million aggregate principal amount of convertible senior subordinated notes due 2008, reflecting an increase in the size of the offering from $150 million. In addition, the company has granted the initial purchasers an option to purchase an additional $50 million in principal amount of notes. The notes will accrue interest at a rate of 5.50% per year and will be convertible into shares of Regeneron common stock at a conversion price of $30.25. The notes are redeemable by the company at any time if certain conditions are satisfied. The offering will be made by means of an offering memorandum to qualified institutional buyers pursuant to Rule 144A of the Securities Act of 1933, as amended, and is expected to close on or about October 17, 2001. Regeneron expects to use the net proceeds from this offering for development of its drug candidates, expansion of its manufacturing facilities, research, working capital, and general corporate purposes.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and the common stock issuable upon conversion of the notes have not been registered under the Securities Act or applicable state securities laws, and may not be offered or sold absent registration under the Securities Act and applicable state securities laws or applicable exemptions from registration requirements. Regeneron will file a registration statement for the resale of the notes and the shares of common stock issuable upon conversion of the notes within 90 days after the closing of the offering.</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notes, nor shall there be any sale of the notes in any state in which such offer, solicitation or sale would be unlawful prior to registration or qualification under the securities laws of such state. The press release is being issued pursuant to and in accordance with Rule 135(c) of the Securities Act.</w:t>
      </w:r>
    </w:p>
    <w:p>
      <w:pPr>
        <w:sectPr>
          <w:pgSz w:w="11900" w:h="16838" w:orient="portrait"/>
          <w:cols w:equalWidth="0" w:num="1">
            <w:col w:w="10219"/>
          </w:cols>
          <w:pgMar w:left="240" w:top="136"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drugs for the treatment of serious medical conditions. Regeneron's platform technologies include Targeted Genomics(TM), Functionomics(TM), and Designer Protein Therapeutics(TM). Regeneron has drugs in clinical trials for the potential treatment of obesity and rheumatoid arthritis, and has preclinical development programs in cancer, asthma, allergies, and other diseases and disorders.</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2000. Regeneron does not undertake any obligation to update publicly any forward-looking statement, whether as a result of new information, future events, or otherwise, unless required by law.</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Charles Poole</w:t>
      </w:r>
    </w:p>
    <w:p>
      <w:pPr>
        <w:ind w:left="1280"/>
        <w:spacing w:after="0" w:line="238" w:lineRule="auto"/>
        <w:rPr>
          <w:sz w:val="20"/>
          <w:szCs w:val="20"/>
          <w:color w:val="auto"/>
        </w:rPr>
      </w:pPr>
      <w:r>
        <w:rPr>
          <w:rFonts w:ascii="Courier New" w:cs="Courier New" w:eastAsia="Courier New" w:hAnsi="Courier New"/>
          <w:sz w:val="18"/>
          <w:szCs w:val="18"/>
          <w:color w:val="auto"/>
        </w:rPr>
        <w:t>Vice President, Investor Relations</w:t>
      </w:r>
    </w:p>
    <w:p>
      <w:pPr>
        <w:ind w:left="1280"/>
        <w:spacing w:after="0"/>
        <w:rPr>
          <w:sz w:val="20"/>
          <w:szCs w:val="20"/>
          <w:color w:val="auto"/>
        </w:rPr>
      </w:pPr>
      <w:r>
        <w:rPr>
          <w:rFonts w:ascii="Courier New" w:cs="Courier New" w:eastAsia="Courier New" w:hAnsi="Courier New"/>
          <w:sz w:val="18"/>
          <w:szCs w:val="18"/>
          <w:color w:val="auto"/>
        </w:rPr>
        <w:t>Regeneron Pharmaceuticals, Inc.</w:t>
      </w:r>
    </w:p>
    <w:p>
      <w:pPr>
        <w:ind w:left="1280"/>
        <w:spacing w:after="0" w:line="237" w:lineRule="auto"/>
        <w:rPr>
          <w:sz w:val="20"/>
          <w:szCs w:val="20"/>
          <w:color w:val="auto"/>
        </w:rPr>
      </w:pPr>
      <w:r>
        <w:rPr>
          <w:rFonts w:ascii="Courier New" w:cs="Courier New" w:eastAsia="Courier New" w:hAnsi="Courier New"/>
          <w:sz w:val="18"/>
          <w:szCs w:val="18"/>
          <w:color w:val="auto"/>
        </w:rPr>
        <w:t>charles.poole@regn.com</w:t>
      </w:r>
    </w:p>
    <w:p>
      <w:pPr>
        <w:ind w:left="1280"/>
        <w:spacing w:after="0" w:line="238" w:lineRule="auto"/>
        <w:rPr>
          <w:sz w:val="20"/>
          <w:szCs w:val="20"/>
          <w:color w:val="auto"/>
        </w:rPr>
      </w:pPr>
      <w:r>
        <w:rPr>
          <w:rFonts w:ascii="Courier New" w:cs="Courier New" w:eastAsia="Courier New" w:hAnsi="Courier New"/>
          <w:sz w:val="18"/>
          <w:szCs w:val="18"/>
          <w:color w:val="auto"/>
        </w:rPr>
        <w:t>(914) 345-7641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2019-12-20T01:48:05Z</dcterms:created>
  <dcterms:modified xsi:type="dcterms:W3CDTF">2019-12-20T01:48:05Z</dcterms:modified>
</cp:coreProperties>
</file>