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8"/>
          <w:szCs w:val="18"/>
          <w:color w:val="auto"/>
        </w:rPr>
        <w:t>Pursuant to Section 13 or 15(d) of the Securities</w:t>
      </w:r>
    </w:p>
    <w:p>
      <w:pPr>
        <w:spacing w:after="0" w:line="31"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8"/>
          <w:szCs w:val="18"/>
          <w:color w:val="auto"/>
        </w:rPr>
        <w:t>Exchange Act of 1934</w:t>
      </w:r>
    </w:p>
    <w:p>
      <w:pPr>
        <w:spacing w:after="0" w:line="169" w:lineRule="exact"/>
        <w:rPr>
          <w:sz w:val="24"/>
          <w:szCs w:val="24"/>
          <w:color w:val="auto"/>
        </w:rPr>
      </w:pPr>
    </w:p>
    <w:p>
      <w:pPr>
        <w:ind w:right="3819"/>
        <w:spacing w:after="0" w:line="346" w:lineRule="auto"/>
        <w:rPr>
          <w:sz w:val="20"/>
          <w:szCs w:val="20"/>
          <w:color w:val="auto"/>
        </w:rPr>
      </w:pPr>
      <w:r>
        <w:rPr>
          <w:rFonts w:ascii="Courier New" w:cs="Courier New" w:eastAsia="Courier New" w:hAnsi="Courier New"/>
          <w:sz w:val="18"/>
          <w:szCs w:val="18"/>
          <w:color w:val="auto"/>
        </w:rPr>
        <w:t>Date of Report (Date of earliest event reported): March 28, 2000 (March 28, 2000)</w:t>
      </w:r>
    </w:p>
    <w:p>
      <w:pPr>
        <w:spacing w:after="0" w:line="22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(Exact name of registrant as specified in its charter)</w:t>
      </w:r>
    </w:p>
    <w:tbl>
      <w:tblPr>
        <w:tblLayout w:type="fixed"/>
        <w:tblInd w:w="320" w:type="dxa"/>
        <w:tblCellMar>
          <w:top w:w="0" w:type="dxa"/>
          <w:left w:w="0" w:type="dxa"/>
          <w:bottom w:w="0" w:type="dxa"/>
          <w:right w:w="0" w:type="dxa"/>
        </w:tblCellMar>
      </w:tblPr>
      <w:tr>
        <w:trPr>
          <w:trHeight w:val="171"/>
        </w:trPr>
        <w:tc>
          <w:tcPr>
            <w:tcW w:w="2060" w:type="dxa"/>
            <w:vAlign w:val="bottom"/>
          </w:tcPr>
          <w:p>
            <w:pPr>
              <w:jc w:val="right"/>
              <w:ind w:right="1138"/>
              <w:spacing w:after="0" w:line="171" w:lineRule="exact"/>
              <w:rPr>
                <w:sz w:val="20"/>
                <w:szCs w:val="20"/>
                <w:color w:val="auto"/>
              </w:rPr>
            </w:pPr>
            <w:r>
              <w:rPr>
                <w:rFonts w:ascii="Courier New" w:cs="Courier New" w:eastAsia="Courier New" w:hAnsi="Courier New"/>
                <w:sz w:val="18"/>
                <w:szCs w:val="18"/>
                <w:color w:val="auto"/>
                <w:w w:val="94"/>
              </w:rPr>
              <w:t>New York</w:t>
            </w:r>
          </w:p>
        </w:tc>
        <w:tc>
          <w:tcPr>
            <w:tcW w:w="1940" w:type="dxa"/>
            <w:vAlign w:val="bottom"/>
          </w:tcPr>
          <w:p>
            <w:pPr>
              <w:ind w:left="480"/>
              <w:spacing w:after="0" w:line="171" w:lineRule="exact"/>
              <w:rPr>
                <w:sz w:val="20"/>
                <w:szCs w:val="20"/>
                <w:color w:val="auto"/>
              </w:rPr>
            </w:pPr>
            <w:r>
              <w:rPr>
                <w:rFonts w:ascii="Courier New" w:cs="Courier New" w:eastAsia="Courier New" w:hAnsi="Courier New"/>
                <w:sz w:val="18"/>
                <w:szCs w:val="18"/>
                <w:color w:val="auto"/>
              </w:rPr>
              <w:t>333-31764</w:t>
            </w:r>
          </w:p>
        </w:tc>
        <w:tc>
          <w:tcPr>
            <w:tcW w:w="212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133444607</w:t>
            </w:r>
          </w:p>
        </w:tc>
        <w:tc>
          <w:tcPr>
            <w:tcW w:w="0" w:type="dxa"/>
            <w:vAlign w:val="bottom"/>
          </w:tcPr>
          <w:p>
            <w:pPr>
              <w:spacing w:after="0"/>
              <w:rPr>
                <w:sz w:val="1"/>
                <w:szCs w:val="1"/>
                <w:color w:val="auto"/>
              </w:rPr>
            </w:pPr>
          </w:p>
        </w:tc>
      </w:tr>
      <w:tr>
        <w:trPr>
          <w:trHeight w:val="203"/>
        </w:trPr>
        <w:tc>
          <w:tcPr>
            <w:tcW w:w="2060" w:type="dxa"/>
            <w:vAlign w:val="bottom"/>
            <w:vMerge w:val="restart"/>
          </w:tcPr>
          <w:p>
            <w:pPr>
              <w:jc w:val="right"/>
              <w:ind w:right="398"/>
              <w:spacing w:after="0"/>
              <w:rPr>
                <w:sz w:val="20"/>
                <w:szCs w:val="20"/>
                <w:color w:val="auto"/>
              </w:rPr>
            </w:pPr>
            <w:r>
              <w:rPr>
                <w:rFonts w:ascii="Courier New" w:cs="Courier New" w:eastAsia="Courier New" w:hAnsi="Courier New"/>
                <w:sz w:val="13"/>
                <w:szCs w:val="13"/>
                <w:color w:val="auto"/>
                <w:w w:val="73"/>
              </w:rPr>
              <w:t>(State</w:t>
            </w:r>
            <w:r>
              <w:rPr>
                <w:rFonts w:ascii="Courier New" w:cs="Courier New" w:eastAsia="Courier New" w:hAnsi="Courier New"/>
                <w:sz w:val="23"/>
                <w:szCs w:val="23"/>
                <w:color w:val="auto"/>
                <w:w w:val="73"/>
                <w:vertAlign w:val="superscript"/>
              </w:rPr>
              <w:t>------------</w:t>
            </w:r>
            <w:r>
              <w:rPr>
                <w:rFonts w:ascii="Courier New" w:cs="Courier New" w:eastAsia="Courier New" w:hAnsi="Courier New"/>
                <w:sz w:val="13"/>
                <w:szCs w:val="13"/>
                <w:color w:val="auto"/>
                <w:w w:val="73"/>
              </w:rPr>
              <w:t>orother</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(Commission</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03"/>
        </w:trPr>
        <w:tc>
          <w:tcPr>
            <w:tcW w:w="2060" w:type="dxa"/>
            <w:vAlign w:val="bottom"/>
          </w:tcPr>
          <w:p>
            <w:pPr>
              <w:jc w:val="right"/>
              <w:ind w:right="398"/>
              <w:spacing w:after="0" w:line="203" w:lineRule="exact"/>
              <w:rPr>
                <w:sz w:val="20"/>
                <w:szCs w:val="20"/>
                <w:color w:val="auto"/>
              </w:rPr>
            </w:pPr>
            <w:r>
              <w:rPr>
                <w:rFonts w:ascii="Courier New" w:cs="Courier New" w:eastAsia="Courier New" w:hAnsi="Courier New"/>
                <w:sz w:val="18"/>
                <w:szCs w:val="18"/>
                <w:color w:val="auto"/>
                <w:w w:val="96"/>
              </w:rPr>
              <w:t>jurisdiction of</w:t>
            </w: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File Number)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296"/>
        </w:trPr>
        <w:tc>
          <w:tcPr>
            <w:tcW w:w="2060" w:type="dxa"/>
            <w:vAlign w:val="bottom"/>
          </w:tcPr>
          <w:p>
            <w:pPr>
              <w:jc w:val="right"/>
              <w:ind w:right="398"/>
              <w:spacing w:after="0"/>
              <w:rPr>
                <w:sz w:val="20"/>
                <w:szCs w:val="20"/>
                <w:color w:val="auto"/>
              </w:rPr>
            </w:pPr>
            <w:r>
              <w:rPr>
                <w:rFonts w:ascii="Courier New" w:cs="Courier New" w:eastAsia="Courier New" w:hAnsi="Courier New"/>
                <w:sz w:val="18"/>
                <w:szCs w:val="18"/>
                <w:color w:val="auto"/>
              </w:rPr>
              <w:t>incorporation)</w:t>
            </w:r>
          </w:p>
        </w:tc>
        <w:tc>
          <w:tcPr>
            <w:tcW w:w="1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777 Old Saw Mill River Rd, Tarrytown NY, 10591-6707</w:t>
      </w:r>
    </w:p>
    <w:p>
      <w:pPr>
        <w:spacing w:after="0" w:line="2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16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9143477000</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37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Regeneron Pharmaceuticals, Inc.</w:t>
      </w:r>
    </w:p>
    <w:p>
      <w:pPr>
        <w:spacing w:after="0" w:line="3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Current Report on Form 8-K</w:t>
      </w:r>
    </w:p>
    <w:p>
      <w:pPr>
        <w:spacing w:after="0" w:line="16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2239" w:firstLine="632"/>
        <w:spacing w:after="0" w:line="274" w:lineRule="auto"/>
        <w:rPr>
          <w:sz w:val="20"/>
          <w:szCs w:val="20"/>
          <w:color w:val="auto"/>
        </w:rPr>
      </w:pPr>
      <w:r>
        <w:rPr>
          <w:rFonts w:ascii="Courier New" w:cs="Courier New" w:eastAsia="Courier New" w:hAnsi="Courier New"/>
          <w:sz w:val="18"/>
          <w:szCs w:val="18"/>
          <w:color w:val="auto"/>
        </w:rPr>
        <w:t>On March 28, 2000, the registrant issued a press release announcing that it has initiated a Phase II dose ranging trial to study the safety and efficacy of AXOKINE second generation ciliary neurotrophic factor in obese patients.</w:t>
      </w:r>
    </w:p>
    <w:p>
      <w:pPr>
        <w:spacing w:after="0" w:line="28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right="6759" w:hanging="640"/>
        <w:spacing w:after="0" w:line="402"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Not required</w:t>
      </w:r>
    </w:p>
    <w:p>
      <w:pPr>
        <w:ind w:left="1280" w:right="5599" w:hanging="640"/>
        <w:spacing w:after="0" w:line="346"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Not required</w:t>
      </w:r>
    </w:p>
    <w:p>
      <w:pPr>
        <w:spacing w:after="0" w:line="19"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4"/>
          <w:szCs w:val="24"/>
          <w:color w:val="auto"/>
        </w:rPr>
      </w:pPr>
    </w:p>
    <w:tbl>
      <w:tblPr>
        <w:tblLayout w:type="fixed"/>
        <w:tblInd w:w="128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560" w:type="dxa"/>
            <w:vAlign w:val="bottom"/>
          </w:tcPr>
          <w:p>
            <w:pPr>
              <w:spacing w:after="0"/>
              <w:rPr>
                <w:sz w:val="17"/>
                <w:szCs w:val="17"/>
                <w:color w:val="auto"/>
              </w:rPr>
            </w:pP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Description</w:t>
            </w:r>
          </w:p>
        </w:tc>
      </w:t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560" w:type="dxa"/>
            <w:vAlign w:val="bottom"/>
          </w:tcPr>
          <w:p>
            <w:pPr>
              <w:spacing w:after="0"/>
              <w:rPr>
                <w:sz w:val="24"/>
                <w:szCs w:val="24"/>
                <w:color w:val="auto"/>
              </w:rPr>
            </w:pP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311"/>
        </w:trPr>
        <w:tc>
          <w:tcPr>
            <w:tcW w:w="2160" w:type="dxa"/>
            <w:vAlign w:val="bottom"/>
          </w:tcPr>
          <w:p>
            <w:pPr>
              <w:spacing w:after="0"/>
              <w:rPr>
                <w:sz w:val="20"/>
                <w:szCs w:val="20"/>
                <w:color w:val="auto"/>
              </w:rPr>
            </w:pPr>
            <w:r>
              <w:rPr>
                <w:rFonts w:ascii="Courier New" w:cs="Courier New" w:eastAsia="Courier New" w:hAnsi="Courier New"/>
                <w:sz w:val="18"/>
                <w:szCs w:val="18"/>
                <w:color w:val="auto"/>
              </w:rPr>
              <w:t>99.01</w:t>
            </w:r>
          </w:p>
        </w:tc>
        <w:tc>
          <w:tcPr>
            <w:tcW w:w="1560" w:type="dxa"/>
            <w:vAlign w:val="bottom"/>
          </w:tcPr>
          <w:p>
            <w:pPr>
              <w:ind w:left="1000"/>
              <w:spacing w:after="0"/>
              <w:rPr>
                <w:sz w:val="20"/>
                <w:szCs w:val="20"/>
                <w:color w:val="auto"/>
              </w:rPr>
            </w:pPr>
            <w:r>
              <w:rPr>
                <w:rFonts w:ascii="Courier New" w:cs="Courier New" w:eastAsia="Courier New" w:hAnsi="Courier New"/>
                <w:sz w:val="18"/>
                <w:szCs w:val="18"/>
                <w:color w:val="auto"/>
                <w:w w:val="99"/>
              </w:rPr>
              <w:t>Press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Release of Regeneron</w:t>
            </w:r>
          </w:p>
        </w:tc>
      </w:tr>
      <w:tr>
        <w:trPr>
          <w:trHeight w:val="203"/>
        </w:trPr>
        <w:tc>
          <w:tcPr>
            <w:tcW w:w="2160" w:type="dxa"/>
            <w:vAlign w:val="bottom"/>
          </w:tcPr>
          <w:p>
            <w:pPr>
              <w:spacing w:after="0"/>
              <w:rPr>
                <w:sz w:val="17"/>
                <w:szCs w:val="17"/>
                <w:color w:val="auto"/>
              </w:rPr>
            </w:pPr>
          </w:p>
        </w:tc>
        <w:tc>
          <w:tcPr>
            <w:tcW w:w="384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Pharmaceuticals, Inc. dated</w:t>
            </w:r>
          </w:p>
        </w:tc>
      </w:tr>
      <w:tr>
        <w:trPr>
          <w:trHeight w:val="296"/>
        </w:trPr>
        <w:tc>
          <w:tcPr>
            <w:tcW w:w="2160" w:type="dxa"/>
            <w:vAlign w:val="bottom"/>
          </w:tcPr>
          <w:p>
            <w:pPr>
              <w:spacing w:after="0"/>
              <w:rPr>
                <w:sz w:val="24"/>
                <w:szCs w:val="24"/>
                <w:color w:val="auto"/>
              </w:rPr>
            </w:pPr>
          </w:p>
        </w:tc>
        <w:tc>
          <w:tcPr>
            <w:tcW w:w="1560" w:type="dxa"/>
            <w:vAlign w:val="bottom"/>
          </w:tcPr>
          <w:p>
            <w:pPr>
              <w:ind w:left="1000"/>
              <w:spacing w:after="0"/>
              <w:rPr>
                <w:sz w:val="20"/>
                <w:szCs w:val="20"/>
                <w:color w:val="auto"/>
              </w:rPr>
            </w:pPr>
            <w:r>
              <w:rPr>
                <w:rFonts w:ascii="Courier New" w:cs="Courier New" w:eastAsia="Courier New" w:hAnsi="Courier New"/>
                <w:sz w:val="18"/>
                <w:szCs w:val="18"/>
                <w:color w:val="auto"/>
                <w:w w:val="99"/>
              </w:rPr>
              <w:t>March</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28, 2000.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4"/>
          <w:szCs w:val="24"/>
          <w:color w:val="auto"/>
        </w:rPr>
      </w:pPr>
    </w:p>
    <w:p>
      <w:pPr>
        <w:jc w:val="both"/>
        <w:ind w:right="2239" w:firstLine="1264"/>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undersigned's duly authorized signatory.</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March 29, 2000</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139"/>
          </w:cols>
          <w:pgMar w:left="320" w:top="420" w:right="1440" w:bottom="259"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/s/ Murray A. Goldberg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Name:</w:t>
        <w:tab/>
        <w:t>Murray A. Goldberg</w:t>
      </w:r>
    </w:p>
    <w:p>
      <w:pPr>
        <w:ind w:left="100"/>
        <w:spacing w:after="0" w:line="238" w:lineRule="auto"/>
        <w:rPr>
          <w:sz w:val="20"/>
          <w:szCs w:val="20"/>
          <w:color w:val="auto"/>
        </w:rPr>
      </w:pPr>
      <w:r>
        <w:rPr>
          <w:rFonts w:ascii="Courier New" w:cs="Courier New" w:eastAsia="Courier New" w:hAnsi="Courier New"/>
          <w:sz w:val="18"/>
          <w:szCs w:val="18"/>
          <w:color w:val="auto"/>
        </w:rPr>
        <w:t>Title: Vice President, Finance &amp;</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Administration, Chief Financial</w:t>
      </w:r>
    </w:p>
    <w:p>
      <w:pPr>
        <w:spacing w:after="0" w:line="20"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Officer, Treasurer and</w:t>
      </w:r>
    </w:p>
    <w:p>
      <w:pPr>
        <w:ind w:left="94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ectPr>
          <w:pgSz w:w="11900" w:h="16838" w:orient="portrait"/>
          <w:cols w:equalWidth="0" w:num="2">
            <w:col w:w="2860" w:space="0"/>
            <w:col w:w="7279"/>
          </w:cols>
          <w:pgMar w:left="320" w:top="110"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139"/>
          </w:cols>
          <w:pgMar w:left="320" w:top="11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820" w:space="720"/>
            <w:col w:w="7599"/>
          </w:cols>
          <w:pgMar w:left="320" w:top="11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99.01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of Regeneron Pharmaceutical,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 dated March 28, 2000.</w:t>
      </w:r>
    </w:p>
    <w:p>
      <w:pPr>
        <w:sectPr>
          <w:pgSz w:w="11900" w:h="16838" w:orient="portrait"/>
          <w:cols w:equalWidth="0" w:num="2">
            <w:col w:w="1600" w:space="720"/>
            <w:col w:w="7819"/>
          </w:cols>
          <w:pgMar w:left="320" w:top="110" w:right="1440" w:bottom="1440" w:gutter="0" w:footer="0" w:header="0"/>
          <w:type w:val="continuous"/>
        </w:sectPr>
      </w:pPr>
    </w:p>
    <w:bookmarkStart w:id="2" w:name="page3"/>
    <w:bookmarkEnd w:id="2"/>
    <w:p>
      <w:pPr>
        <w:ind w:left="6440"/>
        <w:spacing w:after="0"/>
        <w:rPr>
          <w:sz w:val="20"/>
          <w:szCs w:val="20"/>
          <w:color w:val="auto"/>
        </w:rPr>
      </w:pPr>
      <w:r>
        <w:rPr>
          <w:rFonts w:ascii="Courier New" w:cs="Courier New" w:eastAsia="Courier New" w:hAnsi="Courier New"/>
          <w:sz w:val="18"/>
          <w:szCs w:val="18"/>
          <w:color w:val="auto"/>
        </w:rPr>
        <w:t>EXHIBIT 99.01</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REGENERON INITIATE PHASE II</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OBESITY CLINICAL TRIAL</w:t>
      </w:r>
    </w:p>
    <w:p>
      <w:pPr>
        <w:spacing w:after="0" w:line="169" w:lineRule="exact"/>
        <w:rPr>
          <w:sz w:val="20"/>
          <w:szCs w:val="20"/>
          <w:color w:val="auto"/>
        </w:rPr>
      </w:pPr>
    </w:p>
    <w:p>
      <w:pPr>
        <w:ind w:right="2239" w:firstLine="632"/>
        <w:spacing w:after="0" w:line="251" w:lineRule="auto"/>
        <w:rPr>
          <w:sz w:val="20"/>
          <w:szCs w:val="20"/>
          <w:color w:val="auto"/>
        </w:rPr>
      </w:pPr>
      <w:r>
        <w:rPr>
          <w:rFonts w:ascii="Courier New" w:cs="Courier New" w:eastAsia="Courier New" w:hAnsi="Courier New"/>
          <w:sz w:val="18"/>
          <w:szCs w:val="18"/>
          <w:color w:val="auto"/>
        </w:rPr>
        <w:t>Tarrytown, New York (March 28, 2000) - Regeneron Pharmaceuticals, Inc. (NASDAQ: REGN) announced that it has initiated a Phase II dose-ranging trial to study the safety and efficacy of AXOKINE(R) second generation ciliary neurotrophic factor in obese patients. AXOKINE is being developed for the treatment of obesity and complications of obesity such as Type II diabetes. The double-blind, placebo-controlled multicenter clinical trial will be conducted in approximately 175 severely obese patients who will be treated for 90 days at doses up to 2 micrograms per kilogram per day administered subcutaneously.</w:t>
      </w:r>
    </w:p>
    <w:p>
      <w:pPr>
        <w:spacing w:after="0" w:line="106" w:lineRule="exact"/>
        <w:rPr>
          <w:sz w:val="20"/>
          <w:szCs w:val="20"/>
          <w:color w:val="auto"/>
        </w:rPr>
      </w:pPr>
    </w:p>
    <w:p>
      <w:pPr>
        <w:ind w:right="2239" w:firstLine="632"/>
        <w:spacing w:after="0" w:line="344" w:lineRule="auto"/>
        <w:rPr>
          <w:sz w:val="20"/>
          <w:szCs w:val="20"/>
          <w:color w:val="auto"/>
        </w:rPr>
      </w:pPr>
      <w:r>
        <w:rPr>
          <w:rFonts w:ascii="Courier New" w:cs="Courier New" w:eastAsia="Courier New" w:hAnsi="Courier New"/>
          <w:sz w:val="16"/>
          <w:szCs w:val="16"/>
          <w:color w:val="auto"/>
        </w:rPr>
        <w:t>The Phase II study follows a two-week Phase I study completed in late 1999, in which mildly to moderately obese subjects treated with AXOKINE lost weight and had reduced food intake compared to those on placebo.</w:t>
      </w:r>
    </w:p>
    <w:p>
      <w:pPr>
        <w:spacing w:after="0" w:line="31"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8"/>
          <w:szCs w:val="18"/>
          <w:color w:val="auto"/>
        </w:rPr>
        <w:t>In the Phase I study, some patients who received higher doses of AXOKINE and who had previously contracted herpes simplex virus (HSV) experienced "cold sores" related to reactivation of their HSV infection. The Phase II study will be conducted at doses that were associated with weight loss, generally well tolerated, and not associated with herpes cold sores in the Phase I study; there will be no restrictions as to a subject's prior history of herpes cold sores. The Phase II study is designed to confirm the weight loss observed in the Phase I study in a trial of longer duration and to determine the lowest effective well- tolerated dose.</w:t>
      </w:r>
    </w:p>
    <w:p>
      <w:pPr>
        <w:spacing w:after="0" w:line="106" w:lineRule="exact"/>
        <w:rPr>
          <w:sz w:val="20"/>
          <w:szCs w:val="20"/>
          <w:color w:val="auto"/>
        </w:rPr>
      </w:pPr>
    </w:p>
    <w:p>
      <w:pPr>
        <w:ind w:right="2239" w:firstLine="632"/>
        <w:spacing w:after="0" w:line="253"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drugs for the treatment of serious medical conditions. Regeneron's platform technologies include Targeted Genomics(TM), Functionomics(TM), and Designer Protein Therapeutics(TM). Regeneron has drugs in clinical and preclinical development for the potential treatment of obesity, rheumatoid arthritis, cancer, allergies, asthma, amyotrophic lateral sclerosis, constipating conditions, ischemia, and other diseases and disorders.</w:t>
      </w:r>
    </w:p>
    <w:p>
      <w:pPr>
        <w:spacing w:after="0" w:line="103" w:lineRule="exact"/>
        <w:rPr>
          <w:sz w:val="20"/>
          <w:szCs w:val="20"/>
          <w:color w:val="auto"/>
        </w:rPr>
      </w:pPr>
    </w:p>
    <w:p>
      <w:pPr>
        <w:ind w:right="2239" w:firstLine="632"/>
        <w:spacing w:after="0" w:line="246"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about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ending December 31, 1999. Regeneron does not undertake any obligation to update publicly any forward-looking statement, whether as a result of new information, future events, or otherwise.</w:t>
      </w:r>
    </w:p>
    <w:p>
      <w:pPr>
        <w:spacing w:after="0" w:line="1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right="3179" w:hanging="1279"/>
        <w:spacing w:after="0" w:line="292" w:lineRule="auto"/>
        <w:tabs>
          <w:tab w:leader="none" w:pos="12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Murray A. Goldberg, Vice President Finance and Administration and CFO Regeneron Pharmaceuticals, Inc. (914) 345-7492</w:t>
      </w:r>
    </w:p>
    <w:p>
      <w:pPr>
        <w:spacing w:after="0" w:line="66" w:lineRule="exact"/>
        <w:rPr>
          <w:sz w:val="20"/>
          <w:szCs w:val="20"/>
          <w:color w:val="auto"/>
        </w:rPr>
      </w:pPr>
    </w:p>
    <w:p>
      <w:pPr>
        <w:ind w:right="2339"/>
        <w:spacing w:after="0" w:line="346" w:lineRule="auto"/>
        <w:rPr>
          <w:sz w:val="20"/>
          <w:szCs w:val="20"/>
          <w:color w:val="auto"/>
        </w:rPr>
      </w:pPr>
      <w:r>
        <w:rPr>
          <w:rFonts w:ascii="Courier New" w:cs="Courier New" w:eastAsia="Courier New" w:hAnsi="Courier New"/>
          <w:sz w:val="18"/>
          <w:szCs w:val="18"/>
          <w:color w:val="auto"/>
        </w:rPr>
        <w:t>Fax copies of new releases can be obtained from Regeneron's News-on-Demand Service by dialing (800) 311-0841.</w:t>
      </w:r>
    </w:p>
    <w:sectPr>
      <w:pgSz w:w="11900" w:h="16838" w:orient="portrait"/>
      <w:cols w:equalWidth="0" w:num="1">
        <w:col w:w="10139"/>
      </w:cols>
      <w:pgMar w:left="320" w:top="9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2020-10-06T18:33:14Z</dcterms:created>
  <dcterms:modified xsi:type="dcterms:W3CDTF">2020-10-06T18:33:14Z</dcterms:modified>
</cp:coreProperties>
</file>