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STAHL NEIL</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8"/>
          </w:tcPr>
          <w:p>
            <w:pPr>
              <w:spacing w:after="0" w:line="103" w:lineRule="exact"/>
              <w:rPr>
                <w:rFonts w:ascii="Arial" w:cs="Arial" w:eastAsia="Arial" w:hAnsi="Arial"/>
                <w:sz w:val="11"/>
                <w:szCs w:val="11"/>
                <w:color w:val="0000EE"/>
              </w:rPr>
            </w:pPr>
            <w:hyperlink r:id="rId14">
              <w:r>
                <w:rPr>
                  <w:rFonts w:ascii="Arial" w:cs="Arial" w:eastAsia="Arial" w:hAnsi="Arial"/>
                  <w:sz w:val="11"/>
                  <w:szCs w:val="11"/>
                  <w:color w:val="0000EE"/>
                </w:rPr>
                <w:t>REGENERON PHARMACEUTICALS,</w:t>
              </w:r>
            </w:hyperlink>
          </w:p>
        </w:tc>
        <w:tc>
          <w:tcPr>
            <w:tcW w:w="3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vMerge w:val="restart"/>
          </w:tcPr>
          <w:p>
            <w:pPr>
              <w:spacing w:after="0" w:line="212" w:lineRule="exact"/>
              <w:rPr>
                <w:rFonts w:ascii="Arial" w:cs="Arial" w:eastAsia="Arial" w:hAnsi="Arial"/>
                <w:sz w:val="21"/>
                <w:szCs w:val="21"/>
                <w:color w:val="0000EE"/>
              </w:rPr>
            </w:pPr>
            <w:hyperlink r:id="rId14">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080" w:type="dxa"/>
            <w:vAlign w:val="bottom"/>
            <w:tcBorders>
              <w:top w:val="single" w:sz="8" w:color="EEEEEE"/>
            </w:tcBorders>
          </w:tcPr>
          <w:p>
            <w:pPr>
              <w:spacing w:after="0"/>
              <w:rPr>
                <w:sz w:val="8"/>
                <w:szCs w:val="8"/>
                <w:color w:val="auto"/>
              </w:rPr>
            </w:pPr>
          </w:p>
        </w:tc>
        <w:tc>
          <w:tcPr>
            <w:tcW w:w="1100" w:type="dxa"/>
            <w:vAlign w:val="bottom"/>
            <w:tcBorders>
              <w:top w:val="single" w:sz="8" w:color="EEEEEE"/>
            </w:tcBorders>
          </w:tcPr>
          <w:p>
            <w:pPr>
              <w:spacing w:after="0"/>
              <w:rPr>
                <w:sz w:val="8"/>
                <w:szCs w:val="8"/>
                <w:color w:val="auto"/>
              </w:rPr>
            </w:pPr>
          </w:p>
        </w:tc>
        <w:tc>
          <w:tcPr>
            <w:tcW w:w="10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6"/>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8"/>
            <w:vMerge w:val="restart"/>
          </w:tcPr>
          <w:p>
            <w:pPr>
              <w:ind w:left="80"/>
              <w:spacing w:after="0"/>
              <w:rPr>
                <w:sz w:val="20"/>
                <w:szCs w:val="20"/>
                <w:color w:val="auto"/>
              </w:rPr>
            </w:pPr>
            <w:r>
              <w:rPr>
                <w:rFonts w:ascii="Arial" w:cs="Arial" w:eastAsia="Arial" w:hAnsi="Arial"/>
                <w:sz w:val="17"/>
                <w:szCs w:val="17"/>
                <w:color w:val="0000FF"/>
              </w:rPr>
              <w:t>EVP Research and Development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6"/>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4"/>
            <w:vMerge w:val="restart"/>
          </w:tcPr>
          <w:p>
            <w:pPr>
              <w:ind w:left="20"/>
              <w:spacing w:after="0"/>
              <w:rPr>
                <w:sz w:val="20"/>
                <w:szCs w:val="20"/>
                <w:color w:val="auto"/>
              </w:rPr>
            </w:pPr>
            <w:r>
              <w:rPr>
                <w:rFonts w:ascii="Arial" w:cs="Arial" w:eastAsia="Arial" w:hAnsi="Arial"/>
                <w:sz w:val="17"/>
                <w:szCs w:val="17"/>
                <w:color w:val="0000FF"/>
              </w:rPr>
              <w:t>777 OLD SAW MILL RIVER ROAD</w:t>
            </w:r>
          </w:p>
        </w:tc>
        <w:tc>
          <w:tcPr>
            <w:tcW w:w="1600" w:type="dxa"/>
            <w:vAlign w:val="bottom"/>
            <w:gridSpan w:val="7"/>
            <w:vMerge w:val="restart"/>
          </w:tcPr>
          <w:p>
            <w:pPr>
              <w:ind w:left="260"/>
              <w:spacing w:after="0"/>
              <w:rPr>
                <w:sz w:val="20"/>
                <w:szCs w:val="20"/>
                <w:color w:val="auto"/>
              </w:rPr>
            </w:pPr>
            <w:r>
              <w:rPr>
                <w:rFonts w:ascii="Arial" w:cs="Arial" w:eastAsia="Arial" w:hAnsi="Arial"/>
                <w:sz w:val="17"/>
                <w:szCs w:val="17"/>
                <w:color w:val="0000FF"/>
              </w:rPr>
              <w:t>05/08/2020</w:t>
            </w: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4"/>
            <w:vMerge w:val="continue"/>
          </w:tcPr>
          <w:p>
            <w:pPr>
              <w:spacing w:after="0"/>
              <w:rPr>
                <w:sz w:val="11"/>
                <w:szCs w:val="11"/>
                <w:color w:val="auto"/>
              </w:rPr>
            </w:pPr>
          </w:p>
        </w:tc>
        <w:tc>
          <w:tcPr>
            <w:tcW w:w="1600" w:type="dxa"/>
            <w:vAlign w:val="bottom"/>
            <w:gridSpan w:val="7"/>
            <w:vMerge w:val="continue"/>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7"/>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4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vMerge w:val="restart"/>
          </w:tcPr>
          <w:p>
            <w:pPr>
              <w:spacing w:after="0"/>
              <w:rPr>
                <w:sz w:val="7"/>
                <w:szCs w:val="7"/>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40" w:type="dxa"/>
            <w:vAlign w:val="bottom"/>
            <w:gridSpan w:val="8"/>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3"/>
          </w:tcPr>
          <w:p>
            <w:pPr>
              <w:ind w:left="20"/>
              <w:spacing w:after="0"/>
              <w:rPr>
                <w:sz w:val="20"/>
                <w:szCs w:val="20"/>
                <w:color w:val="auto"/>
              </w:rPr>
            </w:pPr>
            <w:r>
              <w:rPr>
                <w:rFonts w:ascii="Arial" w:cs="Arial" w:eastAsia="Arial" w:hAnsi="Arial"/>
                <w:sz w:val="17"/>
                <w:szCs w:val="17"/>
                <w:color w:val="0000FF"/>
              </w:rPr>
              <w:t>TARRYTOWN  NY</w:t>
            </w:r>
          </w:p>
        </w:tc>
        <w:tc>
          <w:tcPr>
            <w:tcW w:w="1100" w:type="dxa"/>
            <w:vAlign w:val="bottom"/>
          </w:tcPr>
          <w:p>
            <w:pPr>
              <w:spacing w:after="0"/>
              <w:rPr>
                <w:sz w:val="20"/>
                <w:szCs w:val="20"/>
                <w:color w:val="auto"/>
              </w:rPr>
            </w:pPr>
            <w:r>
              <w:rPr>
                <w:rFonts w:ascii="Arial" w:cs="Arial" w:eastAsia="Arial" w:hAnsi="Arial"/>
                <w:sz w:val="17"/>
                <w:szCs w:val="17"/>
                <w:color w:val="0000FF"/>
              </w:rPr>
              <w:t>10591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8"/>
          </w:tcPr>
          <w:p>
            <w:pPr>
              <w:ind w:left="12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60" w:type="dxa"/>
            <w:vAlign w:val="bottom"/>
            <w:tcBorders>
              <w:bottom w:val="single" w:sz="8" w:color="2C2C2C"/>
            </w:tcBorders>
            <w:gridSpan w:val="5"/>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8"/>
          </w:tcPr>
          <w:p>
            <w:pPr>
              <w:jc w:val="center"/>
              <w:ind w:left="712"/>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5"/>
          </w:tcPr>
          <w:p>
            <w:pPr>
              <w:ind w:left="6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5"/>
          </w:tcPr>
          <w:p>
            <w:pPr>
              <w:jc w:val="center"/>
              <w:ind w:left="40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5"/>
          </w:tcPr>
          <w:p>
            <w:pPr>
              <w:jc w:val="center"/>
              <w:ind w:left="409"/>
              <w:spacing w:after="0"/>
              <w:rPr>
                <w:sz w:val="20"/>
                <w:szCs w:val="20"/>
                <w:color w:val="auto"/>
              </w:rPr>
            </w:pPr>
            <w:r>
              <w:rPr>
                <w:rFonts w:ascii="Arial" w:cs="Arial" w:eastAsia="Arial" w:hAnsi="Arial"/>
                <w:sz w:val="17"/>
                <w:szCs w:val="17"/>
                <w:color w:val="0000FF"/>
                <w:w w:val="89"/>
              </w:rPr>
              <w:t>05/08/2020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8"/>
              </w:rPr>
              <w:t>12,500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4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52.03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23,880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5"/>
          </w:tcPr>
          <w:p>
            <w:pPr>
              <w:jc w:val="center"/>
              <w:ind w:left="409"/>
              <w:spacing w:after="0"/>
              <w:rPr>
                <w:sz w:val="20"/>
                <w:szCs w:val="20"/>
                <w:color w:val="auto"/>
              </w:rPr>
            </w:pPr>
            <w:r>
              <w:rPr>
                <w:rFonts w:ascii="Arial" w:cs="Arial" w:eastAsia="Arial" w:hAnsi="Arial"/>
                <w:sz w:val="17"/>
                <w:szCs w:val="17"/>
                <w:color w:val="0000FF"/>
                <w:w w:val="89"/>
              </w:rPr>
              <w:t>05/08/2020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F</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7,195</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gridSpan w:val="3"/>
          </w:tcPr>
          <w:p>
            <w:pPr>
              <w:jc w:val="center"/>
              <w:ind w:left="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560.67</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16,685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09"/>
              <w:spacing w:after="0"/>
              <w:rPr>
                <w:sz w:val="20"/>
                <w:szCs w:val="20"/>
                <w:color w:val="auto"/>
              </w:rPr>
            </w:pPr>
            <w:r>
              <w:rPr>
                <w:rFonts w:ascii="Arial" w:cs="Arial" w:eastAsia="Arial" w:hAnsi="Arial"/>
                <w:sz w:val="17"/>
                <w:szCs w:val="17"/>
                <w:color w:val="0000FF"/>
                <w:w w:val="89"/>
              </w:rPr>
              <w:t>05/11/2020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4"/>
              </w:rPr>
              <w:t>312</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567.5</w:t>
            </w:r>
            <w:r>
              <w:rPr>
                <w:rFonts w:ascii="Arial" w:cs="Arial" w:eastAsia="Arial" w:hAnsi="Arial"/>
                <w:sz w:val="21"/>
                <w:szCs w:val="21"/>
                <w:color w:val="008000"/>
                <w:w w:val="86"/>
                <w:vertAlign w:val="superscript"/>
              </w:rPr>
              <w:t>(1)</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16,373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09"/>
              <w:spacing w:after="0"/>
              <w:rPr>
                <w:sz w:val="20"/>
                <w:szCs w:val="20"/>
                <w:color w:val="auto"/>
              </w:rPr>
            </w:pPr>
            <w:r>
              <w:rPr>
                <w:rFonts w:ascii="Arial" w:cs="Arial" w:eastAsia="Arial" w:hAnsi="Arial"/>
                <w:sz w:val="17"/>
                <w:szCs w:val="17"/>
                <w:color w:val="0000FF"/>
                <w:w w:val="89"/>
              </w:rPr>
              <w:t>05/11/2020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4"/>
              </w:rPr>
              <w:t>792</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568.71</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15,581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09"/>
              <w:spacing w:after="0"/>
              <w:rPr>
                <w:sz w:val="20"/>
                <w:szCs w:val="20"/>
                <w:color w:val="auto"/>
              </w:rPr>
            </w:pPr>
            <w:r>
              <w:rPr>
                <w:rFonts w:ascii="Arial" w:cs="Arial" w:eastAsia="Arial" w:hAnsi="Arial"/>
                <w:sz w:val="17"/>
                <w:szCs w:val="17"/>
                <w:color w:val="0000FF"/>
                <w:w w:val="89"/>
              </w:rPr>
              <w:t>05/11/2020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2,175</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569.39</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13,406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09"/>
              <w:spacing w:after="0"/>
              <w:rPr>
                <w:sz w:val="20"/>
                <w:szCs w:val="20"/>
                <w:color w:val="auto"/>
              </w:rPr>
            </w:pPr>
            <w:r>
              <w:rPr>
                <w:rFonts w:ascii="Arial" w:cs="Arial" w:eastAsia="Arial" w:hAnsi="Arial"/>
                <w:sz w:val="17"/>
                <w:szCs w:val="17"/>
                <w:color w:val="0000FF"/>
                <w:w w:val="89"/>
              </w:rPr>
              <w:t>05/11/2020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2,026</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570.28</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11,380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5,763</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7,831</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2018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13,700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2019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52.03</w:t>
            </w:r>
          </w:p>
        </w:tc>
        <w:tc>
          <w:tcPr>
            <w:tcW w:w="1080" w:type="dxa"/>
            <w:vAlign w:val="bottom"/>
          </w:tcPr>
          <w:p>
            <w:pPr>
              <w:ind w:left="260"/>
              <w:spacing w:after="0"/>
              <w:rPr>
                <w:sz w:val="20"/>
                <w:szCs w:val="20"/>
                <w:color w:val="auto"/>
              </w:rPr>
            </w:pPr>
            <w:r>
              <w:rPr>
                <w:rFonts w:ascii="Arial" w:cs="Arial" w:eastAsia="Arial" w:hAnsi="Arial"/>
                <w:sz w:val="13"/>
                <w:szCs w:val="13"/>
                <w:color w:val="0000FF"/>
              </w:rPr>
              <w:t>05/08/2020</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0000FF"/>
              </w:rPr>
              <w:t>12,500</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12/16/2021</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tcPr>
          <w:p>
            <w:pPr>
              <w:ind w:left="80"/>
              <w:spacing w:after="0"/>
              <w:rPr>
                <w:sz w:val="20"/>
                <w:szCs w:val="20"/>
                <w:color w:val="auto"/>
              </w:rPr>
            </w:pPr>
            <w:r>
              <w:rPr>
                <w:rFonts w:ascii="Arial" w:cs="Arial" w:eastAsia="Arial" w:hAnsi="Arial"/>
                <w:sz w:val="17"/>
                <w:szCs w:val="17"/>
                <w:color w:val="0000FF"/>
                <w:w w:val="99"/>
              </w:rPr>
              <w:t>12,500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12,500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Option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gridSpan w:val="2"/>
          </w:tcPr>
          <w:p>
            <w:pPr>
              <w:jc w:val="center"/>
              <w:spacing w:after="0" w:line="92"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-5363210</wp:posOffset>
            </wp:positionV>
            <wp:extent cx="7033895" cy="5592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5592445"/>
                    </a:xfrm>
                    <a:prstGeom prst="rect">
                      <a:avLst/>
                    </a:prstGeom>
                    <a:noFill/>
                  </pic:spPr>
                </pic:pic>
              </a:graphicData>
            </a:graphic>
          </wp:anchor>
        </w:drawing>
      </w:r>
    </w:p>
    <w:p>
      <w:pPr>
        <w:ind w:left="80"/>
        <w:spacing w:after="0" w:line="227"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0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312 shares of Company stock on May 11, 2020 at prices ranging from $567.11 to $567.69. Upon request by the Commission staff, the Company, or a security holder of the Company, the reporting person will provide full information regarding the number of shares sold by the reporting person on May 11, 2020 at each separate price.</w:t>
      </w:r>
    </w:p>
    <w:p>
      <w:pPr>
        <w:spacing w:after="0" w:line="1" w:lineRule="exact"/>
        <w:rPr>
          <w:rFonts w:ascii="Arial" w:cs="Arial" w:eastAsia="Arial" w:hAnsi="Arial"/>
          <w:sz w:val="12"/>
          <w:szCs w:val="12"/>
          <w:color w:val="008000"/>
        </w:rPr>
      </w:pPr>
    </w:p>
    <w:p>
      <w:pPr>
        <w:ind w:left="40" w:right="38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792 shares of Company stock on May 11, 2020 at prices ranging from $568.00 to $568.99. Upon request by the Commission staff, the Company, or a security holder of the Company, the reporting person will provide full information regarding the number of shares sold by the reporting person on May 11, 2020 at each separate price.</w:t>
      </w:r>
    </w:p>
    <w:p>
      <w:pPr>
        <w:spacing w:after="0" w:line="1" w:lineRule="exact"/>
        <w:rPr>
          <w:rFonts w:ascii="Arial" w:cs="Arial" w:eastAsia="Arial" w:hAnsi="Arial"/>
          <w:sz w:val="12"/>
          <w:szCs w:val="12"/>
          <w:color w:val="008000"/>
        </w:rPr>
      </w:pPr>
    </w:p>
    <w:p>
      <w:pPr>
        <w:ind w:left="40" w:right="30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2,175 shares of Company stock on May 11, 2020 at prices ranging from $569.00 to $569.98. Upon request by the Commission staff, the Company, or a security holder of the Company, the reporting person will provide full information regarding the number of shares sold by the reporting person on May 11, 2020 at each separate price.</w:t>
      </w:r>
    </w:p>
    <w:p>
      <w:pPr>
        <w:spacing w:after="0" w:line="1" w:lineRule="exact"/>
        <w:rPr>
          <w:rFonts w:ascii="Arial" w:cs="Arial" w:eastAsia="Arial" w:hAnsi="Arial"/>
          <w:sz w:val="12"/>
          <w:szCs w:val="12"/>
          <w:color w:val="008000"/>
        </w:rPr>
      </w:pPr>
    </w:p>
    <w:p>
      <w:pPr>
        <w:ind w:left="40" w:right="30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2,026 shares of Company stock on May 11, 2020 at prices ranging from $570.00 to $570.76. Upon request by the Commission staff, the Company, or a security holder of the Company, the reporting person will provide full information regarding the number of shares sold by the reporting person on May 11, 2020 at each separate price.</w:t>
      </w:r>
    </w:p>
    <w:p>
      <w:pPr>
        <w:spacing w:after="0" w:line="1" w:lineRule="exact"/>
        <w:rPr>
          <w:rFonts w:ascii="Arial" w:cs="Arial" w:eastAsia="Arial" w:hAnsi="Arial"/>
          <w:sz w:val="12"/>
          <w:szCs w:val="12"/>
          <w:color w:val="008000"/>
        </w:rPr>
      </w:pPr>
    </w:p>
    <w:p>
      <w:pPr>
        <w:ind w:left="40" w:right="5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With respect to 75,000 underlying shares (of which 12,500 remain outstanding) the option became exercisable on December 31, 2014, based upon the satisfaction by the company of certain performance criteria during the period ended December 31, 2014.</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/s/**Neil Stahl</w:t>
            </w:r>
          </w:p>
        </w:tc>
        <w:tc>
          <w:tcPr>
            <w:tcW w:w="12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05/11/2020</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6689"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2020-05-11T15:52:45Z</dcterms:created>
  <dcterms:modified xsi:type="dcterms:W3CDTF">2020-05-11T15:52:45Z</dcterms:modified>
</cp:coreProperties>
</file>