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7869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869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Fenimore Christopher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 Controller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843.79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18,294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844.09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17,070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1,473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4,269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1,499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1,897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jc w:val="center"/>
              <w:ind w:left="4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Disposition/acquisition made pursuant to a plan intended to comply with Rule 10b5-1(c) adopted on August 25,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in a trust for the benefit of the reporting person's spouse. The reporting person and the reporting person's spouse are trustees of the trust.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/s/**Christopher R. Fenimore  12/26/2023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69742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2023-12-26T15:12:14Z</dcterms:created>
  <dcterms:modified xsi:type="dcterms:W3CDTF">2023-12-26T15:12:14Z</dcterms:modified>
</cp:coreProperties>
</file>