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$.001 PAR VALUE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Steven M. Odre, Esq.</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tabs>
          <w:tab w:leader="none" w:pos="198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91320-1799</w:t>
      </w:r>
    </w:p>
    <w:p>
      <w:pPr>
        <w:spacing w:after="0" w:line="237" w:lineRule="auto"/>
        <w:rPr>
          <w:sz w:val="20"/>
          <w:szCs w:val="20"/>
          <w:color w:val="auto"/>
        </w:rPr>
      </w:pPr>
      <w:r>
        <w:rPr>
          <w:rFonts w:ascii="Courier New" w:cs="Courier New" w:eastAsia="Courier New" w:hAnsi="Courier New"/>
          <w:sz w:val="18"/>
          <w:szCs w:val="18"/>
          <w:color w:val="auto"/>
        </w:rPr>
        <w:t>(808)447-1000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38" w:lineRule="auto"/>
        <w:rPr>
          <w:sz w:val="20"/>
          <w:szCs w:val="20"/>
          <w:color w:val="auto"/>
        </w:rPr>
      </w:pPr>
      <w:r>
        <w:rPr>
          <w:rFonts w:ascii="Courier New" w:cs="Courier New" w:eastAsia="Courier New" w:hAnsi="Courier New"/>
          <w:sz w:val="18"/>
          <w:szCs w:val="18"/>
          <w:color w:val="auto"/>
        </w:rPr>
        <w:t>Gary Olson, Esq.</w:t>
      </w:r>
    </w:p>
    <w:p>
      <w:pPr>
        <w:spacing w:after="0"/>
        <w:rPr>
          <w:sz w:val="20"/>
          <w:szCs w:val="20"/>
          <w:color w:val="auto"/>
        </w:rPr>
      </w:pPr>
      <w:r>
        <w:rPr>
          <w:rFonts w:ascii="Courier New" w:cs="Courier New" w:eastAsia="Courier New" w:hAnsi="Courier New"/>
          <w:sz w:val="18"/>
          <w:szCs w:val="18"/>
          <w:color w:val="auto"/>
        </w:rPr>
        <w:t>Latham &amp; Watkins</w:t>
      </w:r>
    </w:p>
    <w:p>
      <w:pPr>
        <w:spacing w:after="0" w:line="237" w:lineRule="auto"/>
        <w:rPr>
          <w:sz w:val="20"/>
          <w:szCs w:val="20"/>
          <w:color w:val="auto"/>
        </w:rPr>
      </w:pPr>
      <w:r>
        <w:rPr>
          <w:rFonts w:ascii="Courier New" w:cs="Courier New" w:eastAsia="Courier New" w:hAnsi="Courier New"/>
          <w:sz w:val="18"/>
          <w:szCs w:val="18"/>
          <w:color w:val="auto"/>
        </w:rPr>
        <w:t>633 West Fifth Street</w:t>
      </w:r>
    </w:p>
    <w:p>
      <w:pPr>
        <w:spacing w:after="0" w:line="238"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90071</w:t>
      </w:r>
    </w:p>
    <w:p>
      <w:pPr>
        <w:spacing w:after="0" w:line="419" w:lineRule="exact"/>
        <w:rPr>
          <w:sz w:val="24"/>
          <w:szCs w:val="24"/>
          <w:color w:val="auto"/>
        </w:rPr>
      </w:pPr>
    </w:p>
    <w:p>
      <w:pPr>
        <w:sectPr>
          <w:pgSz w:w="11900" w:h="16838" w:orient="portrait"/>
          <w:cols w:equalWidth="0" w:num="3">
            <w:col w:w="4340" w:space="720"/>
            <w:col w:w="2420" w:space="220"/>
            <w:col w:w="2519"/>
          </w:cols>
          <w:pgMar w:left="240" w:top="649" w:right="1440" w:bottom="144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March 12, 2001</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999"/>
        <w:spacing w:after="0"/>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00075886F1</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member of a group*  (a)</w:t>
      </w:r>
    </w:p>
    <w:p>
      <w:pPr>
        <w:ind w:left="42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42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340"/>
          </w:cols>
          <w:pgMar w:left="240" w:top="717" w:right="1319"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Beneficially Owned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By Each Reporting</w:t>
      </w:r>
    </w:p>
    <w:p>
      <w:pPr>
        <w:ind w:left="120"/>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ind w:left="420"/>
        <w:spacing w:after="0" w:line="238" w:lineRule="auto"/>
        <w:rPr>
          <w:sz w:val="20"/>
          <w:szCs w:val="20"/>
          <w:color w:val="auto"/>
        </w:rPr>
      </w:pPr>
      <w:r>
        <w:rPr>
          <w:rFonts w:ascii="Courier New" w:cs="Courier New" w:eastAsia="Courier New" w:hAnsi="Courier New"/>
          <w:sz w:val="18"/>
          <w:szCs w:val="18"/>
          <w:color w:val="auto"/>
        </w:rPr>
        <w:t>4,916,808</w:t>
      </w:r>
    </w:p>
    <w:p>
      <w:pPr>
        <w:spacing w:after="0" w:line="410" w:lineRule="exact"/>
        <w:rPr>
          <w:sz w:val="20"/>
          <w:szCs w:val="20"/>
          <w:color w:val="auto"/>
        </w:rPr>
      </w:pPr>
    </w:p>
    <w:p>
      <w:pPr>
        <w:sectPr>
          <w:pgSz w:w="11900" w:h="16838" w:orient="portrait"/>
          <w:cols w:equalWidth="0" w:num="2">
            <w:col w:w="2000" w:space="540"/>
            <w:col w:w="7800"/>
          </w:cols>
          <w:pgMar w:left="240" w:top="717" w:right="1319"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340"/>
          </w:cols>
          <w:pgMar w:left="240" w:top="717" w:right="1319" w:bottom="1440" w:gutter="0" w:footer="0" w:header="0"/>
          <w:type w:val="continuous"/>
        </w:sectPr>
      </w:pPr>
    </w:p>
    <w:p>
      <w:pPr>
        <w:spacing w:after="0" w:line="218" w:lineRule="exact"/>
        <w:rPr>
          <w:sz w:val="20"/>
          <w:szCs w:val="20"/>
          <w:color w:val="auto"/>
        </w:rPr>
      </w:pPr>
    </w:p>
    <w:p>
      <w:pPr>
        <w:ind w:left="2960" w:hanging="424"/>
        <w:spacing w:after="0"/>
        <w:tabs>
          <w:tab w:leader="none" w:pos="2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2960"/>
        <w:spacing w:after="0" w:line="238" w:lineRule="auto"/>
        <w:rPr>
          <w:sz w:val="20"/>
          <w:szCs w:val="20"/>
          <w:color w:val="auto"/>
        </w:rPr>
      </w:pPr>
      <w:r>
        <w:rPr>
          <w:rFonts w:ascii="Courier New" w:cs="Courier New" w:eastAsia="Courier New" w:hAnsi="Courier New"/>
          <w:sz w:val="18"/>
          <w:szCs w:val="18"/>
          <w:color w:val="auto"/>
        </w:rPr>
        <w:t>4,916,808</w:t>
      </w:r>
    </w:p>
    <w:p>
      <w:pPr>
        <w:ind w:left="2320"/>
        <w:spacing w:after="0"/>
        <w:rPr>
          <w:sz w:val="20"/>
          <w:szCs w:val="20"/>
          <w:color w:val="auto"/>
        </w:rPr>
      </w:pPr>
      <w:r>
        <w:rPr>
          <w:rFonts w:ascii="Courier New" w:cs="Courier New" w:eastAsia="Courier New" w:hAnsi="Courier New"/>
          <w:sz w:val="18"/>
          <w:szCs w:val="18"/>
          <w:color w:val="auto"/>
        </w:rPr>
        <w:t>--------------------------------------------------------------------------</w:t>
      </w:r>
    </w:p>
    <w:p>
      <w:pPr>
        <w:ind w:left="3060" w:hanging="524"/>
        <w:spacing w:after="0" w:line="237" w:lineRule="auto"/>
        <w:tabs>
          <w:tab w:leader="none" w:pos="3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40"/>
        <w:spacing w:after="0" w:line="238" w:lineRule="auto"/>
        <w:rPr>
          <w:sz w:val="20"/>
          <w:szCs w:val="20"/>
          <w:color w:val="auto"/>
        </w:rPr>
      </w:pPr>
      <w:r>
        <w:rPr>
          <w:rFonts w:ascii="Courier New" w:cs="Courier New" w:eastAsia="Courier New" w:hAnsi="Courier New"/>
          <w:sz w:val="18"/>
          <w:szCs w:val="18"/>
          <w:color w:val="auto"/>
        </w:rPr>
        <w:t>4,916,808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440"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540"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900" w:firstLine="527"/>
        <w:spacing w:after="0" w:line="237" w:lineRule="auto"/>
        <w:rPr>
          <w:sz w:val="20"/>
          <w:szCs w:val="20"/>
          <w:color w:val="auto"/>
        </w:rPr>
      </w:pPr>
      <w:r>
        <w:rPr>
          <w:rFonts w:ascii="Courier New" w:cs="Courier New" w:eastAsia="Courier New" w:hAnsi="Courier New"/>
          <w:sz w:val="18"/>
          <w:szCs w:val="18"/>
          <w:color w:val="auto"/>
        </w:rPr>
        <w:t>This Amendment No. 7 to Schedule 13D is being filed by Amgen Inc., a Delaware corporation (the "Reporting Person"), to amend the Schedule 13D filed on July 26, 1995, as amended by Amendment No. 1 filed on September 25, 1995, Amendment No. 2 filed on December 6, 1995, Amendment No. 3 filed on March 5, 1996, Amendment No. 4 filed on April 18, 1996, Amendment No. 5 filed on March 7, 2000 and Amendment No. 6 filed on April 5, 2000,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ectPr>
          <w:pgSz w:w="11900" w:h="16838" w:orient="portrait"/>
          <w:cols w:equalWidth="0" w:num="1">
            <w:col w:w="10340"/>
          </w:cols>
          <w:pgMar w:left="240" w:top="717" w:right="1319" w:bottom="1440" w:gutter="0" w:footer="0" w:header="0"/>
          <w:type w:val="continuous"/>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Paragraph (a) of Item 5 to Schedule 13D is hereby amended and restated in its entirety as follows:</w:t>
      </w:r>
    </w:p>
    <w:p>
      <w:pPr>
        <w:spacing w:after="0" w:line="208" w:lineRule="exact"/>
        <w:rPr>
          <w:sz w:val="20"/>
          <w:szCs w:val="20"/>
          <w:color w:val="auto"/>
        </w:rPr>
      </w:pPr>
    </w:p>
    <w:p>
      <w:pPr>
        <w:ind w:right="177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close of business on March 12, 2001, the Reporting Person beneficially owned 4,916,808 shares of Common Stock. Such shares of Common Stock constitute approximately 14.3% of the 34,279,605 shares of Common Stock outstanding as of March 2, 2001 as reported by the Issuer to the Reporting Person.</w:t>
      </w:r>
    </w:p>
    <w:p>
      <w:pPr>
        <w:spacing w:after="0" w:line="209" w:lineRule="exact"/>
        <w:rPr>
          <w:sz w:val="20"/>
          <w:szCs w:val="20"/>
          <w:color w:val="auto"/>
        </w:rPr>
      </w:pPr>
    </w:p>
    <w:p>
      <w:pPr>
        <w:ind w:left="540" w:right="1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6. CONTRACTS, ARRANGEMENTS, UNDERSTANDINGS OR RELATIONSHIPS WITH RESPECT TO SECURITIES OF THE ISSUER.</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Item 6 to Schedule 13D is hereby amended and supplemented to add the following:</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12, 2001, the Reporting Person and Merrill Lynch &amp; Co., Merrill Lynch, Pierce, Fenner &amp; Smith Incorporated ("Merrill Lynch"), J.P. Morgan Securities Inc. and Robertson Stephens, Inc., as representatives of the underwriters in a proposed public offering (the "Public Offering") of approximately 4,000,000 shares of Common Stock of the Issuer (the "Underwriters"), entered into an agreement (the "ML Lock-up Agreement") pursuant to which the Reporting Person has agreed not to,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Reporting Person or with respect to which the Reporting Person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Common Stock, whether any such swap or transaction is to be settled by delivery of Common Stock or other securities, in cash or otherwise, in each case, during a period of 90 days from the date of the purchase agreement to be entered into by the Underwriters providing for the Public Offering. Notwithstanding anything in the ML Lock-up Agreement to the contrary, the ML Lock-up Agreement does not apply to the sale of up to 500,000 shares of Common Stock by the Reporting Person to the Underwriters pursuant to a purchase agreement to be entered into by the Underwriters and the transactions contemplated thereby.</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March 12, 2001, the Reporting Person and the Issuer entered into an agreement (the "Regeneron Lock-up Agreement") pursuant to which the Reporting Person has agreed not to, from March 12, 2001 through March 31, 2002, without the prior written consent of the Issuer, directly or indirectly, (x)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Reporting Person or with respect to which the Reporting Person has or hereafter acquires the power of disposition, or file any registration statement under the Securities Act of 1933, as amended, with respect to any of the foregoing or (y) enter into any swap or any other agreement or any transaction that transfers, in whole or in part, directly or indirectly, the economic consequence of ownership of Common Stock, whether any such swap or transaction is to be settled by delivery of Common Stock or other securities, in cash or otherwise (each of the foregoing collectively referred to as a "Disposition"). Notwithstanding the foregoing, between March 12, 2001 and March 31, 2002, the Reporting Person may, but is not required to, engage in any Disposition of up to 1,000,000 shares of Common Stock as follows: (i) up to 500,000 shares of Common Stock pursuant to the Public Offering, (ii) during the period from October 1, 2001 (or the closing of the Public Offering if less than 400,000 shares are sold by the Reporting Person pursuant to the Public Offering) through March 31, 2002, up to 1,000,000 shares of Common Stock less the number of shares of Common Stock disposed of by the Reporting Person under (i) and (iii), if any, and (iii) up to 1,000,000 shares of Common Stock less any amounts disposed of under (i) and (ii), if any, pursuant to the exercise of "piggyback" registration rights under the Class D Convertible Preferred Stock Purchase Agreement dated as of August 31, 1990 by and between the Issuer and the Reporting Person or the Registration Rights Agreement dated as of April 15, 1996 by and between the Issuer and the Reporting Person (collectively, the "Registration Rights Agreements"). The Issuer has agreed that the Disposition of any shares of Common Stock pursuant to (iii) included in a public offering will be included at the Reporting Person's option and in the amount specified by the Reporting Person (subject to the limitations</w:t>
      </w:r>
    </w:p>
    <w:p>
      <w:pPr>
        <w:sectPr>
          <w:pgSz w:w="11900" w:h="16838" w:orient="portrait"/>
          <w:cols w:equalWidth="0" w:num="1">
            <w:col w:w="10219"/>
          </w:cols>
          <w:pgMar w:left="240" w:top="717" w:right="1440" w:bottom="161"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contained in the Regeneron Lock-up Agreement), will not be included in the underwriter's overallotment option, and will not be reduced pursuant to any underwriter's cutback provided for in the Registration Rights Agreements in an amount equal to the lesser of (a) 500,000 shares or (b) the maximum number of shares eligible for sale by the Reporting Person pursuant to (iii). Furthermore, the Reporting Person and the Issuer have agreed that if the number of shares of Common Stock included in any public offering referred to in (iii) is subsequently reduced based on market conditions after a good faith effort by the Issuer to sell shares in the public offering, such reduction will be borne by both the Issuer and the Reporting Person on a pro rata basis.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Issuer and the Reporting Person have acknowledged that the Issuer is selling 3,500,000 shares of Common Stock pursuant to the Public Offering and that the Reporting Person is selling 500,000 shares of Common Stock in the Public Offering. If the Public Offering is cut back or otherwise reduced, any such cut back or reduction will be borne by both the Issuer and the Reporting Person on a pro rata basis, provided that the first 800,000 shares sold in the Public Offering will be shared equally (i.e., on a one-to-one basis) between the Issuer and the Reporting Person. The Company will be responsible for determining the price of the shares to be sold in the Public Offering.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anything in the Regeneron Lock-up Agreement to the contrary, the Regeneron Lock-up Agreement will terminate and be of no further force and effect if the Reporting Person has not sold at least 400,000 shares of Common Stock pursuant to the Public Offering by April 30, 2001 for any reason other than the Reporting Person's refusal to sell its shares in a Public Offering of at least 800,000 shares of Common Stock.</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Issuer and the Reporting Person have acknowledged and agreed that shares of Common Stock sold by the Reporting Person pursuant to the Public Offering are being sold pursuant to the piggyback registration rights provided for in the Registration Rights Agreements and that, without limiting the foregoing, the Reporting Person will be entitled to the benefits thereof, including, without limitation, the expense reimbursement and indemnification provisions. The Reporting Person has agreed that from March 12, 2001 through March 31, 2002, it will not exercise any demand registration rights under the Registration Rights Agreements.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7 to Schedule 13D is hereby amended and supplemented as follows:</w:t>
      </w:r>
    </w:p>
    <w:p>
      <w:pPr>
        <w:spacing w:after="0" w:line="207" w:lineRule="exact"/>
        <w:rPr>
          <w:sz w:val="20"/>
          <w:szCs w:val="20"/>
          <w:color w:val="auto"/>
        </w:rPr>
      </w:pPr>
    </w:p>
    <w:p>
      <w:pPr>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8"/>
          <w:szCs w:val="18"/>
          <w:color w:val="auto"/>
        </w:rPr>
        <w:t>ML Lock-up Agreement, dated March 12, 2001, by and among the Issuer, the Reporting Person, Merrill Lynch &amp; Co., Merrill Lynch, Pierce, Fenner &amp; Smith Incorporated, J.P. Morgan Securities Inc. and Robertson Stephens, Inc.</w:t>
      </w:r>
    </w:p>
    <w:p>
      <w:pPr>
        <w:spacing w:after="0" w:line="207" w:lineRule="exact"/>
        <w:rPr>
          <w:sz w:val="20"/>
          <w:szCs w:val="20"/>
          <w:color w:val="auto"/>
        </w:rPr>
      </w:pPr>
    </w:p>
    <w:p>
      <w:pPr>
        <w:ind w:left="1280" w:right="20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8"/>
          <w:szCs w:val="18"/>
          <w:color w:val="auto"/>
        </w:rPr>
        <w:t>Regeneron Lock-up Agreement, dated March 12, 2001, by and between the Issuer and the Reporting Person.</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Kathryn E. Falberg</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Kathryn E. Falberg</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ind w:left="5280"/>
        <w:spacing w:after="0"/>
        <w:rPr>
          <w:sz w:val="20"/>
          <w:szCs w:val="20"/>
          <w:color w:val="auto"/>
        </w:rPr>
      </w:pPr>
      <w:r>
        <w:rPr>
          <w:rFonts w:ascii="Courier New" w:cs="Courier New" w:eastAsia="Courier New" w:hAnsi="Courier New"/>
          <w:sz w:val="18"/>
          <w:szCs w:val="18"/>
          <w:color w:val="auto"/>
        </w:rPr>
        <w:t>Finance and Corporate</w:t>
      </w:r>
    </w:p>
    <w:p>
      <w:pPr>
        <w:ind w:left="5280"/>
        <w:spacing w:after="0" w:line="237" w:lineRule="auto"/>
        <w:rPr>
          <w:sz w:val="20"/>
          <w:szCs w:val="20"/>
          <w:color w:val="auto"/>
        </w:rPr>
      </w:pPr>
      <w:r>
        <w:rPr>
          <w:rFonts w:ascii="Courier New" w:cs="Courier New" w:eastAsia="Courier New" w:hAnsi="Courier New"/>
          <w:sz w:val="18"/>
          <w:szCs w:val="18"/>
          <w:color w:val="auto"/>
        </w:rPr>
        <w:t>Development, and Chief</w:t>
      </w:r>
    </w:p>
    <w:p>
      <w:pPr>
        <w:ind w:left="528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12, 2001</w:t>
      </w:r>
    </w:p>
    <w:p>
      <w:pPr>
        <w:sectPr>
          <w:pgSz w:w="11900" w:h="16838" w:orient="portrait"/>
          <w:cols w:equalWidth="0" w:num="1">
            <w:col w:w="10219"/>
          </w:cols>
          <w:pgMar w:left="240" w:top="717"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7.9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March 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w:t>
      </w:r>
    </w:p>
    <w:p>
      <w:pPr>
        <w:ind w:left="96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J.P. MORGAN SECURITIES INC.</w:t>
      </w:r>
    </w:p>
    <w:p>
      <w:pPr>
        <w:spacing w:after="0" w:line="238" w:lineRule="auto"/>
        <w:rPr>
          <w:sz w:val="20"/>
          <w:szCs w:val="20"/>
          <w:color w:val="auto"/>
        </w:rPr>
      </w:pPr>
      <w:r>
        <w:rPr>
          <w:rFonts w:ascii="Courier New" w:cs="Courier New" w:eastAsia="Courier New" w:hAnsi="Courier New"/>
          <w:sz w:val="18"/>
          <w:szCs w:val="18"/>
          <w:color w:val="auto"/>
        </w:rPr>
        <w:t>ROBERTSON STEPHENS, INC.</w:t>
      </w:r>
    </w:p>
    <w:p>
      <w:pPr>
        <w:ind w:left="120"/>
        <w:spacing w:after="0"/>
        <w:rPr>
          <w:sz w:val="20"/>
          <w:szCs w:val="20"/>
          <w:color w:val="auto"/>
        </w:rPr>
      </w:pPr>
      <w:r>
        <w:rPr>
          <w:rFonts w:ascii="Courier New" w:cs="Courier New" w:eastAsia="Courier New" w:hAnsi="Courier New"/>
          <w:sz w:val="18"/>
          <w:szCs w:val="18"/>
          <w:color w:val="auto"/>
        </w:rPr>
        <w:t>as Representative(s) of the several</w:t>
      </w:r>
    </w:p>
    <w:p>
      <w:pPr>
        <w:ind w:left="120"/>
        <w:spacing w:after="0" w:line="237" w:lineRule="auto"/>
        <w:rPr>
          <w:sz w:val="20"/>
          <w:szCs w:val="20"/>
          <w:color w:val="auto"/>
        </w:rPr>
      </w:pPr>
      <w:r>
        <w:rPr>
          <w:rFonts w:ascii="Courier New" w:cs="Courier New" w:eastAsia="Courier New" w:hAnsi="Courier New"/>
          <w:sz w:val="18"/>
          <w:szCs w:val="18"/>
          <w:color w:val="auto"/>
        </w:rPr>
        <w:t>Underwriters to be named in the</w:t>
      </w:r>
    </w:p>
    <w:p>
      <w:pPr>
        <w:ind w:left="120"/>
        <w:spacing w:after="0"/>
        <w:rPr>
          <w:sz w:val="20"/>
          <w:szCs w:val="20"/>
          <w:color w:val="auto"/>
        </w:rPr>
      </w:pPr>
      <w:r>
        <w:rPr>
          <w:rFonts w:ascii="Courier New" w:cs="Courier New" w:eastAsia="Courier New" w:hAnsi="Courier New"/>
          <w:sz w:val="18"/>
          <w:szCs w:val="18"/>
          <w:color w:val="auto"/>
        </w:rPr>
        <w:t>within-mentioned Purchase Agreement</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c/o</w:t>
        <w:tab/>
        <w:t>Merrill Lynch &amp; Co.</w:t>
      </w:r>
    </w:p>
    <w:p>
      <w:pPr>
        <w:ind w:left="540"/>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7" w:lineRule="auto"/>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North Tower</w:t>
      </w:r>
    </w:p>
    <w:p>
      <w:pPr>
        <w:spacing w:after="0"/>
        <w:rPr>
          <w:sz w:val="20"/>
          <w:szCs w:val="20"/>
          <w:color w:val="auto"/>
        </w:rPr>
      </w:pPr>
      <w:r>
        <w:rPr>
          <w:rFonts w:ascii="Courier New" w:cs="Courier New" w:eastAsia="Courier New" w:hAnsi="Courier New"/>
          <w:sz w:val="18"/>
          <w:szCs w:val="18"/>
          <w:color w:val="auto"/>
        </w:rPr>
        <w:t>World Financial Center</w:t>
      </w:r>
    </w:p>
    <w:p>
      <w:pPr>
        <w:spacing w:after="0" w:line="237" w:lineRule="auto"/>
        <w:rPr>
          <w:sz w:val="20"/>
          <w:szCs w:val="20"/>
          <w:color w:val="auto"/>
        </w:rPr>
      </w:pPr>
      <w:r>
        <w:rPr>
          <w:rFonts w:ascii="Courier New" w:cs="Courier New" w:eastAsia="Courier New" w:hAnsi="Courier New"/>
          <w:sz w:val="18"/>
          <w:szCs w:val="18"/>
          <w:color w:val="auto"/>
        </w:rPr>
        <w:t>New York, New York 10281</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Re:</w:t>
        <w:tab/>
        <w:t>Proposed Public Offering by Regeneron Pharmaceuticals,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The undersigned, a stockholder (the "Stockholder") of Regeneron Pharmaceuticals, Inc., a New York corporation (the "Company"), understands that</w:t>
      </w:r>
    </w:p>
    <w:p>
      <w:pPr>
        <w:ind w:left="54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Merrill Lynch &amp; Co., Merrill Lynch, Pierce, Fenner &amp; Smith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J.P. Morgan Securities Inc., and Robertson Stephens,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 to enter into a Purchase Agreement (the "Purchase Agreement") providing</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for the public offering of shares of the Company's common stock, par value</w:t>
      </w:r>
    </w:p>
    <w:p>
      <w:pPr>
        <w:spacing w:after="0"/>
        <w:tabs>
          <w:tab w:leader="none" w:pos="4200" w:val="left"/>
        </w:tabs>
        <w:rPr>
          <w:sz w:val="20"/>
          <w:szCs w:val="20"/>
          <w:color w:val="auto"/>
        </w:rPr>
      </w:pPr>
      <w:r>
        <w:rPr>
          <w:rFonts w:ascii="Courier New" w:cs="Courier New" w:eastAsia="Courier New" w:hAnsi="Courier New"/>
          <w:sz w:val="18"/>
          <w:szCs w:val="18"/>
          <w:color w:val="auto"/>
        </w:rPr>
        <w:t>$0.001 per share (the "Common Stock").</w:t>
      </w:r>
      <w:r>
        <w:rPr>
          <w:sz w:val="20"/>
          <w:szCs w:val="20"/>
          <w:color w:val="auto"/>
        </w:rPr>
        <w:tab/>
      </w:r>
      <w:r>
        <w:rPr>
          <w:rFonts w:ascii="Courier New" w:cs="Courier New" w:eastAsia="Courier New" w:hAnsi="Courier New"/>
          <w:sz w:val="16"/>
          <w:szCs w:val="16"/>
          <w:color w:val="auto"/>
        </w:rPr>
        <w:t>In recognition of the benefit that such</w:t>
      </w:r>
    </w:p>
    <w:p>
      <w:pPr>
        <w:ind w:left="24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 offering will confer upon the Stockholder as a stockholder of the Company, and for other good and valuable consideration, the receipt and sufficiency of which are hereby acknowledged, the Stockholder agrees with each underwriter to be named in the Purchase Agreement that, during a period of 90 days from the date of the Purchase Agreement, the Stockholder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Stockholder or with respect to which the Stockholder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anything in this agreement to the contrary, this agreement shall not apply to the sale of up to 500,000 shares of Common Stock by the Stockholder to the underwriters pursuant to the Purchase Agreement and the transactions contemplated thereby.</w:t>
      </w:r>
    </w:p>
    <w:p>
      <w:pPr>
        <w:sectPr>
          <w:pgSz w:w="11900" w:h="16838" w:orient="portrait"/>
          <w:cols w:equalWidth="0" w:num="1">
            <w:col w:w="10219"/>
          </w:cols>
          <w:pgMar w:left="240" w:top="339" w:right="1440" w:bottom="1440" w:gutter="0" w:footer="0" w:header="0"/>
        </w:sectPr>
      </w:pPr>
    </w:p>
    <w:bookmarkStart w:id="6" w:name="page7"/>
    <w:bookmarkEnd w:id="6"/>
    <w:p>
      <w:pPr>
        <w:ind w:right="1779" w:firstLine="1053"/>
        <w:spacing w:after="0" w:line="237" w:lineRule="auto"/>
        <w:rPr>
          <w:sz w:val="20"/>
          <w:szCs w:val="20"/>
          <w:color w:val="auto"/>
        </w:rPr>
      </w:pPr>
      <w:r>
        <w:rPr>
          <w:rFonts w:ascii="Courier New" w:cs="Courier New" w:eastAsia="Courier New" w:hAnsi="Courier New"/>
          <w:sz w:val="18"/>
          <w:szCs w:val="18"/>
          <w:color w:val="auto"/>
        </w:rPr>
        <w:t>Merrill Lynch shall notify the Stockholder within one business day after the date the Purchase Agreement is signed by Merrill Lynch. Furthermore, it is agreed that Merrill Lynch will not grant a waiver of any of the restrictions set forth above to any other stockholder or any officer or director of the Company without offering the same waiver to the Stockholder; provided that this restriction shall not apply to any waiver for any officer or director for a maximum sale of up to 50,000 shares.</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Kathryn E. Falberg</w:t>
      </w:r>
    </w:p>
    <w:p>
      <w:pPr>
        <w:ind w:left="3800"/>
        <w:spacing w:after="0" w:line="238" w:lineRule="auto"/>
        <w:rPr>
          <w:sz w:val="20"/>
          <w:szCs w:val="20"/>
          <w:color w:val="auto"/>
        </w:rPr>
      </w:pPr>
      <w:r>
        <w:rPr>
          <w:rFonts w:ascii="Courier New" w:cs="Courier New" w:eastAsia="Courier New" w:hAnsi="Courier New"/>
          <w:sz w:val="18"/>
          <w:szCs w:val="18"/>
          <w:color w:val="auto"/>
        </w:rPr>
        <w:t>By: _____________________________</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Kathryn E. Falberg</w:t>
      </w:r>
    </w:p>
    <w:p>
      <w:pPr>
        <w:ind w:left="422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4960"/>
        <w:spacing w:after="0" w:line="238" w:lineRule="auto"/>
        <w:rPr>
          <w:sz w:val="20"/>
          <w:szCs w:val="20"/>
          <w:color w:val="auto"/>
        </w:rPr>
      </w:pPr>
      <w:r>
        <w:rPr>
          <w:rFonts w:ascii="Courier New" w:cs="Courier New" w:eastAsia="Courier New" w:hAnsi="Courier New"/>
          <w:sz w:val="18"/>
          <w:szCs w:val="18"/>
          <w:color w:val="auto"/>
        </w:rPr>
        <w:t>Finance and Corporate</w:t>
      </w:r>
    </w:p>
    <w:p>
      <w:pPr>
        <w:ind w:left="4960"/>
        <w:spacing w:after="0"/>
        <w:rPr>
          <w:sz w:val="20"/>
          <w:szCs w:val="20"/>
          <w:color w:val="auto"/>
        </w:rPr>
      </w:pPr>
      <w:r>
        <w:rPr>
          <w:rFonts w:ascii="Courier New" w:cs="Courier New" w:eastAsia="Courier New" w:hAnsi="Courier New"/>
          <w:sz w:val="18"/>
          <w:szCs w:val="18"/>
          <w:color w:val="auto"/>
        </w:rPr>
        <w:t>Development, and Chief</w:t>
      </w:r>
    </w:p>
    <w:p>
      <w:pPr>
        <w:ind w:left="4960"/>
        <w:spacing w:after="0" w:line="237" w:lineRule="auto"/>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1">
            <w:col w:w="10219"/>
          </w:cols>
          <w:pgMar w:left="240" w:top="723"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7.10</w:t>
      </w:r>
    </w:p>
    <w:p>
      <w:pPr>
        <w:spacing w:after="0" w:line="201" w:lineRule="exact"/>
        <w:rPr>
          <w:sz w:val="20"/>
          <w:szCs w:val="20"/>
          <w:color w:val="auto"/>
        </w:rPr>
      </w:pPr>
    </w:p>
    <w:p>
      <w:pPr>
        <w:jc w:val="both"/>
        <w:ind w:left="6860"/>
        <w:spacing w:after="0"/>
        <w:tabs>
          <w:tab w:leader="none" w:pos="7580" w:val="left"/>
        </w:tabs>
        <w:rPr>
          <w:sz w:val="20"/>
          <w:szCs w:val="20"/>
          <w:color w:val="auto"/>
        </w:rPr>
      </w:pPr>
      <w:r>
        <w:rPr>
          <w:rFonts w:ascii="Courier New" w:cs="Courier New" w:eastAsia="Courier New" w:hAnsi="Courier New"/>
          <w:sz w:val="18"/>
          <w:szCs w:val="18"/>
          <w:color w:val="auto"/>
        </w:rPr>
        <w:t>March</w:t>
        <w:tab/>
        <w:t>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tabs>
          <w:tab w:leader="none" w:pos="15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Re:</w:t>
        <w:tab/>
        <w:t>Lock-Up</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a stockholder (the "Stockholder") of Regeneron Pharmaceuticals,</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Inc., a New York corporation (the "Company"), understands that the Company is</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making a public offering (the "Public Offering") of its common stock, par value</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tabs>
          <w:tab w:leader="none" w:pos="4200" w:val="left"/>
        </w:tabs>
        <w:rPr>
          <w:sz w:val="20"/>
          <w:szCs w:val="20"/>
          <w:color w:val="auto"/>
        </w:rPr>
      </w:pPr>
      <w:r>
        <w:rPr>
          <w:rFonts w:ascii="Courier New" w:cs="Courier New" w:eastAsia="Courier New" w:hAnsi="Courier New"/>
          <w:sz w:val="18"/>
          <w:szCs w:val="18"/>
          <w:color w:val="auto"/>
        </w:rPr>
        <w:t>$0.001 per share (the "Common Stock").</w:t>
      </w:r>
      <w:r>
        <w:rPr>
          <w:sz w:val="20"/>
          <w:szCs w:val="20"/>
          <w:color w:val="auto"/>
        </w:rPr>
        <w:tab/>
      </w:r>
      <w:r>
        <w:rPr>
          <w:rFonts w:ascii="Courier New" w:cs="Courier New" w:eastAsia="Courier New" w:hAnsi="Courier New"/>
          <w:sz w:val="16"/>
          <w:szCs w:val="16"/>
          <w:color w:val="auto"/>
        </w:rPr>
        <w:t>In recognition of the benefit that the</w:t>
      </w:r>
    </w:p>
    <w:p>
      <w:pPr>
        <w:ind w:left="2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Public Offering will confer upon the Stockholder as a stockholder of the Company, and for other good and valuable consideration, the receipt and sufficiency of which are hereby acknowledged, subject to the terms of this Agreement, the Stockholder agrees with the Company that, from the date hereof through March 31, 2002, the Stockholder will not, without the prior written consent of the Company, directly or indirectly, (x) offer, pledge, sell, contract to sell, sell any option or contract to purchase, purchase any option or contract to sell, grant any option, right or warrant for the sale of, or otherwise dispose of or transfer any shares of the Common Stock or any securities convertible into or exchangeable or exercisable for Common Stock, whether now owned or hereafter acquired by the Stockholder or with respect to which the Stockholder has or hereafter acquires the power of disposition, or file any registration statement under the Securities Act of 1933, as amended, with respect to any of the foregoing or (y)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 (each of the foregoing collectively referred to as a "Disposition"). Notwithstanding the foregoing, between the date hereof and March 31, 2002, the Stockholder may, but is not required to, engage in any Disposition of up to 1,000,000 shares of Common Stock as follows:</w:t>
      </w:r>
    </w:p>
    <w:p>
      <w:pPr>
        <w:spacing w:after="0" w:line="191" w:lineRule="exact"/>
        <w:rPr>
          <w:sz w:val="20"/>
          <w:szCs w:val="20"/>
          <w:color w:val="auto"/>
        </w:rPr>
      </w:pPr>
    </w:p>
    <w:p>
      <w:pPr>
        <w:ind w:right="177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 to 500,000 shares of Common Stock pursuant to the Public Offering, (ii) during the period from October 1, 2001 (or the closing of the Public Offering if less than 400,000 shares are sold by the Stockholder pursuant to the Public Offering) through March 31, 2002, up to 1,000,000 shares of Common Stock less the number of shares of Common Stock disposed of by the Stockholder under (i) and (iii), if any, and (iii) up to 1,000,000 shares of Common Stock less any amounts disposed of under (i) and (ii), if any, pursuant to the exercise of "piggyback" registration rights under the Class D Convertible Preferred Stock Purchase Agreement dated as of August 31, 1990 by and among the Company and the Stockholder or the Registration Rights Agreement dated as of April 15, 1996 by and between the Company and the Stockholder (collectively the "Registration Rights Agreements"). The Company agrees that the Disposition of any shares of Common Stock pursuant to (iii)</w:t>
      </w:r>
    </w:p>
    <w:p>
      <w:pPr>
        <w:sectPr>
          <w:pgSz w:w="11900" w:h="16838" w:orient="portrait"/>
          <w:cols w:equalWidth="0" w:num="1">
            <w:col w:w="10219"/>
          </w:cols>
          <w:pgMar w:left="240" w:top="339" w:right="1440" w:bottom="1440" w:gutter="0" w:footer="0" w:header="0"/>
        </w:sectPr>
      </w:pPr>
    </w:p>
    <w:bookmarkStart w:id="8" w:name="page9"/>
    <w:bookmarkEnd w:id="8"/>
    <w:p>
      <w:pPr>
        <w:ind w:right="1779"/>
        <w:spacing w:after="0" w:line="268" w:lineRule="auto"/>
        <w:rPr>
          <w:sz w:val="20"/>
          <w:szCs w:val="20"/>
          <w:color w:val="auto"/>
        </w:rPr>
      </w:pPr>
      <w:r>
        <w:rPr>
          <w:rFonts w:ascii="Courier New" w:cs="Courier New" w:eastAsia="Courier New" w:hAnsi="Courier New"/>
          <w:sz w:val="16"/>
          <w:szCs w:val="16"/>
          <w:color w:val="auto"/>
        </w:rPr>
        <w:t>included in a public offering shall be included at the Stockholder's option and in the amount specified by the Stockholder (subject to the limitations contained in this Agreement), shall not be included in the underwriter's overallotment option, and shall not be reduced pursuant to any underwriter's cutback provided for in the Registration Rights Agreements to an amount equal to the lesser of</w:t>
      </w:r>
    </w:p>
    <w:p>
      <w:pPr>
        <w:spacing w:after="0" w:line="1" w:lineRule="exact"/>
        <w:rPr>
          <w:sz w:val="20"/>
          <w:szCs w:val="20"/>
          <w:color w:val="auto"/>
        </w:rPr>
      </w:pPr>
    </w:p>
    <w:p>
      <w:pPr>
        <w:ind w:right="177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 shares or (b) the maximum number of shares eligible for sale by the Stockholder pursuant to (iii). Furthermore, the Stockholder and the Company agree that if the number of shares of Common Stock included in any public offering referred to in (iii) is subsequently reduced based on market conditions after a good faith effort by the Company to sell shares in the public offering, such reduction shall be borne by both the Company and the Stockholder on a pro rata basis.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the Stockholder acknowledge that the Company is selling 3,500,00 shares of Common Stock pursuant to the Public Offering and that the Stockholder is selling 500,000 shares of Common Stock in the Public Offering. If the Public Offering is cut back or otherwise reduced, any such cut back or reduction shall be borne by both the Company and the Stockholder on pro rata basis, provided that the first 800,000 shares sold in the Public Offering shall be shared equally (i.e. on a one-to-one basis) between the Company and the Stockholder. The Company shall be responsible for determining the price of the shares to be sold in the Public Offering.</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Notwithstanding anything in this Agreement to the contrary, this Agreement shall terminate and be of no further force and effect if the Stockholder has not sold at least 400,000 shares of Common Stock pursuant to the Public Offering by April 30, 2001 for any reason other than the Stockholder's refusal to sell its shares in a Public Offering of at least 800,000 shares of Common Stock.</w:t>
      </w:r>
    </w:p>
    <w:p>
      <w:pPr>
        <w:spacing w:after="0" w:line="18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Company and the Stockholder acknowledge and agree that shares of Common Stock sold by the Stockholder pursuant to the Public Offering are being sold pursuant to the piggyback registration rights provided for in the Registration Rights Agreements and that, without limiting the foregoing, the Stockholder shall be entitled to the benefits thereof, including, without limitation, the expense reimbursement and indemnification provisions. The Company hereby further agrees that this Agreement shall supercede the waiver letter, dated March 6, 2001, from the Stockholder to the Company in which the Stockholder waived certain rights under the Registration Rights Agreements and that such waiver letter is null and void.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Finally, the Stockholder agrees that from the date hereof through March 31, 2002, it will not exercise any demand registration rights under the Registration Rights Agreements.</w:t>
      </w:r>
    </w:p>
    <w:p>
      <w:pPr>
        <w:sectPr>
          <w:pgSz w:w="11900" w:h="16838" w:orient="portrait"/>
          <w:cols w:equalWidth="0" w:num="1">
            <w:col w:w="10219"/>
          </w:cols>
          <w:pgMar w:left="240" w:top="723" w:right="1440" w:bottom="1440"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Kathryn E. Falberg</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Kathryn E. Falberg</w:t>
      </w:r>
    </w:p>
    <w:p>
      <w:pPr>
        <w:ind w:left="422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4960"/>
        <w:spacing w:after="0"/>
        <w:rPr>
          <w:sz w:val="20"/>
          <w:szCs w:val="20"/>
          <w:color w:val="auto"/>
        </w:rPr>
      </w:pPr>
      <w:r>
        <w:rPr>
          <w:rFonts w:ascii="Courier New" w:cs="Courier New" w:eastAsia="Courier New" w:hAnsi="Courier New"/>
          <w:sz w:val="18"/>
          <w:szCs w:val="18"/>
          <w:color w:val="auto"/>
        </w:rPr>
        <w:t>Finance and Corporate</w:t>
      </w:r>
    </w:p>
    <w:p>
      <w:pPr>
        <w:ind w:left="4960"/>
        <w:spacing w:after="0" w:line="237" w:lineRule="auto"/>
        <w:rPr>
          <w:sz w:val="20"/>
          <w:szCs w:val="20"/>
          <w:color w:val="auto"/>
        </w:rPr>
      </w:pPr>
      <w:r>
        <w:rPr>
          <w:rFonts w:ascii="Courier New" w:cs="Courier New" w:eastAsia="Courier New" w:hAnsi="Courier New"/>
          <w:sz w:val="18"/>
          <w:szCs w:val="18"/>
          <w:color w:val="auto"/>
        </w:rPr>
        <w:t>Development, and Chief</w:t>
      </w:r>
    </w:p>
    <w:p>
      <w:pPr>
        <w:ind w:left="496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 as of the date written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Kolinski</w:t>
      </w:r>
    </w:p>
    <w:p>
      <w:pPr>
        <w:ind w:left="42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420"/>
        <w:spacing w:after="0"/>
        <w:rPr>
          <w:sz w:val="20"/>
          <w:szCs w:val="20"/>
          <w:color w:val="auto"/>
        </w:rPr>
      </w:pPr>
      <w:r>
        <w:rPr>
          <w:rFonts w:ascii="Courier New" w:cs="Courier New" w:eastAsia="Courier New" w:hAnsi="Courier New"/>
          <w:sz w:val="18"/>
          <w:szCs w:val="18"/>
          <w:color w:val="auto"/>
        </w:rPr>
        <w:t>Name: Stuart Kolinski</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 and</w:t>
      </w:r>
    </w:p>
    <w:p>
      <w:pPr>
        <w:ind w:left="1160"/>
        <w:spacing w:after="0" w:line="238" w:lineRule="auto"/>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
      <w:numFmt w:val="bullet"/>
      <w:start w:val="1"/>
    </w:lvl>
    <w:lvl w:ilvl="1">
      <w:lvlJc w:val="left"/>
      <w:lvlText w:val="%2."/>
      <w:numFmt w:val="decimal"/>
      <w:start w:val="10"/>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1."/>
      <w:numFmt w:val="decimal"/>
      <w:start w:val="14"/>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2019-12-19T23:58:23Z</dcterms:created>
  <dcterms:modified xsi:type="dcterms:W3CDTF">2019-12-19T23:58:23Z</dcterms:modified>
</cp:coreProperties>
</file>