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0"/>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5"/>
          <w:szCs w:val="15"/>
          <w:color w:val="auto"/>
        </w:rPr>
        <w:t>UNITED STATES</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jc w:val="center"/>
        <w:ind w:right="3130"/>
        <w:spacing w:after="0"/>
        <w:rPr>
          <w:sz w:val="20"/>
          <w:szCs w:val="20"/>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Form 10-Q</w:t>
      </w:r>
    </w:p>
    <w:p>
      <w:pPr>
        <w:spacing w:after="0" w:line="171"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(Mark One)</w:t>
      </w:r>
    </w:p>
    <w:p>
      <w:pPr>
        <w:spacing w:after="0" w:line="3" w:lineRule="exact"/>
        <w:rPr>
          <w:sz w:val="24"/>
          <w:szCs w:val="24"/>
          <w:color w:val="auto"/>
        </w:rPr>
      </w:pPr>
    </w:p>
    <w:p>
      <w:pPr>
        <w:ind w:left="789" w:right="3579" w:hanging="789"/>
        <w:spacing w:after="0" w:line="238" w:lineRule="auto"/>
        <w:tabs>
          <w:tab w:leader="none" w:pos="78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72"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quarterly period ended March  31, 1997</w:t>
      </w:r>
    </w:p>
    <w:p>
      <w:pPr>
        <w:spacing w:after="0" w:line="1" w:lineRule="exact"/>
        <w:rPr>
          <w:sz w:val="24"/>
          <w:szCs w:val="24"/>
          <w:color w:val="auto"/>
        </w:rPr>
      </w:pPr>
    </w:p>
    <w:p>
      <w:pPr>
        <w:ind w:left="35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OR</w:t>
      </w:r>
    </w:p>
    <w:p>
      <w:pPr>
        <w:spacing w:after="0" w:line="174" w:lineRule="exact"/>
        <w:rPr>
          <w:sz w:val="24"/>
          <w:szCs w:val="24"/>
          <w:color w:val="auto"/>
        </w:rPr>
      </w:pPr>
    </w:p>
    <w:p>
      <w:pPr>
        <w:ind w:left="789" w:right="3399" w:hanging="789"/>
        <w:spacing w:after="0" w:line="238" w:lineRule="auto"/>
        <w:tabs>
          <w:tab w:leader="none" w:pos="16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pacing w:after="0" w:line="172"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For the transition period from _____________ to _____________</w:t>
      </w:r>
    </w:p>
    <w:p>
      <w:pPr>
        <w:spacing w:after="0" w:line="171" w:lineRule="exact"/>
        <w:rPr>
          <w:sz w:val="24"/>
          <w:szCs w:val="24"/>
          <w:color w:val="auto"/>
        </w:rPr>
      </w:pPr>
    </w:p>
    <w:p>
      <w:pPr>
        <w:ind w:left="789"/>
        <w:spacing w:after="0"/>
        <w:rPr>
          <w:sz w:val="20"/>
          <w:szCs w:val="20"/>
          <w:color w:val="auto"/>
        </w:rPr>
      </w:pPr>
      <w:r>
        <w:rPr>
          <w:rFonts w:ascii="Courier New" w:cs="Courier New" w:eastAsia="Courier New" w:hAnsi="Courier New"/>
          <w:sz w:val="15"/>
          <w:szCs w:val="15"/>
          <w:color w:val="auto"/>
        </w:rPr>
        <w:t>Commission File Number 0-19034</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230"/>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719" w:right="1440" w:bottom="1440" w:gutter="0" w:footer="0" w:header="0"/>
        </w:sectPr>
      </w:pPr>
    </w:p>
    <w:p>
      <w:pPr>
        <w:spacing w:after="0" w:line="17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New York</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(State or other jurisdiction of</w:t>
      </w:r>
    </w:p>
    <w:p>
      <w:pPr>
        <w:spacing w:after="0" w:line="1" w:lineRule="exact"/>
        <w:rPr>
          <w:sz w:val="24"/>
          <w:szCs w:val="24"/>
          <w:color w:val="auto"/>
        </w:rPr>
      </w:pPr>
    </w:p>
    <w:p>
      <w:pPr>
        <w:ind w:left="89"/>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1240"/>
        <w:spacing w:after="0"/>
        <w:rPr>
          <w:sz w:val="20"/>
          <w:szCs w:val="20"/>
          <w:color w:val="auto"/>
        </w:rPr>
      </w:pPr>
      <w:r>
        <w:rPr>
          <w:rFonts w:ascii="Courier New" w:cs="Courier New" w:eastAsia="Courier New" w:hAnsi="Courier New"/>
          <w:sz w:val="15"/>
          <w:szCs w:val="15"/>
          <w:color w:val="auto"/>
        </w:rPr>
        <w:t>13-3444607</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No.)</w:t>
      </w:r>
    </w:p>
    <w:p>
      <w:pPr>
        <w:spacing w:after="0" w:line="341" w:lineRule="exact"/>
        <w:rPr>
          <w:sz w:val="24"/>
          <w:szCs w:val="24"/>
          <w:color w:val="auto"/>
        </w:rPr>
      </w:pPr>
    </w:p>
    <w:p>
      <w:pPr>
        <w:sectPr>
          <w:pgSz w:w="11900" w:h="16838" w:orient="portrait"/>
          <w:cols w:equalWidth="0" w:num="2">
            <w:col w:w="3089" w:space="720"/>
            <w:col w:w="6419"/>
          </w:cols>
          <w:pgMar w:left="231" w:top="719" w:right="1440" w:bottom="1440" w:gutter="0" w:footer="0" w:header="0"/>
          <w:type w:val="continuous"/>
        </w:sectPr>
      </w:pPr>
    </w:p>
    <w:p>
      <w:pPr>
        <w:ind w:left="529"/>
        <w:spacing w:after="0"/>
        <w:rPr>
          <w:sz w:val="20"/>
          <w:szCs w:val="20"/>
          <w:color w:val="auto"/>
        </w:rPr>
      </w:pPr>
      <w:r>
        <w:rPr>
          <w:rFonts w:ascii="Courier New" w:cs="Courier New" w:eastAsia="Courier New" w:hAnsi="Courier New"/>
          <w:sz w:val="15"/>
          <w:szCs w:val="15"/>
          <w:color w:val="auto"/>
        </w:rPr>
        <w:t>777 Old Saw Mill River Road</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Tarrytown, New York</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10591-6707</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171" w:lineRule="exact"/>
        <w:rPr>
          <w:sz w:val="24"/>
          <w:szCs w:val="24"/>
          <w:color w:val="auto"/>
        </w:rPr>
      </w:pPr>
    </w:p>
    <w:p>
      <w:pPr>
        <w:sectPr>
          <w:pgSz w:w="11900" w:h="16838" w:orient="portrait"/>
          <w:cols w:equalWidth="0" w:num="2">
            <w:col w:w="4329" w:space="720"/>
            <w:col w:w="5179"/>
          </w:cols>
          <w:pgMar w:left="231" w:top="719" w:right="1440" w:bottom="1440" w:gutter="0" w:footer="0" w:header="0"/>
          <w:type w:val="continuous"/>
        </w:sectPr>
      </w:pPr>
    </w:p>
    <w:p>
      <w:pPr>
        <w:jc w:val="center"/>
        <w:ind w:right="3130"/>
        <w:spacing w:after="0"/>
        <w:rPr>
          <w:sz w:val="20"/>
          <w:szCs w:val="20"/>
          <w:color w:val="auto"/>
        </w:rPr>
      </w:pPr>
      <w:r>
        <w:rPr>
          <w:rFonts w:ascii="Courier New" w:cs="Courier New" w:eastAsia="Courier New" w:hAnsi="Courier New"/>
          <w:sz w:val="15"/>
          <w:szCs w:val="15"/>
          <w:color w:val="auto"/>
        </w:rPr>
        <w:t>(914) 347-7000</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1249"/>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45" w:lineRule="exact"/>
        <w:rPr>
          <w:sz w:val="24"/>
          <w:szCs w:val="24"/>
          <w:color w:val="auto"/>
        </w:rPr>
      </w:pPr>
    </w:p>
    <w:p>
      <w:pPr>
        <w:ind w:left="9" w:right="3219"/>
        <w:spacing w:after="0"/>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28"/>
          </w:cols>
          <w:pgMar w:left="231" w:top="719" w:right="1440" w:bottom="1440" w:gutter="0" w:footer="0" w:header="0"/>
          <w:type w:val="continuous"/>
        </w:sectPr>
      </w:pPr>
    </w:p>
    <w:p>
      <w:pPr>
        <w:spacing w:after="0" w:line="174" w:lineRule="exact"/>
        <w:rPr>
          <w:sz w:val="24"/>
          <w:szCs w:val="24"/>
          <w:color w:val="auto"/>
        </w:rPr>
      </w:pPr>
    </w:p>
    <w:p>
      <w:pPr>
        <w:ind w:left="2669"/>
        <w:spacing w:after="0"/>
        <w:rPr>
          <w:sz w:val="20"/>
          <w:szCs w:val="20"/>
          <w:color w:val="auto"/>
        </w:rPr>
      </w:pPr>
      <w:r>
        <w:rPr>
          <w:rFonts w:ascii="Courier New" w:cs="Courier New" w:eastAsia="Courier New" w:hAnsi="Courier New"/>
          <w:sz w:val="14"/>
          <w:szCs w:val="14"/>
          <w:color w:val="auto"/>
        </w:rPr>
        <w:t>Yes</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1" w:lineRule="exact"/>
        <w:rPr>
          <w:sz w:val="24"/>
          <w:szCs w:val="24"/>
          <w:color w:val="auto"/>
        </w:rPr>
      </w:pPr>
    </w:p>
    <w:p>
      <w:pPr>
        <w:sectPr>
          <w:pgSz w:w="11900" w:h="16838" w:orient="portrait"/>
          <w:cols w:equalWidth="0" w:num="3">
            <w:col w:w="2929" w:space="260"/>
            <w:col w:w="100" w:space="620"/>
            <w:col w:w="6319"/>
          </w:cols>
          <w:pgMar w:left="231" w:top="719" w:right="1440" w:bottom="1440" w:gutter="0" w:footer="0" w:header="0"/>
          <w:type w:val="continuous"/>
        </w:sectPr>
      </w:pPr>
    </w:p>
    <w:p>
      <w:pPr>
        <w:ind w:left="3009"/>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82" w:lineRule="exact"/>
        <w:rPr>
          <w:sz w:val="24"/>
          <w:szCs w:val="24"/>
          <w:color w:val="auto"/>
        </w:rPr>
      </w:pPr>
    </w:p>
    <w:p>
      <w:pPr>
        <w:sectPr>
          <w:pgSz w:w="11900" w:h="16838" w:orient="portrait"/>
          <w:cols w:equalWidth="0" w:num="2">
            <w:col w:w="3469" w:space="700"/>
            <w:col w:w="6059"/>
          </w:cols>
          <w:pgMar w:left="231" w:top="719" w:right="1440" w:bottom="1440" w:gutter="0" w:footer="0" w:header="0"/>
          <w:type w:val="continuous"/>
        </w:sectPr>
      </w:pPr>
    </w:p>
    <w:p>
      <w:pPr>
        <w:ind w:left="9" w:right="3479"/>
        <w:spacing w:after="0" w:line="238"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April 30, 1997:</w:t>
      </w:r>
    </w:p>
    <w:p>
      <w:pPr>
        <w:sectPr>
          <w:pgSz w:w="11900" w:h="16838" w:orient="portrait"/>
          <w:cols w:equalWidth="0" w:num="1">
            <w:col w:w="10228"/>
          </w:cols>
          <w:pgMar w:left="231" w:top="719" w:right="1440" w:bottom="1440" w:gutter="0" w:footer="0" w:header="0"/>
          <w:type w:val="continuous"/>
        </w:sectPr>
      </w:pPr>
    </w:p>
    <w:p>
      <w:pPr>
        <w:spacing w:after="0" w:line="343" w:lineRule="exact"/>
        <w:rPr>
          <w:sz w:val="24"/>
          <w:szCs w:val="24"/>
          <w:color w:val="auto"/>
        </w:rPr>
      </w:pPr>
    </w:p>
    <w:p>
      <w:pPr>
        <w:ind w:left="449"/>
        <w:spacing w:after="0"/>
        <w:rPr>
          <w:sz w:val="20"/>
          <w:szCs w:val="20"/>
          <w:color w:val="auto"/>
        </w:rPr>
      </w:pPr>
      <w:r>
        <w:rPr>
          <w:rFonts w:ascii="Courier New" w:cs="Courier New" w:eastAsia="Courier New" w:hAnsi="Courier New"/>
          <w:sz w:val="15"/>
          <w:szCs w:val="15"/>
          <w:color w:val="auto"/>
        </w:rPr>
        <w:t>Class of Common Stock</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Class A Stock, $0.001 par value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Common Stock, $0.001 par value</w:t>
      </w:r>
    </w:p>
    <w:p>
      <w:pPr>
        <w:spacing w:after="0" w:line="20" w:lineRule="exact"/>
        <w:rPr>
          <w:sz w:val="24"/>
          <w:szCs w:val="24"/>
          <w:color w:val="auto"/>
        </w:rPr>
      </w:pPr>
      <w:r>
        <w:rPr>
          <w:sz w:val="24"/>
          <w:szCs w:val="24"/>
          <w:color w:val="auto"/>
        </w:rPr>
        <w:br w:type="column"/>
      </w:r>
    </w:p>
    <w:p>
      <w:pPr>
        <w:spacing w:after="0" w:line="326" w:lineRule="exact"/>
        <w:rPr>
          <w:sz w:val="24"/>
          <w:szCs w:val="24"/>
          <w:color w:val="auto"/>
        </w:rPr>
      </w:pPr>
    </w:p>
    <w:p>
      <w:pPr>
        <w:jc w:val="right"/>
        <w:ind w:right="3659"/>
        <w:spacing w:after="0"/>
        <w:rPr>
          <w:sz w:val="20"/>
          <w:szCs w:val="20"/>
          <w:color w:val="auto"/>
        </w:rPr>
      </w:pPr>
      <w:r>
        <w:rPr>
          <w:rFonts w:ascii="Courier New" w:cs="Courier New" w:eastAsia="Courier New" w:hAnsi="Courier New"/>
          <w:sz w:val="14"/>
          <w:szCs w:val="14"/>
          <w:color w:val="auto"/>
        </w:rPr>
        <w:t>Number of Shares</w:t>
      </w:r>
    </w:p>
    <w:p>
      <w:pPr>
        <w:spacing w:after="0" w:line="9" w:lineRule="exact"/>
        <w:rPr>
          <w:sz w:val="24"/>
          <w:szCs w:val="24"/>
          <w:color w:val="auto"/>
        </w:rPr>
      </w:pPr>
    </w:p>
    <w:p>
      <w:pPr>
        <w:jc w:val="right"/>
        <w:ind w:right="347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jc w:val="right"/>
        <w:ind w:right="3839"/>
        <w:spacing w:after="0"/>
        <w:rPr>
          <w:sz w:val="20"/>
          <w:szCs w:val="20"/>
          <w:color w:val="auto"/>
        </w:rPr>
      </w:pPr>
      <w:r>
        <w:rPr>
          <w:rFonts w:ascii="Courier New" w:cs="Courier New" w:eastAsia="Courier New" w:hAnsi="Courier New"/>
          <w:sz w:val="15"/>
          <w:szCs w:val="15"/>
          <w:color w:val="auto"/>
        </w:rPr>
        <w:t>4,335,824</w:t>
      </w:r>
    </w:p>
    <w:p>
      <w:pPr>
        <w:spacing w:after="0" w:line="1" w:lineRule="exact"/>
        <w:rPr>
          <w:sz w:val="24"/>
          <w:szCs w:val="24"/>
          <w:color w:val="auto"/>
        </w:rPr>
      </w:pPr>
    </w:p>
    <w:p>
      <w:pPr>
        <w:jc w:val="right"/>
        <w:ind w:right="3839"/>
        <w:spacing w:after="0"/>
        <w:rPr>
          <w:sz w:val="20"/>
          <w:szCs w:val="20"/>
          <w:color w:val="auto"/>
        </w:rPr>
      </w:pPr>
      <w:r>
        <w:rPr>
          <w:rFonts w:ascii="Courier New" w:cs="Courier New" w:eastAsia="Courier New" w:hAnsi="Courier New"/>
          <w:sz w:val="15"/>
          <w:szCs w:val="15"/>
          <w:color w:val="auto"/>
        </w:rPr>
        <w:t>22,166,169</w:t>
      </w:r>
    </w:p>
    <w:p>
      <w:pPr>
        <w:spacing w:after="0" w:line="174" w:lineRule="exact"/>
        <w:rPr>
          <w:sz w:val="24"/>
          <w:szCs w:val="24"/>
          <w:color w:val="auto"/>
        </w:rPr>
      </w:pPr>
    </w:p>
    <w:p>
      <w:pPr>
        <w:sectPr>
          <w:pgSz w:w="11900" w:h="16838" w:orient="portrait"/>
          <w:cols w:equalWidth="0" w:num="2">
            <w:col w:w="4429" w:space="720"/>
            <w:col w:w="5079"/>
          </w:cols>
          <w:pgMar w:left="231" w:top="719" w:right="1440" w:bottom="1440" w:gutter="0" w:footer="0" w:header="0"/>
          <w:type w:val="continuous"/>
        </w:sectPr>
      </w:pPr>
    </w:p>
    <w:p>
      <w:pPr>
        <w:ind w:left="3009"/>
        <w:spacing w:after="0"/>
        <w:rPr>
          <w:sz w:val="20"/>
          <w:szCs w:val="20"/>
          <w:color w:val="auto"/>
        </w:rPr>
      </w:pPr>
      <w:r>
        <w:rPr>
          <w:rFonts w:ascii="Courier New" w:cs="Courier New" w:eastAsia="Courier New" w:hAnsi="Courier New"/>
          <w:sz w:val="14"/>
          <w:szCs w:val="14"/>
          <w:color w:val="auto"/>
        </w:rPr>
        <w:t>Page 1 of 17</w:t>
      </w:r>
    </w:p>
    <w:p>
      <w:pPr>
        <w:sectPr>
          <w:pgSz w:w="11900" w:h="16838" w:orient="portrait"/>
          <w:cols w:equalWidth="0" w:num="1">
            <w:col w:w="10228"/>
          </w:cols>
          <w:pgMar w:left="231" w:top="71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40" w:type="dxa"/>
            <w:vAlign w:val="bottom"/>
          </w:tcPr>
          <w:p>
            <w:pPr>
              <w:spacing w:after="0"/>
              <w:rPr>
                <w:sz w:val="14"/>
                <w:szCs w:val="14"/>
                <w:color w:val="auto"/>
              </w:rPr>
            </w:pPr>
          </w:p>
        </w:tc>
        <w:tc>
          <w:tcPr>
            <w:tcW w:w="50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8"/>
              </w:rPr>
              <w:t>REGENERON PHARMACEUTICALS, INC.</w:t>
            </w:r>
          </w:p>
        </w:tc>
        <w:tc>
          <w:tcPr>
            <w:tcW w:w="12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50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9"/>
              </w:rPr>
              <w:t>Table of Contents</w:t>
            </w:r>
          </w:p>
        </w:tc>
        <w:tc>
          <w:tcPr>
            <w:tcW w:w="1240" w:type="dxa"/>
            <w:vAlign w:val="bottom"/>
          </w:tcPr>
          <w:p>
            <w:pPr>
              <w:spacing w:after="0"/>
              <w:rPr>
                <w:sz w:val="14"/>
                <w:szCs w:val="14"/>
                <w:color w:val="auto"/>
              </w:rPr>
            </w:pPr>
          </w:p>
        </w:tc>
      </w:tr>
      <w:tr>
        <w:trPr>
          <w:trHeight w:val="171"/>
        </w:trPr>
        <w:tc>
          <w:tcPr>
            <w:tcW w:w="740" w:type="dxa"/>
            <w:vAlign w:val="bottom"/>
          </w:tcPr>
          <w:p>
            <w:pPr>
              <w:spacing w:after="0"/>
              <w:rPr>
                <w:sz w:val="14"/>
                <w:szCs w:val="14"/>
                <w:color w:val="auto"/>
              </w:rPr>
            </w:pPr>
          </w:p>
        </w:tc>
        <w:tc>
          <w:tcPr>
            <w:tcW w:w="5020" w:type="dxa"/>
            <w:vAlign w:val="bottom"/>
          </w:tcPr>
          <w:p>
            <w:pPr>
              <w:ind w:left="2180"/>
              <w:spacing w:after="0"/>
              <w:rPr>
                <w:sz w:val="20"/>
                <w:szCs w:val="20"/>
                <w:color w:val="auto"/>
              </w:rPr>
            </w:pPr>
            <w:r>
              <w:rPr>
                <w:rFonts w:ascii="Courier New" w:cs="Courier New" w:eastAsia="Courier New" w:hAnsi="Courier New"/>
                <w:sz w:val="15"/>
                <w:szCs w:val="15"/>
                <w:color w:val="auto"/>
              </w:rPr>
              <w:t>March 31, 1997</w:t>
            </w:r>
          </w:p>
        </w:tc>
        <w:tc>
          <w:tcPr>
            <w:tcW w:w="1240" w:type="dxa"/>
            <w:vAlign w:val="bottom"/>
          </w:tcPr>
          <w:p>
            <w:pPr>
              <w:spacing w:after="0"/>
              <w:rPr>
                <w:sz w:val="14"/>
                <w:szCs w:val="14"/>
                <w:color w:val="auto"/>
              </w:rPr>
            </w:pPr>
          </w:p>
        </w:tc>
      </w:tr>
      <w:tr>
        <w:trPr>
          <w:trHeight w:val="341"/>
        </w:trPr>
        <w:tc>
          <w:tcPr>
            <w:tcW w:w="7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Page Numbers</w:t>
            </w:r>
          </w:p>
        </w:tc>
      </w:tr>
      <w:tr>
        <w:trPr>
          <w:trHeight w:val="171"/>
        </w:trPr>
        <w:tc>
          <w:tcPr>
            <w:tcW w:w="7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PART I -</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FINANCIAL INFORMATION</w:t>
            </w:r>
          </w:p>
        </w:tc>
        <w:tc>
          <w:tcPr>
            <w:tcW w:w="1240" w:type="dxa"/>
            <w:vAlign w:val="bottom"/>
          </w:tcPr>
          <w:p>
            <w:pPr>
              <w:spacing w:after="0"/>
              <w:rPr>
                <w:sz w:val="14"/>
                <w:szCs w:val="1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Financial Statements</w:t>
            </w:r>
          </w:p>
        </w:tc>
        <w:tc>
          <w:tcPr>
            <w:tcW w:w="1240" w:type="dxa"/>
            <w:vAlign w:val="bottom"/>
          </w:tcPr>
          <w:p>
            <w:pPr>
              <w:spacing w:after="0"/>
              <w:rPr>
                <w:sz w:val="24"/>
                <w:szCs w:val="24"/>
                <w:color w:val="auto"/>
              </w:rPr>
            </w:pPr>
          </w:p>
        </w:tc>
      </w:tr>
      <w:tr>
        <w:trPr>
          <w:trHeight w:val="341"/>
        </w:trPr>
        <w:tc>
          <w:tcPr>
            <w:tcW w:w="7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Condensed balance sheets (unaudited) at March 31, 1997</w:t>
            </w:r>
          </w:p>
        </w:tc>
        <w:tc>
          <w:tcPr>
            <w:tcW w:w="124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and December 31, 1996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r>
      <w:tr>
        <w:trPr>
          <w:trHeight w:val="341"/>
        </w:trPr>
        <w:tc>
          <w:tcPr>
            <w:tcW w:w="740" w:type="dxa"/>
            <w:vAlign w:val="bottom"/>
          </w:tcPr>
          <w:p>
            <w:pPr>
              <w:spacing w:after="0"/>
              <w:rPr>
                <w:sz w:val="24"/>
                <w:szCs w:val="24"/>
                <w:color w:val="auto"/>
              </w:rPr>
            </w:pPr>
          </w:p>
        </w:tc>
        <w:tc>
          <w:tcPr>
            <w:tcW w:w="62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Condensed statements of operations (unaudited) for the three</w:t>
            </w:r>
          </w:p>
        </w:tc>
      </w:tr>
      <w:tr>
        <w:trPr>
          <w:trHeight w:val="171"/>
        </w:trPr>
        <w:tc>
          <w:tcPr>
            <w:tcW w:w="74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months ended March 31, 1997 and 1996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w:t>
            </w:r>
          </w:p>
        </w:tc>
      </w:tr>
      <w:tr>
        <w:trPr>
          <w:trHeight w:val="341"/>
        </w:trPr>
        <w:tc>
          <w:tcPr>
            <w:tcW w:w="7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Condensed statements of cash flows (unaudited) for the</w:t>
            </w:r>
          </w:p>
        </w:tc>
        <w:tc>
          <w:tcPr>
            <w:tcW w:w="124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three months ended March 31, 1997 and 1996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5</w:t>
            </w:r>
          </w:p>
        </w:tc>
      </w:tr>
      <w:tr>
        <w:trPr>
          <w:trHeight w:val="341"/>
        </w:trPr>
        <w:tc>
          <w:tcPr>
            <w:tcW w:w="74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Notes to condensed financial statements</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w:t>
            </w: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Management's Discussion and Analysis of</w:t>
            </w:r>
          </w:p>
        </w:tc>
        <w:tc>
          <w:tcPr>
            <w:tcW w:w="1240" w:type="dxa"/>
            <w:vAlign w:val="bottom"/>
          </w:tcPr>
          <w:p>
            <w:pPr>
              <w:spacing w:after="0"/>
              <w:rPr>
                <w:sz w:val="24"/>
                <w:szCs w:val="24"/>
                <w:color w:val="auto"/>
              </w:rPr>
            </w:pPr>
          </w:p>
        </w:tc>
      </w:tr>
      <w:tr>
        <w:trPr>
          <w:trHeight w:val="171"/>
        </w:trPr>
        <w:tc>
          <w:tcPr>
            <w:tcW w:w="740" w:type="dxa"/>
            <w:vAlign w:val="bottom"/>
          </w:tcPr>
          <w:p>
            <w:pPr>
              <w:spacing w:after="0"/>
              <w:rPr>
                <w:sz w:val="14"/>
                <w:szCs w:val="14"/>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Financial Condition and Results of Operations</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7-13</w:t>
            </w:r>
          </w:p>
        </w:tc>
      </w:tr>
      <w:tr>
        <w:trPr>
          <w:trHeight w:val="512"/>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PART II-</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OTHER INFORMATION</w:t>
            </w:r>
          </w:p>
        </w:tc>
        <w:tc>
          <w:tcPr>
            <w:tcW w:w="1240" w:type="dxa"/>
            <w:vAlign w:val="bottom"/>
          </w:tcPr>
          <w:p>
            <w:pPr>
              <w:spacing w:after="0"/>
              <w:rPr>
                <w:sz w:val="24"/>
                <w:szCs w:val="24"/>
                <w:color w:val="auto"/>
              </w:rPr>
            </w:pPr>
          </w:p>
        </w:tc>
      </w:tr>
      <w:tr>
        <w:trPr>
          <w:trHeight w:val="341"/>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5020" w:type="dxa"/>
            <w:vAlign w:val="bottom"/>
          </w:tcPr>
          <w:p>
            <w:pPr>
              <w:ind w:left="40"/>
              <w:spacing w:after="0"/>
              <w:rPr>
                <w:sz w:val="20"/>
                <w:szCs w:val="20"/>
                <w:color w:val="auto"/>
              </w:rPr>
            </w:pPr>
            <w:r>
              <w:rPr>
                <w:rFonts w:ascii="Courier New" w:cs="Courier New" w:eastAsia="Courier New" w:hAnsi="Courier New"/>
                <w:sz w:val="15"/>
                <w:szCs w:val="15"/>
                <w:color w:val="auto"/>
              </w:rPr>
              <w:t>Exhibits and Reports on Form 8-K</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w:t>
            </w:r>
          </w:p>
        </w:tc>
      </w:tr>
      <w:tr>
        <w:trPr>
          <w:trHeight w:val="512"/>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SIGNATURE PAGE</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w:t>
            </w:r>
          </w:p>
        </w:tc>
      </w:tr>
      <w:tr>
        <w:trPr>
          <w:trHeight w:val="512"/>
        </w:trPr>
        <w:tc>
          <w:tcPr>
            <w:tcW w:w="7000" w:type="dxa"/>
            <w:vAlign w:val="bottom"/>
            <w:gridSpan w:val="3"/>
          </w:tcPr>
          <w:p>
            <w:pPr>
              <w:spacing w:after="0"/>
              <w:rPr>
                <w:sz w:val="20"/>
                <w:szCs w:val="20"/>
                <w:color w:val="auto"/>
              </w:rPr>
            </w:pPr>
            <w:r>
              <w:rPr>
                <w:rFonts w:ascii="Courier New" w:cs="Courier New" w:eastAsia="Courier New" w:hAnsi="Courier New"/>
                <w:sz w:val="15"/>
                <w:szCs w:val="15"/>
                <w:color w:val="auto"/>
              </w:rPr>
              <w:t>Exhibit 11 Statement of computation of net loss per share for the three</w:t>
            </w:r>
          </w:p>
        </w:tc>
      </w:tr>
      <w:tr>
        <w:trPr>
          <w:trHeight w:val="171"/>
        </w:trPr>
        <w:tc>
          <w:tcPr>
            <w:tcW w:w="740" w:type="dxa"/>
            <w:vAlign w:val="bottom"/>
          </w:tcPr>
          <w:p>
            <w:pPr>
              <w:spacing w:after="0"/>
              <w:rPr>
                <w:sz w:val="14"/>
                <w:szCs w:val="14"/>
                <w:color w:val="auto"/>
              </w:rPr>
            </w:pPr>
          </w:p>
        </w:tc>
        <w:tc>
          <w:tcPr>
            <w:tcW w:w="5020" w:type="dxa"/>
            <w:vAlign w:val="bottom"/>
          </w:tcPr>
          <w:p>
            <w:pPr>
              <w:ind w:left="220"/>
              <w:spacing w:after="0"/>
              <w:rPr>
                <w:sz w:val="20"/>
                <w:szCs w:val="20"/>
                <w:color w:val="auto"/>
              </w:rPr>
            </w:pPr>
            <w:r>
              <w:rPr>
                <w:rFonts w:ascii="Courier New" w:cs="Courier New" w:eastAsia="Courier New" w:hAnsi="Courier New"/>
                <w:sz w:val="15"/>
                <w:szCs w:val="15"/>
                <w:color w:val="auto"/>
              </w:rPr>
              <w:t>months ended March 31, 1997 and 1996.</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r>
      <w:tr>
        <w:trPr>
          <w:trHeight w:val="341"/>
        </w:trPr>
        <w:tc>
          <w:tcPr>
            <w:tcW w:w="5760" w:type="dxa"/>
            <w:vAlign w:val="bottom"/>
            <w:gridSpan w:val="2"/>
          </w:tcPr>
          <w:p>
            <w:pPr>
              <w:spacing w:after="0"/>
              <w:rPr>
                <w:sz w:val="20"/>
                <w:szCs w:val="20"/>
                <w:color w:val="auto"/>
              </w:rPr>
            </w:pPr>
            <w:r>
              <w:rPr>
                <w:rFonts w:ascii="Courier New" w:cs="Courier New" w:eastAsia="Courier New" w:hAnsi="Courier New"/>
                <w:sz w:val="15"/>
                <w:szCs w:val="15"/>
                <w:color w:val="auto"/>
              </w:rPr>
              <w:t>Exhibit 27 Financial data schedule.</w:t>
            </w: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w:t>
            </w:r>
          </w:p>
        </w:tc>
      </w:tr>
      <w:tr>
        <w:trPr>
          <w:trHeight w:val="341"/>
        </w:trPr>
        <w:tc>
          <w:tcPr>
            <w:tcW w:w="740" w:type="dxa"/>
            <w:vAlign w:val="bottom"/>
          </w:tcPr>
          <w:p>
            <w:pPr>
              <w:spacing w:after="0"/>
              <w:rPr>
                <w:sz w:val="24"/>
                <w:szCs w:val="24"/>
                <w:color w:val="auto"/>
              </w:rPr>
            </w:pPr>
          </w:p>
        </w:tc>
        <w:tc>
          <w:tcPr>
            <w:tcW w:w="50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88"/>
              </w:rPr>
              <w:t>2</w:t>
            </w:r>
          </w:p>
        </w:tc>
        <w:tc>
          <w:tcPr>
            <w:tcW w:w="1240" w:type="dxa"/>
            <w:vAlign w:val="bottom"/>
          </w:tcPr>
          <w:p>
            <w:pPr>
              <w:spacing w:after="0"/>
              <w:rPr>
                <w:sz w:val="24"/>
                <w:szCs w:val="24"/>
                <w:color w:val="auto"/>
              </w:rPr>
            </w:pPr>
          </w:p>
        </w:tc>
      </w:tr>
    </w:tbl>
    <w:p>
      <w:pPr>
        <w:sectPr>
          <w:pgSz w:w="11900" w:h="16838" w:orient="portrait"/>
          <w:cols w:equalWidth="0" w:num="1">
            <w:col w:w="10219"/>
          </w:cols>
          <w:pgMar w:left="240" w:top="628" w:right="1440"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PART 1.</w:t>
            </w:r>
          </w:p>
        </w:tc>
        <w:tc>
          <w:tcPr>
            <w:tcW w:w="8020" w:type="dxa"/>
            <w:vAlign w:val="bottom"/>
          </w:tcPr>
          <w:p>
            <w:pPr>
              <w:ind w:left="160"/>
              <w:spacing w:after="0"/>
              <w:rPr>
                <w:sz w:val="20"/>
                <w:szCs w:val="20"/>
                <w:color w:val="auto"/>
              </w:rPr>
            </w:pPr>
            <w:r>
              <w:rPr>
                <w:rFonts w:ascii="Courier New" w:cs="Courier New" w:eastAsia="Courier New" w:hAnsi="Courier New"/>
                <w:sz w:val="15"/>
                <w:szCs w:val="15"/>
                <w:color w:val="auto"/>
              </w:rPr>
              <w:t>FINANCIAL INFORMATION</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ITEM 1.</w:t>
            </w:r>
          </w:p>
        </w:tc>
        <w:tc>
          <w:tcPr>
            <w:tcW w:w="8020" w:type="dxa"/>
            <w:vAlign w:val="bottom"/>
          </w:tcPr>
          <w:p>
            <w:pPr>
              <w:ind w:left="160"/>
              <w:spacing w:after="0"/>
              <w:rPr>
                <w:sz w:val="20"/>
                <w:szCs w:val="20"/>
                <w:color w:val="auto"/>
              </w:rPr>
            </w:pPr>
            <w:r>
              <w:rPr>
                <w:rFonts w:ascii="Courier New" w:cs="Courier New" w:eastAsia="Courier New" w:hAnsi="Courier New"/>
                <w:sz w:val="15"/>
                <w:szCs w:val="15"/>
                <w:color w:val="auto"/>
              </w:rPr>
              <w:t>FINANCIAL STATEMENTS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CONDENSED BALANCE SHEETS AT MARCH 31, 1997 AND DECEMBER 31, 1996 (Unaudited)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853"/>
        </w:trPr>
        <w:tc>
          <w:tcPr>
            <w:tcW w:w="6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March 31,</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620" w:type="dxa"/>
            <w:vAlign w:val="bottom"/>
          </w:tcPr>
          <w:p>
            <w:pPr>
              <w:spacing w:after="0"/>
              <w:rPr>
                <w:sz w:val="14"/>
                <w:szCs w:val="14"/>
                <w:color w:val="auto"/>
              </w:rPr>
            </w:pPr>
          </w:p>
        </w:tc>
        <w:tc>
          <w:tcPr>
            <w:tcW w:w="8020" w:type="dxa"/>
            <w:vAlign w:val="bottom"/>
          </w:tcPr>
          <w:p>
            <w:pPr>
              <w:ind w:left="3000"/>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13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27,914,539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34,475,060</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Marketable securities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40,141,043</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45,587,404</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Sumitomo Pharmaceuticals Company, Ltd.</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2,072,473</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2,072,455</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Merck &amp; Co., Inc.</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793,581</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1,816,056</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Receivable due from Amgen-Regeneron Partners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446,269</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446,269</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528,087</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611,435</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71,895,992</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85,008,679</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Marketable securities</w:t>
            </w:r>
          </w:p>
        </w:tc>
        <w:tc>
          <w:tcPr>
            <w:tcW w:w="220" w:type="dxa"/>
            <w:vAlign w:val="bottom"/>
          </w:tcPr>
          <w:p>
            <w:pPr>
              <w:spacing w:after="0"/>
              <w:rPr>
                <w:sz w:val="24"/>
                <w:szCs w:val="2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23,223,159</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16,965,302</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Investment in Amgen-Regeneron Partners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1,205,299</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Property, plant and equipment, at cost, net of accumulated depreciation</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and amortization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33,846,173</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34,297,843</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Other assets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102,935</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104,731</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$ 129,068,259</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$ 137,581,854</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620" w:type="dxa"/>
            <w:vAlign w:val="bottom"/>
          </w:tcPr>
          <w:p>
            <w:pPr>
              <w:spacing w:after="0"/>
              <w:rPr>
                <w:sz w:val="24"/>
                <w:szCs w:val="24"/>
                <w:color w:val="auto"/>
              </w:rPr>
            </w:pPr>
          </w:p>
        </w:tc>
        <w:tc>
          <w:tcPr>
            <w:tcW w:w="8020" w:type="dxa"/>
            <w:vAlign w:val="bottom"/>
          </w:tcPr>
          <w:p>
            <w:pPr>
              <w:ind w:left="2220"/>
              <w:spacing w:after="0"/>
              <w:rPr>
                <w:sz w:val="20"/>
                <w:szCs w:val="20"/>
                <w:color w:val="auto"/>
              </w:rPr>
            </w:pPr>
            <w:r>
              <w:rPr>
                <w:rFonts w:ascii="Courier New" w:cs="Courier New" w:eastAsia="Courier New" w:hAnsi="Courier New"/>
                <w:sz w:val="15"/>
                <w:szCs w:val="15"/>
                <w:color w:val="auto"/>
              </w:rPr>
              <w:t>LIABILITIES and STOCKHOLDERS'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Accounts payable and accrued expenses</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3,416,852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4,357,145</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lease obligations, current portion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3,291,977</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3,505,221</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Note payable, current portion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76,532</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77,684</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Capital contribution due to Amgen-Regeneron Partners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485,700</w:t>
            </w: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revenue, current portion</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2,426,326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4,108,412</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9,697,387</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12,048,462</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Capital lease obligations</w:t>
            </w:r>
          </w:p>
        </w:tc>
        <w:tc>
          <w:tcPr>
            <w:tcW w:w="220" w:type="dxa"/>
            <w:vAlign w:val="bottom"/>
          </w:tcPr>
          <w:p>
            <w:pPr>
              <w:spacing w:after="0"/>
              <w:rPr>
                <w:sz w:val="24"/>
                <w:szCs w:val="2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2,726,546</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3,400,015</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Note payable</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1,730,031</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1,748,082</w:t>
            </w:r>
          </w:p>
        </w:tc>
      </w:tr>
      <w:tr>
        <w:trPr>
          <w:trHeight w:val="17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Other liabilities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198,337</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183,426</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Deferred revenue</w:t>
            </w:r>
          </w:p>
        </w:tc>
        <w:tc>
          <w:tcPr>
            <w:tcW w:w="220" w:type="dxa"/>
            <w:vAlign w:val="bottom"/>
          </w:tcPr>
          <w:p>
            <w:pPr>
              <w:spacing w:after="0"/>
              <w:rPr>
                <w:sz w:val="24"/>
                <w:szCs w:val="2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13,673,302</w:t>
            </w:r>
          </w:p>
        </w:tc>
        <w:tc>
          <w:tcPr>
            <w:tcW w:w="220" w:type="dxa"/>
            <w:vAlign w:val="bottom"/>
          </w:tcPr>
          <w:p>
            <w:pPr>
              <w:spacing w:after="0"/>
              <w:rPr>
                <w:sz w:val="24"/>
                <w:szCs w:val="2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13,270,870</w:t>
            </w: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41"/>
        </w:trPr>
        <w:tc>
          <w:tcPr>
            <w:tcW w:w="864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Preferred stock, $.01 par value; 30,000,000 shares authorized; issued and outstanding - none</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4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Class A Stock, convertible, $.001 par value; 40,000,000 shares authorized;</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ind w:left="160"/>
              <w:spacing w:after="0"/>
              <w:rPr>
                <w:sz w:val="20"/>
                <w:szCs w:val="20"/>
                <w:color w:val="auto"/>
              </w:rPr>
            </w:pPr>
            <w:r>
              <w:rPr>
                <w:rFonts w:ascii="Courier New" w:cs="Courier New" w:eastAsia="Courier New" w:hAnsi="Courier New"/>
                <w:sz w:val="15"/>
                <w:szCs w:val="15"/>
                <w:color w:val="auto"/>
              </w:rPr>
              <w:t>4,345,824 shares issued and outstanding in 1997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ind w:left="160"/>
              <w:spacing w:after="0"/>
              <w:rPr>
                <w:sz w:val="20"/>
                <w:szCs w:val="20"/>
                <w:color w:val="auto"/>
              </w:rPr>
            </w:pPr>
            <w:r>
              <w:rPr>
                <w:rFonts w:ascii="Courier New" w:cs="Courier New" w:eastAsia="Courier New" w:hAnsi="Courier New"/>
                <w:sz w:val="15"/>
                <w:szCs w:val="15"/>
                <w:color w:val="auto"/>
              </w:rPr>
              <w:t>4,355,994 shares issued and outstanding in 1996</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4,346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4,356</w:t>
            </w:r>
          </w:p>
        </w:tc>
      </w:tr>
      <w:tr>
        <w:trPr>
          <w:trHeight w:val="171"/>
        </w:trPr>
        <w:tc>
          <w:tcPr>
            <w:tcW w:w="8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Common Stock, $.001 par value; 60,000,000 shares authorized;</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ind w:left="80"/>
              <w:spacing w:after="0"/>
              <w:rPr>
                <w:sz w:val="20"/>
                <w:szCs w:val="20"/>
                <w:color w:val="auto"/>
              </w:rPr>
            </w:pPr>
            <w:r>
              <w:rPr>
                <w:rFonts w:ascii="Courier New" w:cs="Courier New" w:eastAsia="Courier New" w:hAnsi="Courier New"/>
                <w:sz w:val="15"/>
                <w:szCs w:val="15"/>
                <w:color w:val="auto"/>
              </w:rPr>
              <w:t>22,152,619 shares issued and outstanding in 1997</w:t>
            </w: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020" w:type="dxa"/>
            <w:vAlign w:val="bottom"/>
          </w:tcPr>
          <w:p>
            <w:pPr>
              <w:ind w:left="80"/>
              <w:spacing w:after="0"/>
              <w:rPr>
                <w:sz w:val="20"/>
                <w:szCs w:val="20"/>
                <w:color w:val="auto"/>
              </w:rPr>
            </w:pPr>
            <w:r>
              <w:rPr>
                <w:rFonts w:ascii="Courier New" w:cs="Courier New" w:eastAsia="Courier New" w:hAnsi="Courier New"/>
                <w:sz w:val="15"/>
                <w:szCs w:val="15"/>
                <w:color w:val="auto"/>
              </w:rPr>
              <w:t>21,319,896 shares issued and outstanding in 1996</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22,153</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21,320</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Additional paid-in capital</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264,848,892</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264,742,236</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Unearned compensation</w:t>
            </w:r>
          </w:p>
        </w:tc>
        <w:tc>
          <w:tcPr>
            <w:tcW w:w="2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(990,000)</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(1,080,000)</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Accumulated deficit</w:t>
            </w:r>
          </w:p>
        </w:tc>
        <w:tc>
          <w:tcPr>
            <w:tcW w:w="220" w:type="dxa"/>
            <w:vAlign w:val="bottom"/>
          </w:tcPr>
          <w:p>
            <w:pPr>
              <w:spacing w:after="0"/>
              <w:rPr>
                <w:sz w:val="14"/>
                <w:szCs w:val="14"/>
                <w:color w:val="auto"/>
              </w:rPr>
            </w:pPr>
          </w:p>
        </w:tc>
        <w:tc>
          <w:tcPr>
            <w:tcW w:w="13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(162,957,961)</w:t>
            </w:r>
          </w:p>
        </w:tc>
        <w:tc>
          <w:tcPr>
            <w:tcW w:w="22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(157,029,112)</w:t>
            </w:r>
          </w:p>
        </w:tc>
      </w:tr>
      <w:tr>
        <w:trPr>
          <w:trHeight w:val="171"/>
        </w:trPr>
        <w:tc>
          <w:tcPr>
            <w:tcW w:w="8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unrealized gain  on marketable securities</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115,226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272,199</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220" w:type="dxa"/>
            <w:vAlign w:val="bottom"/>
          </w:tcPr>
          <w:p>
            <w:pPr>
              <w:spacing w:after="0"/>
              <w:rPr>
                <w:sz w:val="14"/>
                <w:szCs w:val="14"/>
                <w:color w:val="auto"/>
              </w:rPr>
            </w:pPr>
          </w:p>
        </w:tc>
        <w:tc>
          <w:tcPr>
            <w:tcW w:w="13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101,042,656</w:t>
            </w:r>
          </w:p>
        </w:tc>
        <w:tc>
          <w:tcPr>
            <w:tcW w:w="22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106,930,999</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20"/>
                <w:szCs w:val="20"/>
                <w:color w:val="auto"/>
              </w:rPr>
            </w:pPr>
            <w:r>
              <w:rPr>
                <w:rFonts w:ascii="Courier New" w:cs="Courier New" w:eastAsia="Courier New" w:hAnsi="Courier New"/>
                <w:sz w:val="15"/>
                <w:szCs w:val="15"/>
                <w:color w:val="auto"/>
              </w:rPr>
              <w:t>Total liabilities and stockholders' equity</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$ 129,068,259</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$ 137,581,854</w:t>
            </w:r>
          </w:p>
        </w:tc>
      </w:tr>
      <w:tr>
        <w:trPr>
          <w:trHeight w:val="171"/>
        </w:trPr>
        <w:tc>
          <w:tcPr>
            <w:tcW w:w="6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520"/>
          </w:cols>
          <w:pgMar w:left="240" w:top="799" w:right="139"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OPERATIONS (Unaudited)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7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3760" w:type="dxa"/>
            <w:vAlign w:val="bottom"/>
          </w:tcPr>
          <w:p>
            <w:pPr>
              <w:spacing w:after="0"/>
              <w:rPr>
                <w:sz w:val="14"/>
                <w:szCs w:val="14"/>
                <w:color w:val="auto"/>
              </w:rPr>
            </w:pPr>
          </w:p>
        </w:tc>
        <w:tc>
          <w:tcPr>
            <w:tcW w:w="270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ended March 31,</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360" w:type="dxa"/>
            <w:vAlign w:val="bottom"/>
          </w:tcPr>
          <w:p>
            <w:pPr>
              <w:spacing w:after="0"/>
              <w:rPr>
                <w:sz w:val="14"/>
                <w:szCs w:val="14"/>
                <w:color w:val="auto"/>
              </w:rPr>
            </w:pPr>
          </w:p>
        </w:tc>
        <w:tc>
          <w:tcPr>
            <w:tcW w:w="9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Contract research and development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4,238,438</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4,182,896</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Investment income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1,278,741</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600,422</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Contract manufacturing</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696,456</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405,351</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6,213,635</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5,188,669</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Research and development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7,076,471</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6,926,403</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Loss in Amgen-Regeneron Partners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1,700,000</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2,661,900</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General and administrative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1,463,927</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1,510,945</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Depreciation and amortization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1,201,497</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1,490,954</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Contract manufacturing</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492,862</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115,336</w:t>
            </w: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Interest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207,727</w:t>
            </w:r>
          </w:p>
        </w:tc>
        <w:tc>
          <w:tcPr>
            <w:tcW w:w="36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250,629</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12,142,484</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12,956,167</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($ 5,928,849)</w:t>
            </w:r>
          </w:p>
        </w:tc>
        <w:tc>
          <w:tcPr>
            <w:tcW w:w="3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9"/>
              </w:rPr>
              <w:t>7,767,498)</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($0.23)</w:t>
            </w:r>
          </w:p>
        </w:tc>
        <w:tc>
          <w:tcPr>
            <w:tcW w:w="3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760" w:type="dxa"/>
            <w:vAlign w:val="bottom"/>
          </w:tcPr>
          <w:p>
            <w:pPr>
              <w:ind w:left="700"/>
              <w:spacing w:after="0"/>
              <w:rPr>
                <w:sz w:val="20"/>
                <w:szCs w:val="20"/>
                <w:color w:val="auto"/>
              </w:rPr>
            </w:pPr>
            <w:r>
              <w:rPr>
                <w:rFonts w:ascii="Courier New" w:cs="Courier New" w:eastAsia="Courier New" w:hAnsi="Courier New"/>
                <w:sz w:val="15"/>
                <w:szCs w:val="15"/>
                <w:color w:val="auto"/>
              </w:rPr>
              <w:t>and Class A shares outstanding</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25,798,971</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22,007,864</w:t>
            </w:r>
          </w:p>
        </w:tc>
      </w:tr>
      <w:tr>
        <w:trPr>
          <w:trHeight w:val="171"/>
        </w:trPr>
        <w:tc>
          <w:tcPr>
            <w:tcW w:w="37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The accompanying notes are an integral part of the financial statements.</w:t>
      </w: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CONDENSED STATEMENTS OF CASH FLOWS (Unaudited)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(Decrease) in Cash and Cash Equivalents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760" w:type="dxa"/>
            <w:vAlign w:val="bottom"/>
          </w:tcPr>
          <w:p>
            <w:pPr>
              <w:spacing w:after="0"/>
              <w:rPr>
                <w:sz w:val="14"/>
                <w:szCs w:val="14"/>
                <w:color w:val="auto"/>
              </w:rPr>
            </w:pPr>
          </w:p>
        </w:tc>
        <w:tc>
          <w:tcPr>
            <w:tcW w:w="26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Three months ended March 31,</w:t>
            </w:r>
          </w:p>
        </w:tc>
      </w:tr>
      <w:tr>
        <w:trPr>
          <w:trHeight w:val="171"/>
        </w:trPr>
        <w:tc>
          <w:tcPr>
            <w:tcW w:w="5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Net loss</w:t>
            </w:r>
          </w:p>
        </w:tc>
        <w:tc>
          <w:tcPr>
            <w:tcW w:w="13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($ 5,928,849)</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($ 7,767,498)</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net loss to net cash</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60" w:type="dxa"/>
            <w:vAlign w:val="bottom"/>
          </w:tcPr>
          <w:p>
            <w:pPr>
              <w:ind w:left="260"/>
              <w:spacing w:after="0"/>
              <w:rPr>
                <w:sz w:val="20"/>
                <w:szCs w:val="20"/>
                <w:color w:val="auto"/>
              </w:rPr>
            </w:pPr>
            <w:r>
              <w:rPr>
                <w:rFonts w:ascii="Courier New" w:cs="Courier New" w:eastAsia="Courier New" w:hAnsi="Courier New"/>
                <w:sz w:val="15"/>
                <w:szCs w:val="15"/>
                <w:color w:val="auto"/>
              </w:rPr>
              <w:t>used in operating activities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Share of net loss of Amgen-Regeneron Partners</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1,700,000</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2,661,900</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1,201,497</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1,490,954</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Stock issued in consideration for services rendered</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90,000</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90,000</w:t>
            </w:r>
          </w:p>
        </w:tc>
      </w:tr>
      <w:tr>
        <w:trPr>
          <w:trHeight w:val="171"/>
        </w:trPr>
        <w:tc>
          <w:tcPr>
            <w:tcW w:w="5760" w:type="dxa"/>
            <w:vAlign w:val="bottom"/>
          </w:tcPr>
          <w:p>
            <w:pPr>
              <w:ind w:left="440"/>
              <w:spacing w:after="0"/>
              <w:rPr>
                <w:sz w:val="20"/>
                <w:szCs w:val="20"/>
                <w:color w:val="auto"/>
              </w:rPr>
            </w:pPr>
            <w:r>
              <w:rPr>
                <w:rFonts w:ascii="Courier New" w:cs="Courier New" w:eastAsia="Courier New" w:hAnsi="Courier New"/>
                <w:sz w:val="15"/>
                <w:szCs w:val="15"/>
                <w:color w:val="auto"/>
              </w:rPr>
              <w:t>Changes in assets and liabilities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Decrease in amounts due from Amgen-Regeneron Partners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162,410</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(Increase) in amounts due from Sumitomo</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Pharmaceuticals Co. Ltd.</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(216,769)</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w w:val="99"/>
              </w:rPr>
              <w:t>Decrease (increase) in amounts due from Merck &amp; Co., Inc.</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1,022,475</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(1,493,359)</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(Increase) in investment in Amgen-Regeneron Partners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(9,001)</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(2,670,000)</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Decrease in prepaid expenses and other assets</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85,144</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10,823</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(Decrease) increase in deferred revenue</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(1,279,654)</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899,634</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(Decrease) in accounts payable, accrued expenses,</w:t>
            </w: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5760" w:type="dxa"/>
            <w:vAlign w:val="bottom"/>
          </w:tcPr>
          <w:p>
            <w:pPr>
              <w:ind w:left="780"/>
              <w:spacing w:after="0"/>
              <w:rPr>
                <w:sz w:val="20"/>
                <w:szCs w:val="20"/>
                <w:color w:val="auto"/>
              </w:rPr>
            </w:pPr>
            <w:r>
              <w:rPr>
                <w:rFonts w:ascii="Courier New" w:cs="Courier New" w:eastAsia="Courier New" w:hAnsi="Courier New"/>
                <w:sz w:val="15"/>
                <w:szCs w:val="15"/>
                <w:color w:val="auto"/>
              </w:rPr>
              <w:t>and other liabilities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(240,643)</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(507,183)</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ind w:left="1420"/>
              <w:spacing w:after="0"/>
              <w:rPr>
                <w:sz w:val="20"/>
                <w:szCs w:val="20"/>
                <w:color w:val="auto"/>
              </w:rPr>
            </w:pPr>
            <w:r>
              <w:rPr>
                <w:rFonts w:ascii="Courier New" w:cs="Courier New" w:eastAsia="Courier New" w:hAnsi="Courier New"/>
                <w:sz w:val="15"/>
                <w:szCs w:val="15"/>
                <w:color w:val="auto"/>
              </w:rPr>
              <w:t>Total adjustments</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2,569,800</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428,410</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(3,359,049)</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(7,339,088)</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Purchase of marketable securities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(20,561,837)</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(18,387,003)</w:t>
            </w: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Sale of marketable securities</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19,593,368</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9,483,152</w:t>
            </w: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(1,184,566)</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(4,758,580)</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investing activities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(2,153,035)</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(13,662,431)</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Net proceeds from the issuance of equity securitie</w:t>
            </w:r>
          </w:p>
        </w:tc>
        <w:tc>
          <w:tcPr>
            <w:tcW w:w="18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107,479</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1,000,283</w:t>
            </w: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 note payable</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(19,203)</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(20,694)</w:t>
            </w: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Capital lease payments</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(1,136,713)</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(789,904)</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Net cash (used in) provided by financing act</w:t>
            </w:r>
          </w:p>
        </w:tc>
        <w:tc>
          <w:tcPr>
            <w:tcW w:w="18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(1,048,437)</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189,685</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80" w:type="dxa"/>
            <w:vAlign w:val="bottom"/>
          </w:tcPr>
          <w:p>
            <w:pPr>
              <w:spacing w:after="0"/>
              <w:rPr>
                <w:sz w:val="24"/>
                <w:szCs w:val="2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(6,560,521)</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(20,811,834)</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80" w:type="dxa"/>
            <w:vAlign w:val="bottom"/>
          </w:tcPr>
          <w:p>
            <w:pPr>
              <w:spacing w:after="0"/>
              <w:rPr>
                <w:sz w:val="24"/>
                <w:szCs w:val="2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34,475,060</w:t>
            </w:r>
          </w:p>
        </w:tc>
        <w:tc>
          <w:tcPr>
            <w:tcW w:w="220" w:type="dxa"/>
            <w:vAlign w:val="bottom"/>
          </w:tcPr>
          <w:p>
            <w:pPr>
              <w:spacing w:after="0"/>
              <w:rPr>
                <w:sz w:val="24"/>
                <w:szCs w:val="2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32,736,026</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 at end of year</w:t>
            </w: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$ 27,914,539</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$ 11,924,192</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76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5760" w:type="dxa"/>
            <w:vAlign w:val="bottom"/>
          </w:tcPr>
          <w:p>
            <w:pPr>
              <w:ind w:left="80"/>
              <w:spacing w:after="0"/>
              <w:rPr>
                <w:sz w:val="20"/>
                <w:szCs w:val="20"/>
                <w:color w:val="auto"/>
              </w:rPr>
            </w:pPr>
            <w:r>
              <w:rPr>
                <w:rFonts w:ascii="Courier New" w:cs="Courier New" w:eastAsia="Courier New" w:hAnsi="Courier New"/>
                <w:sz w:val="15"/>
                <w:szCs w:val="15"/>
                <w:color w:val="auto"/>
              </w:rPr>
              <w:t>Cash paid for interest</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192,816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230,282</w:t>
            </w:r>
          </w:p>
        </w:tc>
      </w:tr>
      <w:tr>
        <w:trPr>
          <w:trHeight w:val="171"/>
        </w:trPr>
        <w:tc>
          <w:tcPr>
            <w:tcW w:w="5760" w:type="dxa"/>
            <w:vAlign w:val="bottom"/>
          </w:tcPr>
          <w:p>
            <w:pPr>
              <w:spacing w:after="0"/>
              <w:rPr>
                <w:sz w:val="14"/>
                <w:szCs w:val="14"/>
                <w:color w:val="auto"/>
              </w:rPr>
            </w:pPr>
          </w:p>
        </w:tc>
        <w:tc>
          <w:tcPr>
            <w:tcW w:w="13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5" w:name="page6"/>
    <w:bookmarkEnd w:id="5"/>
    <w:p>
      <w:pPr>
        <w:ind w:left="9"/>
        <w:spacing w:after="0"/>
        <w:rPr>
          <w:sz w:val="20"/>
          <w:szCs w:val="20"/>
          <w:color w:val="auto"/>
        </w:rPr>
      </w:pPr>
      <w:r>
        <w:rPr>
          <w:rFonts w:ascii="Courier New" w:cs="Courier New" w:eastAsia="Courier New" w:hAnsi="Courier New"/>
          <w:sz w:val="15"/>
          <w:szCs w:val="15"/>
          <w:color w:val="auto"/>
        </w:rPr>
        <w:t>REGENERON PHARMACEUTICALS,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Condensed Financial Statements</w:t>
      </w:r>
    </w:p>
    <w:p>
      <w:pPr>
        <w:spacing w:after="0" w:line="342" w:lineRule="exact"/>
        <w:rPr>
          <w:sz w:val="20"/>
          <w:szCs w:val="20"/>
          <w:color w:val="auto"/>
        </w:rPr>
      </w:pPr>
    </w:p>
    <w:p>
      <w:pPr>
        <w:ind w:left="789" w:hanging="789"/>
        <w:spacing w:after="0"/>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Statements</w:t>
      </w:r>
    </w:p>
    <w:p>
      <w:pPr>
        <w:spacing w:after="0" w:line="174" w:lineRule="exact"/>
        <w:rPr>
          <w:rFonts w:ascii="Courier New" w:cs="Courier New" w:eastAsia="Courier New" w:hAnsi="Courier New"/>
          <w:sz w:val="15"/>
          <w:szCs w:val="15"/>
          <w:color w:val="auto"/>
        </w:rPr>
      </w:pPr>
    </w:p>
    <w:p>
      <w:pPr>
        <w:ind w:left="789"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 the opinion of management of the Company, the accompanying unaudited interim financial statements reflect all adjustments, consisting only of normal recurring accruals, necessary to present fairly the Company's financial position as of March 31, 1997 and December 31, 1996 and the results of operations for the three months ended March 31, 1997 and 1996. The results of operations for such interim periods are not necessarily indicative of the results to be expected for the full year.</w:t>
      </w:r>
    </w:p>
    <w:p>
      <w:pPr>
        <w:spacing w:after="0" w:line="344"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w:t>
      </w:r>
    </w:p>
    <w:p>
      <w:pPr>
        <w:spacing w:after="0" w:line="174" w:lineRule="exact"/>
        <w:rPr>
          <w:rFonts w:ascii="Courier New" w:cs="Courier New" w:eastAsia="Courier New" w:hAnsi="Courier New"/>
          <w:sz w:val="15"/>
          <w:szCs w:val="15"/>
          <w:color w:val="auto"/>
        </w:rPr>
      </w:pPr>
    </w:p>
    <w:p>
      <w:pPr>
        <w:ind w:left="789"/>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Supplemental disclosure of noncash investing and financing activities:</w:t>
      </w:r>
    </w:p>
    <w:p>
      <w:pPr>
        <w:spacing w:after="0" w:line="182" w:lineRule="exact"/>
        <w:rPr>
          <w:rFonts w:ascii="Courier New" w:cs="Courier New" w:eastAsia="Courier New" w:hAnsi="Courier New"/>
          <w:sz w:val="15"/>
          <w:szCs w:val="15"/>
          <w:color w:val="auto"/>
        </w:rPr>
      </w:pPr>
    </w:p>
    <w:p>
      <w:pPr>
        <w:ind w:left="789" w:right="32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There were capital lease obligations of $250,000 incurred in the first three months of 1997.</w:t>
      </w:r>
    </w:p>
    <w:p>
      <w:pPr>
        <w:spacing w:after="0" w:line="174" w:lineRule="exact"/>
        <w:rPr>
          <w:rFonts w:ascii="Courier New" w:cs="Courier New" w:eastAsia="Courier New" w:hAnsi="Courier New"/>
          <w:sz w:val="15"/>
          <w:szCs w:val="15"/>
          <w:color w:val="auto"/>
        </w:rPr>
      </w:pPr>
    </w:p>
    <w:p>
      <w:pPr>
        <w:ind w:left="789"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accounts payable and accrued expenses at March 31, 1997 and December 31, 1996 were approximately $104,000 and $800,000, respectively, of accrued capital expenditures.</w:t>
      </w:r>
    </w:p>
    <w:p>
      <w:pPr>
        <w:spacing w:after="0" w:line="342" w:lineRule="exact"/>
        <w:rPr>
          <w:rFonts w:ascii="Courier New" w:cs="Courier New" w:eastAsia="Courier New" w:hAnsi="Courier New"/>
          <w:sz w:val="15"/>
          <w:szCs w:val="15"/>
          <w:color w:val="auto"/>
        </w:rPr>
      </w:pPr>
    </w:p>
    <w:p>
      <w:pPr>
        <w:ind w:left="789" w:hanging="789"/>
        <w:spacing w:after="0"/>
        <w:tabs>
          <w:tab w:leader="none" w:pos="78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w:t>
      </w:r>
    </w:p>
    <w:p>
      <w:pPr>
        <w:spacing w:after="0" w:line="174" w:lineRule="exact"/>
        <w:rPr>
          <w:rFonts w:ascii="Courier New" w:cs="Courier New" w:eastAsia="Courier New" w:hAnsi="Courier New"/>
          <w:sz w:val="15"/>
          <w:szCs w:val="15"/>
          <w:color w:val="auto"/>
        </w:rPr>
      </w:pPr>
    </w:p>
    <w:p>
      <w:pPr>
        <w:ind w:left="789" w:right="391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accrued expenses as of March 31, 1997 and December 31, 1996 consist of the following:</w:t>
      </w:r>
    </w:p>
    <w:p>
      <w:pPr>
        <w:spacing w:after="0" w:line="172" w:lineRule="exact"/>
        <w:rPr>
          <w:sz w:val="20"/>
          <w:szCs w:val="20"/>
          <w:color w:val="auto"/>
        </w:rPr>
      </w:pPr>
    </w:p>
    <w:tbl>
      <w:tblPr>
        <w:tblLayout w:type="fixed"/>
        <w:tblInd w:w="789"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March 31,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240" w:type="dxa"/>
            <w:vAlign w:val="bottom"/>
          </w:tcPr>
          <w:p>
            <w:pPr>
              <w:spacing w:after="0"/>
              <w:rPr>
                <w:sz w:val="14"/>
                <w:szCs w:val="14"/>
                <w:color w:val="auto"/>
              </w:rPr>
            </w:pP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3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32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$1,586,646</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$2,178,308</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Accrued payroll and related costs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776,755</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1,047,812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Accrued clinical trial expense</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319,500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319,500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Accrued expenses, other</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311,488</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389,062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Deferred compensation</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422,463</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422,463</w:t>
            </w:r>
          </w:p>
        </w:tc>
      </w:tr>
      <w:tr>
        <w:trPr>
          <w:trHeight w:val="171"/>
        </w:trPr>
        <w:tc>
          <w:tcPr>
            <w:tcW w:w="32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$3,416,852</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$4,357,145</w:t>
            </w:r>
          </w:p>
        </w:tc>
      </w:tr>
      <w:tr>
        <w:trPr>
          <w:trHeight w:val="171"/>
        </w:trPr>
        <w:tc>
          <w:tcPr>
            <w:tcW w:w="324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240" w:type="dxa"/>
            <w:vAlign w:val="bottom"/>
          </w:tcPr>
          <w:p>
            <w:pPr>
              <w:ind w:left="2680"/>
              <w:spacing w:after="0"/>
              <w:rPr>
                <w:sz w:val="20"/>
                <w:szCs w:val="20"/>
                <w:color w:val="auto"/>
              </w:rPr>
            </w:pPr>
            <w:r>
              <w:rPr>
                <w:rFonts w:ascii="Courier New" w:cs="Courier New" w:eastAsia="Courier New" w:hAnsi="Courier New"/>
                <w:sz w:val="15"/>
                <w:szCs w:val="15"/>
                <w:color w:val="auto"/>
              </w:rPr>
              <w:t>6</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0228"/>
          </w:cols>
          <w:pgMar w:left="231" w:top="628" w:right="1440" w:bottom="1440" w:gutter="0" w:footer="0" w:header="0"/>
        </w:sectPr>
      </w:pPr>
    </w:p>
    <w:bookmarkStart w:id="6" w:name="page7"/>
    <w:bookmarkEnd w:id="6"/>
    <w:p>
      <w:pPr>
        <w:ind w:left="9" w:right="3119"/>
        <w:spacing w:after="0" w:line="238"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Overview. The discussion below contains forward-looking statements that involve risks and uncertainties relating to the future financial performance of Regeneron Pharmaceuticals, Inc. ("Regeneron" or the "Company") and actual events or results may differ materially. These statements concern, among other things, the possible therapeutic applications of the Company's product candidates and research programs, the timing and nature of the Company's clinical and research programs now underway or planned, a variety of items described in the footnotes to the Company's financial statements (including the useful life of assets, the anticipated length of agreements, and other matters), and the future uses of capital and financial needs of the Company. These statements are made by the Company based on management's current beliefs and judgment. In evaluating such statements, stockholders and investors should specifically consider the various factors identified under the caption "Factors That May Affect Future Operating Results" which could cause actual results to differ materially from those indicated by such forward-looking statements.</w:t>
      </w:r>
    </w:p>
    <w:p>
      <w:pPr>
        <w:spacing w:after="0" w:line="163"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During the first quarter of 1997, Amgen Inc. ("Amgen"), on behalf of Amgen-Regeneron Partners, continued to conduct a further clinical trial of neurotrophin-3 ("NT-3") for the treatment of peripheral neuropathies caused by diabetes. Amgen also continued to conduct a trial of BDNF in Europe for the treatment of neuropathies caused by diabetes. The Company continued to develop and manufacture BDNF for use by Sumitomo Pharmaceuticals Co., Ltd. ("Sumitomo Pharmacteuticals") in Japan and continued the development of a series of preclinical research programs in the areas of inflammatory and muscle disease, angiogenesis, hematopoiesis, and cancer.</w:t>
      </w:r>
    </w:p>
    <w:p>
      <w:pPr>
        <w:spacing w:after="0" w:line="175"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In January 1997, Amgen and Regeneron announced that the Phase</w:t>
      </w:r>
    </w:p>
    <w:p>
      <w:pPr>
        <w:spacing w:after="0" w:line="3" w:lineRule="exact"/>
        <w:rPr>
          <w:sz w:val="20"/>
          <w:szCs w:val="20"/>
          <w:color w:val="auto"/>
        </w:rPr>
      </w:pPr>
    </w:p>
    <w:p>
      <w:pPr>
        <w:ind w:left="9" w:right="3219" w:hanging="9"/>
        <w:spacing w:after="0" w:line="258" w:lineRule="auto"/>
        <w:tabs>
          <w:tab w:leader="none" w:pos="364"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clinical trial of BDNF delivered subcutaneously did not demonstrate clinical efficacy in patients with ALS and that the trial confirmed the safety and tolerability of BDNF seen in earlier trials. The failure of the Phase III trial to achieve its primary end points had a materially adverse effect on the price of the Company's Common Stock (which declined more than 50% immediately after the announcement of the results of the trial). After the Phase III clinical trial results were announced, the Company retained independent experts in the fields of neurology and gastroenterology, as well as independent statisticians, to conduct further examination of the data. This review by the Company and the outside panels indicated 1) that a subset of ALS patients in the trial may have received a benefit from BDNF treatment and 2) that BDNF appeared to have an effect on the gastrointestinal system and might have a therapeutic role in treating constipating conditions, among other disorders. The panels recommended, among other things, that additional clinical and preclinical investigations of subcutaneous BDNF for ALS and BDNF for gastrointestinal conditions should be undertaken. The Company is reviewing these recommendations and the Phase III data and is discussing with Amgen and Sumitomo Pharmaceuticals whether to undertake these or other investigations of BDNF. Further development of BDNF in the United States must be undertaken in accordance with the terms of the Company's collaboration agreement with Amgen.</w:t>
      </w:r>
    </w:p>
    <w:p>
      <w:pPr>
        <w:spacing w:after="0" w:line="345"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Although Sumitomo Pharmaceuticals had planned a Phase I safety assessment of BDNF early in 1997, they are currently reviewing their BDNF development plan in light of the recently available information.</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8"/>
          </w:cols>
          <w:pgMar w:left="231" w:top="460" w:right="1440" w:bottom="1440" w:gutter="0" w:footer="0" w:header="0"/>
        </w:sectPr>
      </w:pPr>
    </w:p>
    <w:bookmarkStart w:id="7" w:name="page8"/>
    <w:bookmarkEnd w:id="7"/>
    <w:p>
      <w:pPr>
        <w:ind w:right="3219" w:firstLine="710"/>
        <w:spacing w:after="0"/>
        <w:rPr>
          <w:sz w:val="20"/>
          <w:szCs w:val="20"/>
          <w:color w:val="auto"/>
        </w:rPr>
      </w:pPr>
      <w:r>
        <w:rPr>
          <w:rFonts w:ascii="Courier New" w:cs="Courier New" w:eastAsia="Courier New" w:hAnsi="Courier New"/>
          <w:sz w:val="15"/>
          <w:szCs w:val="15"/>
          <w:color w:val="auto"/>
        </w:rPr>
        <w:t>The results of the Company's and its collaborators' past activities in connection with the research and development of BDNF and NT-3 do not necessarily predict the results or success of future activities including, but not limited to, any additional preclinical or clinical studies of BDNF or NT-3. The Company cannot predict whether, when, or under what conditions BDNF or NT-3 will be shown to be safe or effective to treat any human condition or be approved for marketing by any regulatory agency. The delay or failure of current or future studies to demonstrate the safety or efficacy of BDNF or NT-3 to treat human conditions or to be approved for marketing would have a material adverse impact on the Company.</w:t>
      </w:r>
    </w:p>
    <w:p>
      <w:pPr>
        <w:spacing w:after="0" w:line="178"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 and Amgen are conducting a Phase I trial of BDNF for ALS using intrathecal delivery. While intrathecal delivery may be more successful in delivering BDNF to certain motor neurons (the nerve cells that degenerate in ALS), it is not known whether intrathecal delivery will prove any more successful in demonstrating safety and utility in patients with ALS than the subcutaneous delivery used in the Phase III clinical trial that failed to achieve its primary end points. If additional studies of BDNF for ALS are undertaken, the time and expense required for such trials could be material to the Company and the outcome will be uncertain. If subsequent trials are conducted and such trials fail to demonstrate that BDNF is safe and effective in the treatment of ALS, that failure could have a materially adverse effect on the Company, the price of the Company's Common Stock, and the Company's ability to raise additional capital.</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No assurance can be given that extended administration of NT-3 will be safe or effective. The Phase I study of NT-3 in normal human volunteers that concluded in 1995 was a short term (seven day) treatment study. The current NT-3 clinical study involves substantially longer treatment (six months or longer). The treatment of peripheral neuropathy may present additional clinical trial risks in light of the complex and not wholly understood mechanisms of action that lead to the neuropathies, the presence of many other drugs to treat the underlying conditions, the potential difficulty of achieving significant clinical endpoints, and other factors. No assurance can be given that these or any other studies of NT-3 will be successful or that NT-3 will be commercialized.</w:t>
      </w:r>
    </w:p>
    <w:p>
      <w:pPr>
        <w:spacing w:after="0" w:line="179"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To date, Regeneron has not received any revenues from the commercial sale of products and may never receive such revenues. Before such revenues can be realized, the Company (or its collaborators) must overcome a number of hurdles which include successfully completing its research and development efforts and obtaining regulatory approval from the United States Food and Drug Administration ("FDA") or regulatory authorities in other countries. In addition, the biotechnology and pharmaceutical industries are rapidly evolving and highly competitive, and new developments may render the Company's products and technologies noncompetitive and obsolete.</w:t>
      </w:r>
    </w:p>
    <w:p>
      <w:pPr>
        <w:spacing w:after="0" w:line="348"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In the absence of revenues from commercial product sales or other sources (the amount, timing, nature, or source of which can not be predicted), the Company's losses will continue as the Company conducts its research and development activities. The Company's activities may expand over time and may require additional resources, and the Company's operating losses may be substantial over at least the next several years. The Company's losses may fluctuate from quarter to quarter and will depend, among other factors, on the timing of certain expenses and on the progress of the Company's research and development efforts.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Results of Operations</w:t>
      </w:r>
    </w:p>
    <w:p>
      <w:pPr>
        <w:spacing w:after="0" w:line="174" w:lineRule="exact"/>
        <w:rPr>
          <w:sz w:val="20"/>
          <w:szCs w:val="20"/>
          <w:color w:val="auto"/>
        </w:rPr>
      </w:pPr>
    </w:p>
    <w:p>
      <w:pPr>
        <w:ind w:right="3219" w:firstLine="710"/>
        <w:spacing w:after="0" w:line="258" w:lineRule="auto"/>
        <w:rPr>
          <w:sz w:val="20"/>
          <w:szCs w:val="20"/>
          <w:color w:val="auto"/>
        </w:rPr>
      </w:pPr>
      <w:r>
        <w:rPr>
          <w:rFonts w:ascii="Courier New" w:cs="Courier New" w:eastAsia="Courier New" w:hAnsi="Courier New"/>
          <w:sz w:val="14"/>
          <w:szCs w:val="14"/>
          <w:color w:val="auto"/>
        </w:rPr>
        <w:t>Three months ended March 31, 1997 and 1996. The Company's total revenue increased to $6.2 million for the first quarter of 1997 from $5.2 million for the same period in 1996. Contract research and development revenue remained the same at $4.2 million for the first quarter of 1997 compared to the same period in 1996. Contract research and development revenue earned from Sumitomo Pharmaceuticals increased to $2.8 million in the first quarter of 1997 from $2.7 million for the same period in 1996. Of the first quarter 1997 and 1996 Sumitomo Pharmaceuticals revenue, $0.7 million was for contract research for both periods, and $2.1 million and $2.0 million was reimbursement for developing manufacturing processes for BDNF and supplying BDNF, respectively. Contract research and development revenue earned from Amgen-Regeneron Partners ("the Partnership") decreased to $0.5 million for the first quarter of 1997 from $1.5 million for the same period in 1996. This reflects less spending on research conducted by Regeneron and Amgen on BDNF and NT-3. The Company entered into a research collaboration agreement with Procter &amp; Gamble Pharmaceuticals, Inc. ("Procter &amp; Gamble") in December of 1996, and contract research revenue related to this agreement totaled $0.9 million for the first quarter 1997. Contract manufacturing revenue related to the long-term manufacturing agreement (the "Merck Agreement") with Merck &amp; Co., Inc. ("Merck") for the first quarters of 1997 and 1996 totaled $0.7 million and $0.4 million, respectively. Investment income in the first quarter of 1997 increased to $1.3 million from $0.6 million for the same period in 1996, due primarily to higher levels of interest-bearing investments resulting from the private placements of equity securities with Amgen, Medtronic, Inc. ("Medtronic"), and Procter &amp; Gamble in April, June, and December 1996, respectively.</w:t>
      </w:r>
    </w:p>
    <w:p>
      <w:pPr>
        <w:spacing w:after="0" w:line="345"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The Company's total operating expenses decreased to $12.1 million in the first quarter of 1997 from $13.0 million for the same period in 1996. Research and development expense increased to $7.1 million in the first quarter of 1997 from $6.9 million for the same period in 1996 as a result of increased activity in the Company's Rensselaer, New York manufacturing facility related to the Company's agreement with Merck. Loss in Amgen-Regeneron Partners decreased to $1.7 million in the first quarter of 1997 from $2.7 million for the same period in 1996, as the Partnership completed the Phase III clinical trial of BDNF in 1996. Research and development expenses (including Loss in Amgen-Regeneron Partners) were approximately 72% of total operating expenses in the first quarter of 1997 compared to 74% for the same period in 1996.</w:t>
      </w:r>
    </w:p>
    <w:p>
      <w:pPr>
        <w:spacing w:after="0" w:line="336" w:lineRule="exact"/>
        <w:rPr>
          <w:sz w:val="20"/>
          <w:szCs w:val="20"/>
          <w:color w:val="auto"/>
        </w:rPr>
      </w:pPr>
    </w:p>
    <w:p>
      <w:pPr>
        <w:ind w:right="3299" w:firstLine="710"/>
        <w:spacing w:after="0" w:line="259" w:lineRule="auto"/>
        <w:rPr>
          <w:sz w:val="20"/>
          <w:szCs w:val="20"/>
          <w:color w:val="auto"/>
        </w:rPr>
      </w:pPr>
      <w:r>
        <w:rPr>
          <w:rFonts w:ascii="Courier New" w:cs="Courier New" w:eastAsia="Courier New" w:hAnsi="Courier New"/>
          <w:sz w:val="14"/>
          <w:szCs w:val="14"/>
          <w:color w:val="auto"/>
        </w:rPr>
        <w:t>General and administrative expenses totaled $1.5 million in the first quarters of 1997 and 1996, as a decrease in legal and patent expenses in 1997 offset increases in salary and employee benefit expenses. Depreciation and amortization decreased from $1.5 million in the first quarter of 1996 to $1.2 million in the first quarter of 1997 as older lab equipment became fully depreciated and because capitalized patent costs were fully amortized in 1996. Interest expense decreased to $0.2 million in the first quarter of 1997 from $0.3 million for the same period in 1996, resulting from the expiration of equipment leases during 1996. Contract manufacturing expenses are direct expenses related to the long-term manufacturing agreement with Merck.</w:t>
      </w:r>
    </w:p>
    <w:p>
      <w:pPr>
        <w:spacing w:after="0" w:line="16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Company's net loss for the first quarter of 1997 was $5.9 million, or $0.23 per share, compared to a net loss of $7.8 million, or $0.35 per share, for the same period in 1996.</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Since its inception in 1988, the Company has financed its operations primarily through private placements and public offerings of its equity securities, revenue earned under the several agreements between the Company and each of Amgen, Sumitomo Chemical Company, Ltd., Sumitomo Pharmaceuticals, Merck, Medtronic, and Procter &amp; Gamble and investment income. In connection with the Company's agreement to collaborate with Procter &amp; Gamble in the research and development of skeletal muscle disease and injury, Procter &amp; Gamble paid the Company $1.0 million in December 1996, and has agreed to pay the Company an additional $3.75 million per year through at least December 1999. In connection with the Company's agreement to collaborate with Sumitomo Pharmaceuticals in the research and development of BDNF in Japan, Sumitomo Pharmaceuticals paid the Company $22.0 million through December 1996 (which includes a payment of $3.0 million for 1997) and agreed to pay the Company an additional $3.0 million in 1998. Sumitomo Pharmaceuticals has the option to cancel the 1998 payment; however, if such a cancellation were to occur, Sumitomo Pharmaceutical's rights to develop and commercialize BDNF in Japan would revert to the Company. In addition, the Company is being reimbursed in connection with supplying Sumitomo Pharmaceuticals with BDNF for preclinical use.</w:t>
      </w:r>
    </w:p>
    <w:p>
      <w:pPr>
        <w:spacing w:after="0" w:line="18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Company's activities relating to BDNF and NT-3, as agreed upon by Amgen and Regeneron, are being reimbursed by Amgen-Regeneron Partners, and the Company recognizes such reimbursement as revenue. The funding of Amgen-Regeneron Partners is through capital contributions from Amgen and Regeneron, who must make equal payments in order to maintain equal ownership and equal sharing of any profits or losses from the partnership. The Company has made capital contributions totaling approximately $42.6 million to Amgen-Regeneron Partners from the partnership's inception in June 1993 through March 31, 1997. The Company expects that its capital contributions in 1997 will total approximately $3.0 million to $5.0 million. These contributions could increase or decrease, depending upon the cost of Amgen-Regeneron Partners' conducting additional BDNF and NT-3 preclinical and clinical studies and the</w:t>
      </w:r>
    </w:p>
    <w:p>
      <w:pPr>
        <w:spacing w:after="0" w:line="180"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outcomes of those and other ongoing studies. Capital contributions beyond 1997 are also anticipated to be significant.</w:t>
      </w:r>
    </w:p>
    <w:p>
      <w:pPr>
        <w:spacing w:after="0" w:line="175"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From its inception in January 1988 through March 31, 1997, the Company invested approximately $54.2 million in property, plant and equipment, including $16.8 million to acquire and renovate the Rensselaer facility, $6.3 million of newly completed construction, and $6.6 million of new construction that is in progress related to the modification of the facility in connection with the Merck Agreement. In connection with the purchase and renovation of the Rensselaer facility, the Company obtained financing of $2.0 million from the New York State Urban Development Corporation, of which $1.8 million is outstanding. Under the terms of such financing the Company is not permitted to declare or pay dividends to its stockholders.</w:t>
      </w:r>
    </w:p>
    <w:p>
      <w:pPr>
        <w:spacing w:after="0" w:line="16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During 1996, the Company entered into a series of new leasing agreements (the "New Lease Line") which provides up to $4.0 million to finance equipment acquisitions and certain building improvements, as defined, (collectively, the "Equipment"). The Company may utilize the New Lease Line in increments ("leases"). Lease terms are for four years after which the Company is required to purchase the Equipment at defined amounts. Certain of the leases may be renewed for eight months at defined monthly payments after which the Company will own the Equipment. At March 31, 1997, the Company had available approximately $0.8 million of the New Lease Line.</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1440" w:gutter="0" w:footer="0" w:header="0"/>
        </w:sectPr>
      </w:pPr>
    </w:p>
    <w:bookmarkStart w:id="10" w:name="page11"/>
    <w:bookmarkEnd w:id="10"/>
    <w:p>
      <w:pPr>
        <w:ind w:right="3399" w:firstLine="710"/>
        <w:spacing w:after="0" w:line="260" w:lineRule="auto"/>
        <w:rPr>
          <w:sz w:val="20"/>
          <w:szCs w:val="20"/>
          <w:color w:val="auto"/>
        </w:rPr>
      </w:pPr>
      <w:r>
        <w:rPr>
          <w:rFonts w:ascii="Courier New" w:cs="Courier New" w:eastAsia="Courier New" w:hAnsi="Courier New"/>
          <w:sz w:val="14"/>
          <w:szCs w:val="14"/>
          <w:color w:val="auto"/>
        </w:rPr>
        <w:t>The Company expects that expenses related to the filing, prosecution, defense and enforcement of patent and other intellectual property claims will continue to be substantial as a result of patent filings and prosecutions in the United States and foreign countries. The Company is currently involved in two interference proceedings in the Patent and Trademark Office between Regeneron's patent applications and patents relating to CNTF issued to Synergen, Inc. Amgen acquired all outstanding shares of Synergen in 1994.</w:t>
      </w:r>
    </w:p>
    <w:p>
      <w:pPr>
        <w:spacing w:after="0" w:line="163"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As of March 31, 1997, the Company had no established banking arrangements through which it could obtain short-term financing or a line of credit. Additional funds may be raised through, among other things, the issuance of additional securities, other financing arrangements, and future collaboration agreements. No assurance can be given that additional financing will be available or, if available, that it will be available on acceptable terms.</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At March 31, 1997, the Company had $91.3 million in cash, cash equivalents, and marketable securities. The Company expects to incur ongoing funding requirements for capital contributions to Amgen-Regeneron Partners to support the continued development and clinical trials of BDNF and NT-3. The Company also expects to incur substantial funding requirements for, among other things, its research and development activities (including preclinical and clinical testing), validation of its manufacturing facilities, and the acquisition of equipment, and may incur substantial funding requirements for expenses related to the patent interference proceedings and other patent matters. The amount needed to fund operations will also depend on other</w:t>
      </w:r>
    </w:p>
    <w:p>
      <w:pPr>
        <w:spacing w:after="0" w:line="178"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factors, including the status of competitive products, the success of the Company's research and development programs, the status of patents and other intellectual property rights developments, and the extent and success of any collaborative research programs. The Company expects to incur additional capital expenditures in connection with the renovation and validation of its Rensselaer facility pursuant to its manufacturing agreement with Merck. However, the Company also expects that such expenditures will be substantially reimbursed by Merck, subject to certain conditions. The Company believes that its existing capital resources will enable it to meet operating needs into 1999. No assurance can be given that there will be no change in projected revenues or expenses that would lead to the Company's capital being consumed at a faster rate than currently expected. In order to continue to attempt to assure Regeneron's financial condition and maximize its technological developments for the long-term benefit of shareholders, the Company from time to time seeks additional corporate partners and explores other opportunities to obtain research and development funding. No assurance can be given that such partners or funding will be available or, if available, will be on terms favorable or acceptable to the Company.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That May Affect Future Operating Results</w:t>
      </w:r>
    </w:p>
    <w:p>
      <w:pPr>
        <w:spacing w:after="0" w:line="17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Regeneron cautions stockholders and investors that the following important factors, among others, in some cases have affected, and in the future could affect, Regeneron's actual results and could cause Regeneron's actual results to differ materially from those expressed in any forward-looking statements made by, or on behalf of, Regeneron. The statements under this caption are intended to serve as cautionary statements within the meaning of the Private Securities Litigation Reform Act of 1995. The following information is not intended to limit in any way the characterization of other statements or information under other captions as cautionary statements for such purpose:</w:t>
      </w:r>
    </w:p>
    <w:p>
      <w:pPr>
        <w:spacing w:after="0" w:line="16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631" w:right="1440" w:bottom="1440" w:gutter="0" w:footer="0" w:header="0"/>
        </w:sectPr>
      </w:pPr>
    </w:p>
    <w:bookmarkStart w:id="11" w:name="page12"/>
    <w:bookmarkEnd w:id="11"/>
    <w:p>
      <w:pPr>
        <w:ind w:left="449" w:right="329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of the Company's preclinical drug research and development programs to produce product candidates that are scientifically or commercially appropriate for further development by the Company or others.</w:t>
      </w:r>
    </w:p>
    <w:p>
      <w:pPr>
        <w:spacing w:after="0" w:line="176" w:lineRule="exact"/>
        <w:rPr>
          <w:rFonts w:ascii="Courier New" w:cs="Courier New" w:eastAsia="Courier New" w:hAnsi="Courier New"/>
          <w:sz w:val="15"/>
          <w:szCs w:val="15"/>
          <w:color w:val="auto"/>
        </w:rPr>
      </w:pPr>
    </w:p>
    <w:p>
      <w:pPr>
        <w:ind w:left="449" w:right="329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 difficulty, or failure in obtaining regulatory approval (including approval of its facilities for production) for the Company's products (including vaccine intermediate for Merck), including delays or difficulties in development because of insufficient proof of safety or efficacy.</w:t>
      </w:r>
    </w:p>
    <w:p>
      <w:pPr>
        <w:spacing w:after="0" w:line="174" w:lineRule="exact"/>
        <w:rPr>
          <w:rFonts w:ascii="Courier New" w:cs="Courier New" w:eastAsia="Courier New" w:hAnsi="Courier New"/>
          <w:sz w:val="15"/>
          <w:szCs w:val="15"/>
          <w:color w:val="auto"/>
        </w:rPr>
      </w:pPr>
    </w:p>
    <w:p>
      <w:pPr>
        <w:ind w:left="449" w:right="365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and irregular costs of development, regulatory approval, manufacture, sales, and marketing associated with the introduction of products in the late stage of development.</w:t>
      </w:r>
    </w:p>
    <w:p>
      <w:pPr>
        <w:spacing w:after="0" w:line="175" w:lineRule="exact"/>
        <w:rPr>
          <w:rFonts w:ascii="Courier New" w:cs="Courier New" w:eastAsia="Courier New" w:hAnsi="Courier New"/>
          <w:sz w:val="15"/>
          <w:szCs w:val="15"/>
          <w:color w:val="auto"/>
        </w:rPr>
      </w:pPr>
    </w:p>
    <w:p>
      <w:pPr>
        <w:ind w:left="449" w:right="3299" w:hanging="449"/>
        <w:spacing w:after="0" w:line="264" w:lineRule="auto"/>
        <w:tabs>
          <w:tab w:leader="none" w:pos="449"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Cancellation or termination of material collaborative or licensing agreements and resulting loss of research or other funding and have other material adverse effects on the Company and its operations. A change of</w:t>
      </w:r>
    </w:p>
    <w:p>
      <w:pPr>
        <w:spacing w:after="0" w:line="159" w:lineRule="exact"/>
        <w:rPr>
          <w:rFonts w:ascii="Courier New" w:cs="Courier New" w:eastAsia="Courier New" w:hAnsi="Courier New"/>
          <w:sz w:val="14"/>
          <w:szCs w:val="14"/>
          <w:color w:val="auto"/>
        </w:rPr>
      </w:pPr>
    </w:p>
    <w:p>
      <w:pPr>
        <w:ind w:left="449" w:right="3839"/>
        <w:spacing w:after="0" w:line="27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control of one or more of the Company's material collaborators or licensees could also have a material adverse effect on the Company.</w:t>
      </w:r>
    </w:p>
    <w:p>
      <w:pPr>
        <w:spacing w:after="0" w:line="153" w:lineRule="exact"/>
        <w:rPr>
          <w:rFonts w:ascii="Courier New" w:cs="Courier New" w:eastAsia="Courier New" w:hAnsi="Courier New"/>
          <w:sz w:val="14"/>
          <w:szCs w:val="14"/>
          <w:color w:val="auto"/>
        </w:rPr>
      </w:pPr>
    </w:p>
    <w:p>
      <w:pPr>
        <w:ind w:left="449" w:right="3399" w:hanging="449"/>
        <w:spacing w:after="0" w:line="238"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or market factors may cause use of the Company's products to be limited or otherwise fail to achieve broad acceptance.</w:t>
      </w:r>
    </w:p>
    <w:p>
      <w:pPr>
        <w:spacing w:after="0" w:line="174" w:lineRule="exact"/>
        <w:rPr>
          <w:rFonts w:ascii="Courier New" w:cs="Courier New" w:eastAsia="Courier New" w:hAnsi="Courier New"/>
          <w:sz w:val="15"/>
          <w:szCs w:val="15"/>
          <w:color w:val="auto"/>
        </w:rPr>
      </w:pPr>
    </w:p>
    <w:p>
      <w:pPr>
        <w:ind w:left="449" w:right="375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obtain, maintain, and prosecute intellectual property rights, and the cost of acquiring in-process technology and other intellectual property rights, either by license, collaboration, or purchase of another entity.</w:t>
      </w:r>
    </w:p>
    <w:p>
      <w:pPr>
        <w:spacing w:after="0" w:line="176"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or high costs of obtaining adequate financing to meet the Company's obligations under its collaboration and licensing agreements or to fund 50 percent of the cost of developing product candidates in order to retain 50 percent of the commercialization rights.</w:t>
      </w:r>
    </w:p>
    <w:p>
      <w:pPr>
        <w:spacing w:after="0" w:line="176" w:lineRule="exact"/>
        <w:rPr>
          <w:rFonts w:ascii="Courier New" w:cs="Courier New" w:eastAsia="Courier New" w:hAnsi="Courier New"/>
          <w:sz w:val="15"/>
          <w:szCs w:val="15"/>
          <w:color w:val="auto"/>
        </w:rPr>
      </w:pPr>
    </w:p>
    <w:p>
      <w:pPr>
        <w:ind w:left="449" w:right="339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and rate of growth in Regeneron's selling, general, and administrative expenses, and the impact of unusual or infrequent charges resulting from Regeneron's ongoing evaluation of its business strategies and organizational structure.</w:t>
      </w:r>
    </w:p>
    <w:p>
      <w:pPr>
        <w:spacing w:after="0" w:line="176" w:lineRule="exact"/>
        <w:rPr>
          <w:rFonts w:ascii="Courier New" w:cs="Courier New" w:eastAsia="Courier New" w:hAnsi="Courier New"/>
          <w:sz w:val="15"/>
          <w:szCs w:val="15"/>
          <w:color w:val="auto"/>
        </w:rPr>
      </w:pPr>
    </w:p>
    <w:p>
      <w:pPr>
        <w:ind w:left="449" w:right="3299" w:hanging="449"/>
        <w:spacing w:after="0"/>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of corporate partners to commercialize successfully the Company's products or to retain and expand the markets served by the commercial collaborations; conflicts of interest, priorities, and commercial strategies which may arise between the Company and such corporate partners.</w:t>
      </w:r>
    </w:p>
    <w:p>
      <w:pPr>
        <w:spacing w:after="0" w:line="174" w:lineRule="exact"/>
        <w:rPr>
          <w:rFonts w:ascii="Courier New" w:cs="Courier New" w:eastAsia="Courier New" w:hAnsi="Courier New"/>
          <w:sz w:val="15"/>
          <w:szCs w:val="15"/>
          <w:color w:val="auto"/>
        </w:rPr>
      </w:pPr>
    </w:p>
    <w:p>
      <w:pPr>
        <w:ind w:left="449" w:right="321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launching or marketing the Company's products by the Company or its licensees, especially when such products are novel products based on biotechnology, and unpredictability of customer acceptance of such products.</w:t>
      </w:r>
    </w:p>
    <w:p>
      <w:pPr>
        <w:spacing w:after="0" w:line="176" w:lineRule="exact"/>
        <w:rPr>
          <w:rFonts w:ascii="Courier New" w:cs="Courier New" w:eastAsia="Courier New" w:hAnsi="Courier New"/>
          <w:sz w:val="15"/>
          <w:szCs w:val="15"/>
          <w:color w:val="auto"/>
        </w:rPr>
      </w:pPr>
    </w:p>
    <w:p>
      <w:pPr>
        <w:ind w:left="449" w:right="3299" w:hanging="449"/>
        <w:spacing w:after="0" w:line="239" w:lineRule="auto"/>
        <w:tabs>
          <w:tab w:leader="none" w:pos="44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Inability to maintain or initiate third party arrangements which generate revenues, in the form of license fees, research and development support, royalties, and other payments, in return for rights to technology or products under development by the Company.</w:t>
      </w:r>
    </w:p>
    <w:p>
      <w:pPr>
        <w:spacing w:after="0" w:line="174"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28"/>
          </w:cols>
          <w:pgMar w:left="231" w:top="631" w:right="1440" w:bottom="1440" w:gutter="0" w:footer="0" w:header="0"/>
        </w:sectPr>
      </w:pPr>
    </w:p>
    <w:bookmarkStart w:id="12" w:name="page13"/>
    <w:bookmarkEnd w:id="12"/>
    <w:p>
      <w:pPr>
        <w:ind w:left="449" w:right="329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or difficulties in developing and acquiring production technology and technical and managerial personnel to manufacture novel biotechnology products in commercial quantities at reasonable costs and in compliance with applicable quality assurance and environmental regulations and governmental permitting requirements.</w:t>
      </w:r>
    </w:p>
    <w:p>
      <w:pPr>
        <w:spacing w:after="0" w:line="174" w:lineRule="exact"/>
        <w:rPr>
          <w:rFonts w:ascii="Courier New" w:cs="Courier New" w:eastAsia="Courier New" w:hAnsi="Courier New"/>
          <w:sz w:val="15"/>
          <w:szCs w:val="15"/>
          <w:color w:val="auto"/>
        </w:rPr>
      </w:pPr>
    </w:p>
    <w:p>
      <w:pPr>
        <w:ind w:left="449" w:right="4099" w:hanging="449"/>
        <w:spacing w:after="0" w:line="238" w:lineRule="auto"/>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obtaining key raw materials and supplies for the manufacture of the Company's product candidates.</w:t>
      </w:r>
    </w:p>
    <w:p>
      <w:pPr>
        <w:spacing w:after="0" w:line="174" w:lineRule="exact"/>
        <w:rPr>
          <w:rFonts w:ascii="Courier New" w:cs="Courier New" w:eastAsia="Courier New" w:hAnsi="Courier New"/>
          <w:sz w:val="15"/>
          <w:szCs w:val="15"/>
          <w:color w:val="auto"/>
        </w:rPr>
      </w:pPr>
    </w:p>
    <w:p>
      <w:pPr>
        <w:ind w:left="449" w:right="3399" w:hanging="449"/>
        <w:spacing w:after="0" w:line="262"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costs and other effects of legal and administrative cases and proceedings (whether civil, such as product-related or environmental, or criminal); settlements and investigations; developments or assertions by or against Regeneron relating to intellectual property rights and</w:t>
      </w:r>
    </w:p>
    <w:p>
      <w:pPr>
        <w:spacing w:after="0" w:line="160" w:lineRule="exact"/>
        <w:rPr>
          <w:rFonts w:ascii="Courier New" w:cs="Courier New" w:eastAsia="Courier New" w:hAnsi="Courier New"/>
          <w:sz w:val="14"/>
          <w:szCs w:val="14"/>
          <w:color w:val="auto"/>
        </w:rPr>
      </w:pPr>
    </w:p>
    <w:p>
      <w:pPr>
        <w:ind w:left="449" w:right="339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licenses; the issuance and use of patents and proprietary technology by Regeneron and its competitors, including the possible negative effect on the Company's ability to develop, manufacture, and sell its products in circumstances where it is unable to obtain licenses to patents which may be required for such products.</w:t>
      </w:r>
    </w:p>
    <w:p>
      <w:pPr>
        <w:spacing w:after="0" w:line="174" w:lineRule="exact"/>
        <w:rPr>
          <w:rFonts w:ascii="Courier New" w:cs="Courier New" w:eastAsia="Courier New" w:hAnsi="Courier New"/>
          <w:sz w:val="14"/>
          <w:szCs w:val="14"/>
          <w:color w:val="auto"/>
        </w:rPr>
      </w:pPr>
    </w:p>
    <w:p>
      <w:pPr>
        <w:ind w:left="449" w:right="321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Underutilization of the Company's existing or new manufacturing facilities or of any facility expansions, resulting in inefficiencies and higher costs; start-up costs, inefficiencies, delays, and increased depreciation costs in connection with the start of production in new plants and expansions.</w:t>
      </w:r>
    </w:p>
    <w:p>
      <w:pPr>
        <w:spacing w:after="0" w:line="174" w:lineRule="exact"/>
        <w:rPr>
          <w:rFonts w:ascii="Courier New" w:cs="Courier New" w:eastAsia="Courier New" w:hAnsi="Courier New"/>
          <w:sz w:val="15"/>
          <w:szCs w:val="15"/>
          <w:color w:val="auto"/>
        </w:rPr>
      </w:pPr>
    </w:p>
    <w:p>
      <w:pPr>
        <w:ind w:left="449" w:right="3759" w:hanging="449"/>
        <w:spacing w:after="0" w:line="271" w:lineRule="auto"/>
        <w:tabs>
          <w:tab w:leader="none" w:pos="44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Health care reform, including reductions or changes in reimbursement available for prescription medications or other reforms.</w:t>
      </w:r>
    </w:p>
    <w:p>
      <w:pPr>
        <w:spacing w:after="0" w:line="153" w:lineRule="exact"/>
        <w:rPr>
          <w:rFonts w:ascii="Courier New" w:cs="Courier New" w:eastAsia="Courier New" w:hAnsi="Courier New"/>
          <w:sz w:val="14"/>
          <w:szCs w:val="14"/>
          <w:color w:val="auto"/>
        </w:rPr>
      </w:pPr>
    </w:p>
    <w:p>
      <w:pPr>
        <w:ind w:left="449" w:right="3219" w:hanging="449"/>
        <w:spacing w:after="0"/>
        <w:tabs>
          <w:tab w:leader="none" w:pos="4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attract and retain key personnel. As Regeneron's scientific efforts lead to potentially promising new directions, both outside of recombinant protein therapies (into orally active, small molecule pharmaceuticals) and outside of treatments for neurological and neurodegenerative conditions (into, for example, potential programs in cancer, inflammation, muscle disease, angiogenesis, and hematopoiesis), the Company will require additional internal expertise or external collaborations in areas in which it currently does not have substantial resources and personnel.</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Impact of the Adoption of Recently Issued Accounting Standards</w:t>
      </w:r>
    </w:p>
    <w:p>
      <w:pPr>
        <w:spacing w:after="0" w:line="174" w:lineRule="exact"/>
        <w:rPr>
          <w:sz w:val="20"/>
          <w:szCs w:val="20"/>
          <w:color w:val="auto"/>
        </w:rPr>
      </w:pPr>
    </w:p>
    <w:p>
      <w:pPr>
        <w:ind w:left="9" w:right="3299" w:firstLine="710"/>
        <w:spacing w:after="0" w:line="260" w:lineRule="auto"/>
        <w:rPr>
          <w:sz w:val="20"/>
          <w:szCs w:val="20"/>
          <w:color w:val="auto"/>
        </w:rPr>
      </w:pPr>
      <w:r>
        <w:rPr>
          <w:rFonts w:ascii="Courier New" w:cs="Courier New" w:eastAsia="Courier New" w:hAnsi="Courier New"/>
          <w:sz w:val="14"/>
          <w:szCs w:val="14"/>
          <w:color w:val="auto"/>
        </w:rPr>
        <w:t>In February 1997, the Financial Accounting Standards Board issued Financial Accounting Standard No. 128, "Earnings Per Share" ("SFAS 128"). SFAS 128 will require the Company to replace the current presentation of "primary" per share data with "basic" and "diluted" per share data. Currently, outstanding common stock equivalents are antidilutive and therefore management estimates that the future adoption of SFAS 128 currently will not have a material impact on the Company's per share data. SFAS 128 will be adopted by the Company for periods ending after December 15, 1997.</w:t>
      </w:r>
    </w:p>
    <w:p>
      <w:pPr>
        <w:spacing w:after="0" w:line="15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31"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PART II. 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74" w:lineRule="exact"/>
        <w:rPr>
          <w:sz w:val="20"/>
          <w:szCs w:val="20"/>
          <w:color w:val="auto"/>
        </w:rPr>
      </w:pPr>
    </w:p>
    <w:p>
      <w:pPr>
        <w:ind w:left="2380" w:right="3399" w:hanging="792"/>
        <w:spacing w:after="0" w:line="238" w:lineRule="auto"/>
        <w:tabs>
          <w:tab w:leader="none" w:pos="23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computation of loss per share for the three months ended March 31, 1997 and 1996.</w:t>
      </w:r>
    </w:p>
    <w:p>
      <w:pPr>
        <w:spacing w:after="0" w:line="172"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27</w:t>
      </w:r>
      <w:r>
        <w:rPr>
          <w:rFonts w:ascii="Courier New" w:cs="Courier New" w:eastAsia="Courier New" w:hAnsi="Courier New"/>
          <w:sz w:val="14"/>
          <w:szCs w:val="14"/>
          <w:color w:val="auto"/>
        </w:rPr>
        <w:t>Financial Data Schedule</w:t>
      </w:r>
    </w:p>
    <w:p>
      <w:pPr>
        <w:spacing w:after="0" w:line="342" w:lineRule="exact"/>
        <w:rPr>
          <w:sz w:val="20"/>
          <w:szCs w:val="20"/>
          <w:color w:val="auto"/>
        </w:rPr>
      </w:pPr>
    </w:p>
    <w:p>
      <w:pPr>
        <w:ind w:left="1580" w:hanging="790"/>
        <w:spacing w:after="0"/>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w:t>
      </w:r>
    </w:p>
    <w:p>
      <w:pPr>
        <w:spacing w:after="0" w:line="174" w:lineRule="exact"/>
        <w:rPr>
          <w:rFonts w:ascii="Courier New" w:cs="Courier New" w:eastAsia="Courier New" w:hAnsi="Courier New"/>
          <w:sz w:val="15"/>
          <w:szCs w:val="15"/>
          <w:color w:val="auto"/>
        </w:rPr>
      </w:pPr>
    </w:p>
    <w:p>
      <w:pPr>
        <w:ind w:left="1580" w:right="3479"/>
        <w:spacing w:after="0" w:line="23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by the registrant during the quarter ended March 31, 1997.</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28" w:right="1440" w:bottom="1440" w:gutter="0" w:footer="0" w:header="0"/>
        </w:sectPr>
      </w:pPr>
    </w:p>
    <w:bookmarkStart w:id="14" w:name="page15"/>
    <w:bookmarkEnd w:id="14"/>
    <w:p>
      <w:pPr>
        <w:ind w:left="3100"/>
        <w:spacing w:after="0"/>
        <w:rPr>
          <w:sz w:val="20"/>
          <w:szCs w:val="20"/>
          <w:color w:val="auto"/>
        </w:rPr>
      </w:pPr>
      <w:r>
        <w:rPr>
          <w:rFonts w:ascii="Courier New" w:cs="Courier New" w:eastAsia="Courier New" w:hAnsi="Courier New"/>
          <w:sz w:val="15"/>
          <w:szCs w:val="15"/>
          <w:color w:val="auto"/>
        </w:rPr>
        <w:t>SIGNATURE</w:t>
      </w:r>
    </w:p>
    <w:p>
      <w:pPr>
        <w:spacing w:after="0" w:line="345" w:lineRule="exact"/>
        <w:rPr>
          <w:sz w:val="20"/>
          <w:szCs w:val="20"/>
          <w:color w:val="auto"/>
        </w:rPr>
      </w:pPr>
    </w:p>
    <w:p>
      <w:pPr>
        <w:jc w:val="both"/>
        <w:ind w:right="3839"/>
        <w:spacing w:after="0" w:line="239"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343"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Regeneron Pharmaceuticals, Inc.</w:t>
      </w:r>
    </w:p>
    <w:p>
      <w:pPr>
        <w:sectPr>
          <w:pgSz w:w="11900" w:h="16838" w:orient="portrait"/>
          <w:cols w:equalWidth="0" w:num="1">
            <w:col w:w="10219"/>
          </w:cols>
          <w:pgMar w:left="240" w:top="799" w:right="1440" w:bottom="1440" w:gutter="0" w:footer="0" w:header="0"/>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5"/>
          <w:szCs w:val="15"/>
          <w:color w:val="auto"/>
        </w:rPr>
        <w:t>May 7, 1997</w:t>
      </w:r>
    </w:p>
    <w:p>
      <w:pPr>
        <w:spacing w:after="0" w:line="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 Murray A. Goldberg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Murray A. Goldberg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Finance &amp; Administration,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 and Treasurer</w:t>
      </w:r>
    </w:p>
    <w:p>
      <w:pPr>
        <w:spacing w:after="0" w:line="200" w:lineRule="exact"/>
        <w:rPr>
          <w:sz w:val="20"/>
          <w:szCs w:val="20"/>
          <w:color w:val="auto"/>
        </w:rPr>
      </w:pPr>
    </w:p>
    <w:p>
      <w:pPr>
        <w:sectPr>
          <w:pgSz w:w="11900" w:h="16838" w:orient="portrait"/>
          <w:cols w:equalWidth="0" w:num="4">
            <w:col w:w="440" w:space="0"/>
            <w:col w:w="1760" w:space="720"/>
            <w:col w:w="260" w:space="100"/>
            <w:col w:w="6939"/>
          </w:cols>
          <w:pgMar w:left="240" w:top="799"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15</w:t>
      </w:r>
    </w:p>
    <w:p>
      <w:pPr>
        <w:sectPr>
          <w:pgSz w:w="11900" w:h="16838" w:orient="portrait"/>
          <w:cols w:equalWidth="0" w:num="1">
            <w:col w:w="10219"/>
          </w:cols>
          <w:pgMar w:left="240" w:top="799" w:right="1440"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Exhibit 11</w:t>
            </w:r>
          </w:p>
        </w:tc>
        <w:tc>
          <w:tcPr>
            <w:tcW w:w="1280" w:type="dxa"/>
            <w:vAlign w:val="bottom"/>
          </w:tcPr>
          <w:p>
            <w:pPr>
              <w:spacing w:after="0"/>
              <w:rPr>
                <w:sz w:val="14"/>
                <w:szCs w:val="14"/>
                <w:color w:val="auto"/>
              </w:rPr>
            </w:pPr>
          </w:p>
        </w:tc>
      </w:tr>
      <w:tr>
        <w:trPr>
          <w:trHeight w:val="512"/>
        </w:trPr>
        <w:tc>
          <w:tcPr>
            <w:tcW w:w="5360" w:type="dxa"/>
            <w:vAlign w:val="bottom"/>
          </w:tcPr>
          <w:p>
            <w:pPr>
              <w:spacing w:after="0"/>
              <w:rPr>
                <w:sz w:val="20"/>
                <w:szCs w:val="20"/>
                <w:color w:val="auto"/>
              </w:rPr>
            </w:pPr>
            <w:r>
              <w:rPr>
                <w:rFonts w:ascii="Courier New" w:cs="Courier New" w:eastAsia="Courier New" w:hAnsi="Courier New"/>
                <w:sz w:val="15"/>
                <w:szCs w:val="15"/>
                <w:color w:val="auto"/>
              </w:rPr>
              <w:t>REGENERON PHARMACEUTICALS, INC.</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STATEMENT OF COMPUTATION OF NET LOSS PER SHARE</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853"/>
        </w:trPr>
        <w:tc>
          <w:tcPr>
            <w:tcW w:w="5360" w:type="dxa"/>
            <w:vAlign w:val="bottom"/>
          </w:tcPr>
          <w:p>
            <w:pPr>
              <w:spacing w:after="0"/>
              <w:rPr>
                <w:sz w:val="24"/>
                <w:szCs w:val="24"/>
                <w:color w:val="auto"/>
              </w:rPr>
            </w:pPr>
          </w:p>
        </w:tc>
        <w:tc>
          <w:tcPr>
            <w:tcW w:w="2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Three months ended March 31,</w:t>
            </w:r>
          </w:p>
        </w:tc>
      </w:tr>
      <w:tr>
        <w:trPr>
          <w:trHeight w:val="171"/>
        </w:trPr>
        <w:tc>
          <w:tcPr>
            <w:tcW w:w="5360" w:type="dxa"/>
            <w:vAlign w:val="bottom"/>
          </w:tcPr>
          <w:p>
            <w:pPr>
              <w:spacing w:after="0"/>
              <w:rPr>
                <w:sz w:val="14"/>
                <w:szCs w:val="14"/>
                <w:color w:val="auto"/>
              </w:rPr>
            </w:pPr>
          </w:p>
        </w:tc>
        <w:tc>
          <w:tcPr>
            <w:tcW w:w="2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1996</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Primary:</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($ 5,928,849)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($ 7,767,498)</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 number of Class A and</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360" w:type="dxa"/>
            <w:vAlign w:val="bottom"/>
          </w:tcPr>
          <w:p>
            <w:pPr>
              <w:ind w:left="142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25,798,971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22,007,864</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ind w:left="1420"/>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($0.35)</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Net loss</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($ 5,928,849)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($ 7,767,498)</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Per share data</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Weighted average number of Class A and</w:t>
            </w:r>
          </w:p>
        </w:tc>
        <w:tc>
          <w:tcPr>
            <w:tcW w:w="1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5360" w:type="dxa"/>
            <w:vAlign w:val="bottom"/>
          </w:tcPr>
          <w:p>
            <w:pPr>
              <w:ind w:left="1420"/>
              <w:spacing w:after="0"/>
              <w:rPr>
                <w:sz w:val="20"/>
                <w:szCs w:val="20"/>
                <w:color w:val="auto"/>
              </w:rPr>
            </w:pPr>
            <w:r>
              <w:rPr>
                <w:rFonts w:ascii="Courier New" w:cs="Courier New" w:eastAsia="Courier New" w:hAnsi="Courier New"/>
                <w:sz w:val="15"/>
                <w:szCs w:val="15"/>
                <w:color w:val="auto"/>
              </w:rPr>
              <w:t>Common shares outstanding during the period</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25,798,971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22,007,864</w:t>
            </w:r>
          </w:p>
        </w:tc>
      </w:tr>
      <w:tr>
        <w:trPr>
          <w:trHeight w:val="341"/>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Shares issuable upon exercise of options</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2,301,301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2,866,962</w:t>
            </w:r>
          </w:p>
        </w:tc>
      </w:tr>
      <w:tr>
        <w:trPr>
          <w:trHeight w:val="341"/>
        </w:trPr>
        <w:tc>
          <w:tcPr>
            <w:tcW w:w="5360" w:type="dxa"/>
            <w:vAlign w:val="bottom"/>
          </w:tcPr>
          <w:p>
            <w:pPr>
              <w:ind w:left="700"/>
              <w:spacing w:after="0"/>
              <w:rPr>
                <w:sz w:val="20"/>
                <w:szCs w:val="20"/>
                <w:color w:val="auto"/>
              </w:rPr>
            </w:pPr>
            <w:r>
              <w:rPr>
                <w:rFonts w:ascii="Courier New" w:cs="Courier New" w:eastAsia="Courier New" w:hAnsi="Courier New"/>
                <w:sz w:val="15"/>
                <w:szCs w:val="15"/>
                <w:color w:val="auto"/>
              </w:rPr>
              <w:t>Shares assumed to be repurchased under</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5360" w:type="dxa"/>
            <w:vAlign w:val="bottom"/>
          </w:tcPr>
          <w:p>
            <w:pPr>
              <w:ind w:left="1420"/>
              <w:spacing w:after="0"/>
              <w:rPr>
                <w:sz w:val="20"/>
                <w:szCs w:val="20"/>
                <w:color w:val="auto"/>
              </w:rPr>
            </w:pPr>
            <w:r>
              <w:rPr>
                <w:rFonts w:ascii="Courier New" w:cs="Courier New" w:eastAsia="Courier New" w:hAnsi="Courier New"/>
                <w:sz w:val="15"/>
                <w:szCs w:val="15"/>
                <w:color w:val="auto"/>
              </w:rPr>
              <w:t>the treasury stock method</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(1,154,685)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(1,356,882)</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4"/>
                <w:szCs w:val="2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26,945,587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23,517,944</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ind w:left="1420"/>
              <w:spacing w:after="0"/>
              <w:rPr>
                <w:sz w:val="20"/>
                <w:szCs w:val="20"/>
                <w:color w:val="auto"/>
              </w:rPr>
            </w:pPr>
            <w:r>
              <w:rPr>
                <w:rFonts w:ascii="Courier New" w:cs="Courier New" w:eastAsia="Courier New" w:hAnsi="Courier New"/>
                <w:sz w:val="15"/>
                <w:szCs w:val="15"/>
                <w:color w:val="auto"/>
              </w:rPr>
              <w:t>Net loss per share</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($0.22)</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($0.33)</w:t>
            </w:r>
          </w:p>
        </w:tc>
      </w:tr>
      <w:tr>
        <w:trPr>
          <w:trHeight w:val="171"/>
        </w:trPr>
        <w:tc>
          <w:tcPr>
            <w:tcW w:w="5360" w:type="dxa"/>
            <w:vAlign w:val="bottom"/>
          </w:tcPr>
          <w:p>
            <w:pPr>
              <w:spacing w:after="0"/>
              <w:rPr>
                <w:sz w:val="14"/>
                <w:szCs w:val="14"/>
                <w:color w:val="auto"/>
              </w:rPr>
            </w:pP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5360" w:type="dxa"/>
            <w:vAlign w:val="bottom"/>
          </w:tcPr>
          <w:p>
            <w:pPr>
              <w:ind w:left="3360"/>
              <w:spacing w:after="0"/>
              <w:rPr>
                <w:sz w:val="20"/>
                <w:szCs w:val="20"/>
                <w:color w:val="auto"/>
              </w:rPr>
            </w:pPr>
            <w:r>
              <w:rPr>
                <w:rFonts w:ascii="Courier New" w:cs="Courier New" w:eastAsia="Courier New" w:hAnsi="Courier New"/>
                <w:sz w:val="15"/>
                <w:szCs w:val="15"/>
                <w:color w:val="auto"/>
              </w:rPr>
              <w:t>16</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799"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3-MOS</w:t>
      </w:r>
    </w:p>
    <w:p>
      <w:pPr>
        <w:spacing w:after="0" w:line="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DEC-31-1997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JAN-01-1997</w:t>
      </w:r>
    </w:p>
    <w:p>
      <w:pPr>
        <w:spacing w:after="0" w:line="1"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MAR-31-1997</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27,914,539</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63,364,202</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3,312,323</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71,895,992</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54,251,454</w:t>
      </w:r>
    </w:p>
    <w:p>
      <w:pPr>
        <w:spacing w:after="0" w:line="1"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20,405,281</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129,068,259</w:t>
      </w:r>
    </w:p>
    <w:p>
      <w:pPr>
        <w:spacing w:after="0" w:line="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9,697,387</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6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4,346</w:t>
      </w:r>
    </w:p>
    <w:p>
      <w:pPr>
        <w:spacing w:after="0" w:line="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101,042,656</w:t>
      </w:r>
    </w:p>
    <w:p>
      <w:pPr>
        <w:spacing w:after="0" w:line="1"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129,068,259</w:t>
      </w:r>
    </w:p>
    <w:p>
      <w:pPr>
        <w:spacing w:after="0" w:line="1"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6,213,635</w:t>
      </w:r>
    </w:p>
    <w:p>
      <w:pPr>
        <w:spacing w:after="0" w:line="1" w:lineRule="exact"/>
        <w:rPr>
          <w:sz w:val="20"/>
          <w:szCs w:val="20"/>
          <w:color w:val="auto"/>
        </w:rPr>
      </w:pPr>
    </w:p>
    <w:p>
      <w:pPr>
        <w:jc w:val="right"/>
        <w:ind w:right="587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5"/>
          <w:szCs w:val="15"/>
          <w:color w:val="auto"/>
        </w:rPr>
        <w:t>11,934,757</w:t>
      </w:r>
    </w:p>
    <w:p>
      <w:pPr>
        <w:spacing w:after="0" w:line="1" w:lineRule="exact"/>
        <w:rPr>
          <w:sz w:val="20"/>
          <w:szCs w:val="20"/>
          <w:color w:val="auto"/>
        </w:rPr>
      </w:pPr>
    </w:p>
    <w:p>
      <w:pPr>
        <w:jc w:val="right"/>
        <w:ind w:right="6859"/>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207,727</w:t>
      </w:r>
    </w:p>
    <w:p>
      <w:pPr>
        <w:spacing w:after="0" w:line="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(5,928,849)</w:t>
      </w:r>
    </w:p>
    <w:p>
      <w:pPr>
        <w:spacing w:after="0" w:line="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(5,928,849)</w:t>
      </w:r>
    </w:p>
    <w:p>
      <w:pPr>
        <w:spacing w:after="0" w:line="1" w:lineRule="exact"/>
        <w:rPr>
          <w:sz w:val="20"/>
          <w:szCs w:val="20"/>
          <w:color w:val="auto"/>
        </w:rPr>
      </w:pPr>
    </w:p>
    <w:p>
      <w:pPr>
        <w:ind w:left="33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0</w:t>
      </w:r>
    </w:p>
    <w:p>
      <w:pPr>
        <w:spacing w:after="0" w:line="1"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(5,928,849)</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(0.23)</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(0.22)</w:t>
      </w:r>
    </w:p>
    <w:sectPr>
      <w:pgSz w:w="11900" w:h="16838" w:orient="portrait"/>
      <w:cols w:equalWidth="0" w:num="1">
        <w:col w:w="10139"/>
      </w:cols>
      <w:pgMar w:left="320" w:top="65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upperLetter"/>
      <w:start w:val="61"/>
    </w:lvl>
  </w:abstractNum>
  <w:abstractNum w:abstractNumId="4">
    <w:nsid w:val="2EB141F2"/>
    <w:multiLevelType w:val="hybridMultilevel"/>
    <w:lvl w:ilvl="0">
      <w:lvlJc w:val="left"/>
      <w:lvlText w:val="o"/>
      <w:numFmt w:val="bullet"/>
      <w:start w:val="1"/>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1"/>
      <w:numFmt w:val="decimal"/>
      <w:start w:val="1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2019-12-19T22:54:38Z</dcterms:created>
  <dcterms:modified xsi:type="dcterms:W3CDTF">2019-12-19T22:54:38Z</dcterms:modified>
</cp:coreProperties>
</file>