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258445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the Securities Exchange Act of 1934</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January 10, 2022 (January 10, 2022)</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REGENERON PHARMACEUTICALS,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21" w:lineRule="exact"/>
        <w:rPr>
          <w:sz w:val="24"/>
          <w:szCs w:val="24"/>
          <w:color w:val="auto"/>
        </w:rPr>
      </w:pPr>
    </w:p>
    <w:tbl>
      <w:tblPr>
        <w:tblLayout w:type="fixed"/>
        <w:tblInd w:w="880" w:type="dxa"/>
        <w:tblCellMar>
          <w:top w:w="0" w:type="dxa"/>
          <w:left w:w="0" w:type="dxa"/>
          <w:bottom w:w="0" w:type="dxa"/>
          <w:right w:w="0" w:type="dxa"/>
        </w:tblCellMar>
      </w:tblPr>
      <w:tr>
        <w:trPr>
          <w:trHeight w:val="209"/>
        </w:trPr>
        <w:tc>
          <w:tcPr>
            <w:tcW w:w="5540" w:type="dxa"/>
            <w:vAlign w:val="bottom"/>
          </w:tcPr>
          <w:p>
            <w:pPr>
              <w:jc w:val="center"/>
              <w:ind w:right="1462"/>
              <w:spacing w:after="0"/>
              <w:rPr>
                <w:sz w:val="20"/>
                <w:szCs w:val="20"/>
                <w:color w:val="auto"/>
              </w:rPr>
            </w:pPr>
            <w:r>
              <w:rPr>
                <w:rFonts w:ascii="Arial" w:cs="Arial" w:eastAsia="Arial" w:hAnsi="Arial"/>
                <w:sz w:val="18"/>
                <w:szCs w:val="18"/>
                <w:b w:val="1"/>
                <w:bCs w:val="1"/>
                <w:color w:val="auto"/>
                <w:w w:val="88"/>
              </w:rPr>
              <w:t>000-19034</w:t>
            </w:r>
          </w:p>
        </w:tc>
        <w:tc>
          <w:tcPr>
            <w:tcW w:w="2680" w:type="dxa"/>
            <w:vAlign w:val="bottom"/>
          </w:tcPr>
          <w:p>
            <w:pPr>
              <w:jc w:val="center"/>
              <w:ind w:left="1502"/>
              <w:spacing w:after="0"/>
              <w:rPr>
                <w:sz w:val="20"/>
                <w:szCs w:val="20"/>
                <w:color w:val="auto"/>
              </w:rPr>
            </w:pPr>
            <w:r>
              <w:rPr>
                <w:rFonts w:ascii="Arial" w:cs="Arial" w:eastAsia="Arial" w:hAnsi="Arial"/>
                <w:sz w:val="18"/>
                <w:szCs w:val="18"/>
                <w:b w:val="1"/>
                <w:bCs w:val="1"/>
                <w:color w:val="auto"/>
                <w:w w:val="89"/>
              </w:rPr>
              <w:t>13-3444607</w:t>
            </w:r>
          </w:p>
        </w:tc>
      </w:tr>
      <w:tr>
        <w:trPr>
          <w:trHeight w:val="147"/>
        </w:trPr>
        <w:tc>
          <w:tcPr>
            <w:tcW w:w="5540" w:type="dxa"/>
            <w:vAlign w:val="bottom"/>
          </w:tcPr>
          <w:p>
            <w:pPr>
              <w:jc w:val="center"/>
              <w:ind w:right="1462"/>
              <w:spacing w:after="0" w:line="147" w:lineRule="exact"/>
              <w:rPr>
                <w:sz w:val="20"/>
                <w:szCs w:val="20"/>
                <w:color w:val="auto"/>
              </w:rPr>
            </w:pPr>
            <w:r>
              <w:rPr>
                <w:rFonts w:ascii="Arial" w:cs="Arial" w:eastAsia="Arial" w:hAnsi="Arial"/>
                <w:sz w:val="14"/>
                <w:szCs w:val="14"/>
                <w:b w:val="1"/>
                <w:bCs w:val="1"/>
                <w:color w:val="auto"/>
                <w:w w:val="90"/>
              </w:rPr>
              <w:t>(Commission</w:t>
            </w:r>
          </w:p>
        </w:tc>
        <w:tc>
          <w:tcPr>
            <w:tcW w:w="2680" w:type="dxa"/>
            <w:vAlign w:val="bottom"/>
          </w:tcPr>
          <w:p>
            <w:pPr>
              <w:jc w:val="center"/>
              <w:ind w:left="1502"/>
              <w:spacing w:after="0" w:line="147" w:lineRule="exact"/>
              <w:rPr>
                <w:sz w:val="20"/>
                <w:szCs w:val="20"/>
                <w:color w:val="auto"/>
              </w:rPr>
            </w:pPr>
            <w:r>
              <w:rPr>
                <w:rFonts w:ascii="Arial" w:cs="Arial" w:eastAsia="Arial" w:hAnsi="Arial"/>
                <w:sz w:val="14"/>
                <w:szCs w:val="14"/>
                <w:b w:val="1"/>
                <w:bCs w:val="1"/>
                <w:color w:val="auto"/>
                <w:w w:val="94"/>
              </w:rPr>
              <w:t>(I.R.S. Employer</w:t>
            </w:r>
          </w:p>
        </w:tc>
      </w:tr>
      <w:tr>
        <w:trPr>
          <w:trHeight w:val="185"/>
        </w:trPr>
        <w:tc>
          <w:tcPr>
            <w:tcW w:w="5540" w:type="dxa"/>
            <w:vAlign w:val="bottom"/>
          </w:tcPr>
          <w:p>
            <w:pPr>
              <w:jc w:val="center"/>
              <w:ind w:right="1482"/>
              <w:spacing w:after="0"/>
              <w:rPr>
                <w:sz w:val="20"/>
                <w:szCs w:val="20"/>
                <w:color w:val="auto"/>
              </w:rPr>
            </w:pPr>
            <w:r>
              <w:rPr>
                <w:rFonts w:ascii="Arial" w:cs="Arial" w:eastAsia="Arial" w:hAnsi="Arial"/>
                <w:sz w:val="14"/>
                <w:szCs w:val="14"/>
                <w:b w:val="1"/>
                <w:bCs w:val="1"/>
                <w:color w:val="auto"/>
                <w:w w:val="95"/>
              </w:rPr>
              <w:t>File Number)</w:t>
            </w:r>
          </w:p>
        </w:tc>
        <w:tc>
          <w:tcPr>
            <w:tcW w:w="2680" w:type="dxa"/>
            <w:vAlign w:val="bottom"/>
          </w:tcPr>
          <w:p>
            <w:pPr>
              <w:jc w:val="center"/>
              <w:ind w:left="1482"/>
              <w:spacing w:after="0"/>
              <w:rPr>
                <w:sz w:val="20"/>
                <w:szCs w:val="20"/>
                <w:color w:val="auto"/>
              </w:rPr>
            </w:pPr>
            <w:r>
              <w:rPr>
                <w:rFonts w:ascii="Arial" w:cs="Arial" w:eastAsia="Arial" w:hAnsi="Arial"/>
                <w:sz w:val="14"/>
                <w:szCs w:val="14"/>
                <w:b w:val="1"/>
                <w:bCs w:val="1"/>
                <w:color w:val="auto"/>
                <w:w w:val="94"/>
              </w:rPr>
              <w:t>Identification No.)</w:t>
            </w:r>
          </w:p>
        </w:tc>
      </w:tr>
      <w:tr>
        <w:trPr>
          <w:trHeight w:val="602"/>
        </w:trPr>
        <w:tc>
          <w:tcPr>
            <w:tcW w:w="5540" w:type="dxa"/>
            <w:vAlign w:val="bottom"/>
          </w:tcPr>
          <w:p>
            <w:pPr>
              <w:jc w:val="center"/>
              <w:ind w:right="1482"/>
              <w:spacing w:after="0"/>
              <w:rPr>
                <w:sz w:val="20"/>
                <w:szCs w:val="20"/>
                <w:color w:val="auto"/>
              </w:rPr>
            </w:pPr>
            <w:r>
              <w:rPr>
                <w:rFonts w:ascii="Arial" w:cs="Arial" w:eastAsia="Arial" w:hAnsi="Arial"/>
                <w:sz w:val="18"/>
                <w:szCs w:val="18"/>
                <w:b w:val="1"/>
                <w:bCs w:val="1"/>
                <w:color w:val="auto"/>
                <w:w w:val="92"/>
              </w:rPr>
              <w:t>777 Old Saw Mill River Road, Tarrytown, New York</w:t>
            </w:r>
          </w:p>
        </w:tc>
        <w:tc>
          <w:tcPr>
            <w:tcW w:w="2680" w:type="dxa"/>
            <w:vAlign w:val="bottom"/>
          </w:tcPr>
          <w:p>
            <w:pPr>
              <w:jc w:val="center"/>
              <w:ind w:left="1502"/>
              <w:spacing w:after="0"/>
              <w:rPr>
                <w:sz w:val="20"/>
                <w:szCs w:val="20"/>
                <w:color w:val="auto"/>
              </w:rPr>
            </w:pPr>
            <w:r>
              <w:rPr>
                <w:rFonts w:ascii="Arial" w:cs="Arial" w:eastAsia="Arial" w:hAnsi="Arial"/>
                <w:sz w:val="18"/>
                <w:szCs w:val="18"/>
                <w:b w:val="1"/>
                <w:bCs w:val="1"/>
                <w:color w:val="auto"/>
                <w:w w:val="89"/>
              </w:rPr>
              <w:t>10591-6707</w:t>
            </w:r>
          </w:p>
        </w:tc>
      </w:tr>
      <w:tr>
        <w:trPr>
          <w:trHeight w:val="185"/>
        </w:trPr>
        <w:tc>
          <w:tcPr>
            <w:tcW w:w="5540" w:type="dxa"/>
            <w:vAlign w:val="bottom"/>
          </w:tcPr>
          <w:p>
            <w:pPr>
              <w:jc w:val="center"/>
              <w:ind w:right="1462"/>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2680" w:type="dxa"/>
            <w:vAlign w:val="bottom"/>
          </w:tcPr>
          <w:p>
            <w:pPr>
              <w:jc w:val="center"/>
              <w:ind w:left="1502"/>
              <w:spacing w:after="0"/>
              <w:rPr>
                <w:sz w:val="20"/>
                <w:szCs w:val="20"/>
                <w:color w:val="auto"/>
              </w:rPr>
            </w:pPr>
            <w:r>
              <w:rPr>
                <w:rFonts w:ascii="Arial" w:cs="Arial" w:eastAsia="Arial" w:hAnsi="Arial"/>
                <w:sz w:val="14"/>
                <w:szCs w:val="14"/>
                <w:b w:val="1"/>
                <w:bCs w:val="1"/>
                <w:color w:val="auto"/>
                <w:w w:val="95"/>
              </w:rPr>
              <w:t>(Zip Code)</w:t>
            </w:r>
          </w:p>
        </w:tc>
      </w:tr>
    </w:tbl>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24" w:lineRule="exact"/>
        <w:rPr>
          <w:sz w:val="24"/>
          <w:szCs w:val="24"/>
          <w:color w:val="auto"/>
        </w:rPr>
      </w:pPr>
    </w:p>
    <w:p>
      <w:pPr>
        <w:ind w:right="8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5" w:lineRule="exact"/>
        <w:rPr>
          <w:sz w:val="24"/>
          <w:szCs w:val="24"/>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4" w:lineRule="exact"/>
        <w:rPr>
          <w:sz w:val="24"/>
          <w:szCs w:val="24"/>
          <w:color w:val="auto"/>
        </w:rPr>
      </w:pPr>
    </w:p>
    <w:tbl>
      <w:tblPr>
        <w:tblLayout w:type="fixed"/>
        <w:tblInd w:w="10" w:type="dxa"/>
        <w:tblCellMar>
          <w:top w:w="0" w:type="dxa"/>
          <w:left w:w="0" w:type="dxa"/>
          <w:bottom w:w="0" w:type="dxa"/>
          <w:right w:w="0" w:type="dxa"/>
        </w:tblCellMar>
      </w:tblPr>
      <w:tr>
        <w:trPr>
          <w:trHeight w:val="247"/>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234"/>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NASDAQ Global Select Market</w:t>
            </w:r>
          </w:p>
        </w:tc>
      </w:tr>
    </w:tbl>
    <w:p>
      <w:pPr>
        <w:spacing w:after="0" w:line="199" w:lineRule="exact"/>
        <w:rPr>
          <w:sz w:val="24"/>
          <w:szCs w:val="24"/>
          <w:color w:val="auto"/>
        </w:rPr>
      </w:pPr>
    </w:p>
    <w:p>
      <w:pPr>
        <w:ind w:right="600"/>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3" w:lineRule="exact"/>
        <w:rPr>
          <w:sz w:val="24"/>
          <w:szCs w:val="24"/>
          <w:color w:val="auto"/>
        </w:rPr>
      </w:pPr>
    </w:p>
    <w:p>
      <w:pPr>
        <w:ind w:right="10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175260</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488950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4" w:lineRule="exact"/>
        <w:rPr>
          <w:sz w:val="20"/>
          <w:szCs w:val="20"/>
          <w:color w:val="auto"/>
        </w:rPr>
      </w:pPr>
    </w:p>
    <w:p>
      <w:pPr>
        <w:ind w:right="140" w:firstLine="320"/>
        <w:spacing w:after="0" w:line="258" w:lineRule="auto"/>
        <w:rPr>
          <w:sz w:val="20"/>
          <w:szCs w:val="20"/>
          <w:color w:val="auto"/>
        </w:rPr>
      </w:pPr>
      <w:r>
        <w:rPr>
          <w:rFonts w:ascii="Arial" w:cs="Arial" w:eastAsia="Arial" w:hAnsi="Arial"/>
          <w:sz w:val="18"/>
          <w:szCs w:val="18"/>
          <w:color w:val="auto"/>
        </w:rPr>
        <w:t>On January 10, 2022, at the virtual 40th Annual J.P. Morgan Healthcare Conference, Leonard S. Schleifer, M.D., Ph.D., President and Chief Executive Officer of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and George D. Yancopoulos, M.D., Ph.D., President and Chief Scientific Officer of Regeneron, are providing a corporate update.</w:t>
      </w:r>
    </w:p>
    <w:p>
      <w:pPr>
        <w:spacing w:after="0" w:line="190" w:lineRule="exact"/>
        <w:rPr>
          <w:sz w:val="20"/>
          <w:szCs w:val="20"/>
          <w:color w:val="auto"/>
        </w:rPr>
      </w:pPr>
    </w:p>
    <w:p>
      <w:pPr>
        <w:ind w:right="60" w:firstLine="320"/>
        <w:spacing w:after="0" w:line="221" w:lineRule="auto"/>
        <w:rPr>
          <w:sz w:val="20"/>
          <w:szCs w:val="20"/>
          <w:color w:val="auto"/>
        </w:rPr>
      </w:pPr>
      <w:r>
        <w:rPr>
          <w:rFonts w:ascii="Arial" w:cs="Arial" w:eastAsia="Arial" w:hAnsi="Arial"/>
          <w:sz w:val="18"/>
          <w:szCs w:val="18"/>
          <w:color w:val="auto"/>
        </w:rPr>
        <w:t>The presentation includes information regarding the Company’s preliminary (unaudited) U.S. net product sales of EYLEA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(aflibercept) Injection of approximately $5.79 billion for the full year 2021 (based on preliminary (unaudited) fourth quarter 2021 U.S. net product sales of EYLEA of approximately $1.54 billion).</w:t>
      </w:r>
    </w:p>
    <w:p>
      <w:pPr>
        <w:spacing w:after="0" w:line="206" w:lineRule="exact"/>
        <w:rPr>
          <w:sz w:val="20"/>
          <w:szCs w:val="20"/>
          <w:color w:val="auto"/>
        </w:rPr>
      </w:pPr>
    </w:p>
    <w:p>
      <w:pPr>
        <w:ind w:right="20" w:firstLine="320"/>
        <w:spacing w:after="0" w:line="221" w:lineRule="auto"/>
        <w:rPr>
          <w:sz w:val="20"/>
          <w:szCs w:val="20"/>
          <w:color w:val="auto"/>
        </w:rPr>
      </w:pPr>
      <w:r>
        <w:rPr>
          <w:rFonts w:ascii="Arial" w:cs="Arial" w:eastAsia="Arial" w:hAnsi="Arial"/>
          <w:sz w:val="18"/>
          <w:szCs w:val="18"/>
          <w:color w:val="auto"/>
        </w:rPr>
        <w:t>The presentation also includes information regarding the Company’s preliminary (unaudited) U.S. net product sales of REGEN-COV</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(casirivimab and imdevimab) of approximately $5.82 billion for the full year 2021 (based on preliminary (unaudited) fourth quarter 2021 U.S. net product sales of REGEN-COV of approximately $2.29 billion).</w:t>
      </w:r>
    </w:p>
    <w:p>
      <w:pPr>
        <w:spacing w:after="0" w:line="19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4" w:lineRule="exact"/>
        <w:rPr>
          <w:sz w:val="20"/>
          <w:szCs w:val="20"/>
          <w:color w:val="auto"/>
        </w:rPr>
      </w:pPr>
    </w:p>
    <w:p>
      <w:pPr>
        <w:ind w:firstLine="320"/>
        <w:spacing w:after="0" w:line="300" w:lineRule="auto"/>
        <w:rPr>
          <w:sz w:val="20"/>
          <w:szCs w:val="20"/>
          <w:color w:val="auto"/>
        </w:rPr>
      </w:pPr>
      <w:r>
        <w:rPr>
          <w:rFonts w:ascii="Arial" w:cs="Arial" w:eastAsia="Arial" w:hAnsi="Arial"/>
          <w:sz w:val="17"/>
          <w:szCs w:val="17"/>
          <w:color w:val="auto"/>
        </w:rPr>
        <w:t>The information set forth under Item 2.02 of this Current Report on Form 8-K is incorporated by reference herein. A copy of the presentation referenced in Item 2.02 is furnished as Exhibit 99.1 to this Current Report on Form 8-K and is incorporated by reference in this Item 7.01.</w:t>
      </w:r>
    </w:p>
    <w:p>
      <w:pPr>
        <w:spacing w:after="0" w:line="152" w:lineRule="exact"/>
        <w:rPr>
          <w:sz w:val="20"/>
          <w:szCs w:val="20"/>
          <w:color w:val="auto"/>
        </w:rPr>
      </w:pPr>
    </w:p>
    <w:p>
      <w:pPr>
        <w:ind w:right="60" w:firstLine="320"/>
        <w:spacing w:after="0" w:line="255" w:lineRule="auto"/>
        <w:rPr>
          <w:sz w:val="20"/>
          <w:szCs w:val="20"/>
          <w:color w:val="auto"/>
        </w:rPr>
      </w:pPr>
      <w:r>
        <w:rPr>
          <w:rFonts w:ascii="Arial" w:cs="Arial" w:eastAsia="Arial" w:hAnsi="Arial"/>
          <w:sz w:val="18"/>
          <w:szCs w:val="18"/>
          <w:color w:val="auto"/>
        </w:rPr>
        <w:t>The information included in Item 2.02 and the information included or incorporated in Item 7.01 of this Current Report on Form 8-K,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0" w:lineRule="exact"/>
        <w:rPr>
          <w:sz w:val="20"/>
          <w:szCs w:val="20"/>
          <w:color w:val="auto"/>
        </w:rPr>
      </w:pPr>
    </w:p>
    <w:p>
      <w:pPr>
        <w:jc w:val="both"/>
        <w:ind w:left="800" w:right="320" w:hanging="786"/>
        <w:spacing w:after="0" w:line="258" w:lineRule="auto"/>
        <w:tabs>
          <w:tab w:leader="none" w:pos="780" w:val="left"/>
        </w:tabs>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8"/>
            <w:szCs w:val="18"/>
            <w:u w:val="single" w:color="auto"/>
            <w:color w:val="0000EE"/>
          </w:rPr>
          <w:t>Presentation by Leonard S. Schleifer, M.D., Ph.D., President and Chief Executive Officer of Regeneron Pharmaceuticals, Inc., and George D.</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Yancopoulos, M.D., Ph.D., President and Chief Scientific Officer of Regeneron Pharmaceuticals, Inc., at the virtual 40th Annual J.P. Morgan</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Healthcare Conference.</w:t>
        </w:r>
      </w:hyperlink>
    </w:p>
    <w:p>
      <w:pPr>
        <w:spacing w:after="0" w:line="186" w:lineRule="exact"/>
        <w:rPr>
          <w:rFonts w:ascii="Arial" w:cs="Arial" w:eastAsia="Arial" w:hAnsi="Arial"/>
          <w:sz w:val="18"/>
          <w:szCs w:val="18"/>
          <w:u w:val="single" w:color="auto"/>
          <w:color w:val="0000EE"/>
        </w:rPr>
      </w:pPr>
    </w:p>
    <w:p>
      <w:pPr>
        <w:spacing w:after="0"/>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 the cover page XBRL tags are embedded within the Inline XBRL document.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REGENERON PHARMACEUTICALS, INC.</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Executive Vice President, General Counsel and 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January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800"/>
          </w:cols>
          <w:pgMar w:left="320" w:top="895" w:right="779" w:bottom="1440" w:gutter="0" w:footer="0" w:header="0"/>
        </w:sectPr>
      </w:pPr>
    </w:p>
    <w:bookmarkStart w:id="3" w:name="page4"/>
    <w:bookmarkEnd w:id="3"/>
    <w:p>
      <w:pPr>
        <w:ind w:left="90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183515</wp:posOffset>
            </wp:positionV>
            <wp:extent cx="7196455" cy="4354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88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4388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630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436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630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436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2022-01-10T05:10:22Z</dcterms:created>
  <dcterms:modified xsi:type="dcterms:W3CDTF">2022-01-10T05:10:22Z</dcterms:modified>
</cp:coreProperties>
</file>