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The Company)</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Terry L. Overbey</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860" w:right="451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Procter &amp; Gamble Company One Procter &amp; Gamble Plaza Cincinnati, OH 45202-3315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983-4463</w:t>
      </w:r>
    </w:p>
    <w:p>
      <w:pPr>
        <w:spacing w:after="0" w:line="5" w:lineRule="exact"/>
        <w:rPr>
          <w:sz w:val="24"/>
          <w:szCs w:val="24"/>
          <w:color w:val="auto"/>
        </w:rPr>
      </w:pPr>
    </w:p>
    <w:p>
      <w:pPr>
        <w:ind w:left="2220" w:right="2939" w:hanging="947"/>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16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March 9, 2000</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will not be deemed to be "filed" for the purpose of Section 18 of the Securities Exchange Act of 1934 ("Act") or otherwise subject to the liabilities of that section of the Act but will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75886F 10 7</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Procter &amp; Gamble Company</w:t>
      </w:r>
    </w:p>
    <w:p>
      <w:pPr>
        <w:ind w:left="2120"/>
        <w:spacing w:after="0" w:line="238" w:lineRule="auto"/>
        <w:rPr>
          <w:sz w:val="20"/>
          <w:szCs w:val="20"/>
          <w:color w:val="auto"/>
        </w:rPr>
      </w:pPr>
      <w:r>
        <w:rPr>
          <w:rFonts w:ascii="Courier New" w:cs="Courier New" w:eastAsia="Courier New" w:hAnsi="Courier New"/>
          <w:sz w:val="18"/>
          <w:szCs w:val="18"/>
          <w:color w:val="auto"/>
        </w:rPr>
        <w:t>Identification Number 31-0411980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1140" w:val="left"/>
          <w:tab w:leader="none" w:pos="74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7480"/>
        <w:spacing w:after="0" w:line="238" w:lineRule="auto"/>
        <w:rPr>
          <w:sz w:val="20"/>
          <w:szCs w:val="20"/>
          <w:color w:val="auto"/>
        </w:rPr>
      </w:pPr>
      <w:r>
        <w:rPr>
          <w:rFonts w:ascii="Courier New" w:cs="Courier New" w:eastAsia="Courier New" w:hAnsi="Courier New"/>
          <w:sz w:val="18"/>
          <w:szCs w:val="18"/>
          <w:color w:val="auto"/>
        </w:rPr>
        <w:t>(b) |_|</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WC</w:t>
      </w:r>
    </w:p>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sectPr>
          <w:pgSz w:w="11900" w:h="16855" w:orient="portrait"/>
          <w:cols w:equalWidth="0" w:num="1">
            <w:col w:w="10219"/>
          </w:cols>
          <w:pgMar w:left="240" w:top="244" w:right="1440" w:bottom="0" w:gutter="0" w:footer="0" w:header="0"/>
        </w:sectPr>
      </w:pPr>
    </w:p>
    <w:bookmarkStart w:id="1" w:name="page2"/>
    <w:bookmarkEnd w:id="1"/>
    <w:p>
      <w:pPr>
        <w:ind w:left="116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Ohio</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700" w:type="dxa"/>
            <w:vAlign w:val="bottom"/>
          </w:tcPr>
          <w:p>
            <w:pPr>
              <w:ind w:left="1000"/>
              <w:spacing w:after="0"/>
              <w:rPr>
                <w:sz w:val="20"/>
                <w:szCs w:val="20"/>
                <w:color w:val="auto"/>
              </w:rPr>
            </w:pPr>
            <w:r>
              <w:rPr>
                <w:rFonts w:ascii="Courier New" w:cs="Courier New" w:eastAsia="Courier New" w:hAnsi="Courier New"/>
                <w:sz w:val="18"/>
                <w:szCs w:val="18"/>
                <w:color w:val="auto"/>
              </w:rPr>
              <w:t>5,662,505</w:t>
            </w:r>
          </w:p>
        </w:tc>
      </w:tr>
      <w:tr>
        <w:trPr>
          <w:trHeight w:val="405"/>
        </w:trPr>
        <w:tc>
          <w:tcPr>
            <w:tcW w:w="1680" w:type="dxa"/>
            <w:vAlign w:val="bottom"/>
          </w:tcPr>
          <w:p>
            <w:pPr>
              <w:spacing w:after="0"/>
              <w:rPr>
                <w:sz w:val="24"/>
                <w:szCs w:val="24"/>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405"/>
        </w:trPr>
        <w:tc>
          <w:tcPr>
            <w:tcW w:w="1680" w:type="dxa"/>
            <w:vAlign w:val="bottom"/>
          </w:tcPr>
          <w:p>
            <w:pPr>
              <w:spacing w:after="0"/>
              <w:rPr>
                <w:sz w:val="24"/>
                <w:szCs w:val="24"/>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700" w:type="dxa"/>
            <w:vAlign w:val="bottom"/>
          </w:tcPr>
          <w:p>
            <w:pPr>
              <w:ind w:left="1000"/>
              <w:spacing w:after="0"/>
              <w:rPr>
                <w:sz w:val="20"/>
                <w:szCs w:val="20"/>
                <w:color w:val="auto"/>
              </w:rPr>
            </w:pPr>
            <w:r>
              <w:rPr>
                <w:rFonts w:ascii="Courier New" w:cs="Courier New" w:eastAsia="Courier New" w:hAnsi="Courier New"/>
                <w:sz w:val="18"/>
                <w:szCs w:val="18"/>
                <w:color w:val="auto"/>
              </w:rPr>
              <w:t>5,662,505</w:t>
            </w:r>
          </w:p>
        </w:tc>
      </w:tr>
    </w:tbl>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5,662,505</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spacing w:after="0" w:line="202"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75886F 10 7</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Procter &amp; Gamble Pharmaceuticals, Inc.</w:t>
      </w:r>
    </w:p>
    <w:p>
      <w:pPr>
        <w:ind w:left="2120"/>
        <w:spacing w:after="0"/>
        <w:tabs>
          <w:tab w:leader="none" w:pos="4520" w:val="left"/>
        </w:tabs>
        <w:rPr>
          <w:sz w:val="20"/>
          <w:szCs w:val="20"/>
          <w:color w:val="auto"/>
        </w:rPr>
      </w:pPr>
      <w:r>
        <w:rPr>
          <w:rFonts w:ascii="Courier New" w:cs="Courier New" w:eastAsia="Courier New" w:hAnsi="Courier New"/>
          <w:sz w:val="18"/>
          <w:szCs w:val="18"/>
          <w:color w:val="auto"/>
        </w:rPr>
        <w:t>Identification Number</w:t>
      </w:r>
      <w:r>
        <w:rPr>
          <w:sz w:val="20"/>
          <w:szCs w:val="20"/>
          <w:color w:val="auto"/>
        </w:rPr>
        <w:tab/>
      </w:r>
      <w:r>
        <w:rPr>
          <w:rFonts w:ascii="Courier New" w:cs="Courier New" w:eastAsia="Courier New" w:hAnsi="Courier New"/>
          <w:sz w:val="16"/>
          <w:szCs w:val="16"/>
          <w:color w:val="auto"/>
        </w:rPr>
        <w:t>31-1209457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1140" w:val="left"/>
          <w:tab w:leader="none" w:pos="74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7480"/>
        <w:spacing w:after="0" w:line="238" w:lineRule="auto"/>
        <w:rPr>
          <w:sz w:val="20"/>
          <w:szCs w:val="20"/>
          <w:color w:val="auto"/>
        </w:rPr>
      </w:pPr>
      <w:r>
        <w:rPr>
          <w:rFonts w:ascii="Courier New" w:cs="Courier New" w:eastAsia="Courier New" w:hAnsi="Courier New"/>
          <w:sz w:val="18"/>
          <w:szCs w:val="18"/>
          <w:color w:val="auto"/>
        </w:rPr>
        <w:t>(b) |_|</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WC</w:t>
      </w:r>
    </w:p>
    <w:p>
      <w:pPr>
        <w:sectPr>
          <w:pgSz w:w="11900" w:h="16838" w:orient="portrait"/>
          <w:cols w:equalWidth="0" w:num="1">
            <w:col w:w="10219"/>
          </w:cols>
          <w:pgMar w:left="240" w:top="136" w:right="1440" w:bottom="0" w:gutter="0" w:footer="0" w:header="0"/>
        </w:sectPr>
      </w:pPr>
    </w:p>
    <w:bookmarkStart w:id="2" w:name="page3"/>
    <w:bookmarkEnd w:id="2"/>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116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Ohio</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700" w:type="dxa"/>
            <w:vAlign w:val="bottom"/>
          </w:tcPr>
          <w:p>
            <w:pPr>
              <w:ind w:left="1000"/>
              <w:spacing w:after="0"/>
              <w:rPr>
                <w:sz w:val="20"/>
                <w:szCs w:val="20"/>
                <w:color w:val="auto"/>
              </w:rPr>
            </w:pPr>
            <w:r>
              <w:rPr>
                <w:rFonts w:ascii="Courier New" w:cs="Courier New" w:eastAsia="Courier New" w:hAnsi="Courier New"/>
                <w:sz w:val="18"/>
                <w:szCs w:val="18"/>
                <w:color w:val="auto"/>
              </w:rPr>
              <w:t>5,662,505</w:t>
            </w:r>
          </w:p>
        </w:tc>
      </w:tr>
      <w:tr>
        <w:trPr>
          <w:trHeight w:val="405"/>
        </w:trPr>
        <w:tc>
          <w:tcPr>
            <w:tcW w:w="1680" w:type="dxa"/>
            <w:vAlign w:val="bottom"/>
          </w:tcPr>
          <w:p>
            <w:pPr>
              <w:spacing w:after="0"/>
              <w:rPr>
                <w:sz w:val="24"/>
                <w:szCs w:val="24"/>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405"/>
        </w:trPr>
        <w:tc>
          <w:tcPr>
            <w:tcW w:w="1680" w:type="dxa"/>
            <w:vAlign w:val="bottom"/>
          </w:tcPr>
          <w:p>
            <w:pPr>
              <w:spacing w:after="0"/>
              <w:rPr>
                <w:sz w:val="24"/>
                <w:szCs w:val="24"/>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700" w:type="dxa"/>
            <w:vAlign w:val="bottom"/>
          </w:tcPr>
          <w:p>
            <w:pPr>
              <w:ind w:left="1000"/>
              <w:spacing w:after="0"/>
              <w:rPr>
                <w:sz w:val="20"/>
                <w:szCs w:val="20"/>
                <w:color w:val="auto"/>
              </w:rPr>
            </w:pPr>
            <w:r>
              <w:rPr>
                <w:rFonts w:ascii="Courier New" w:cs="Courier New" w:eastAsia="Courier New" w:hAnsi="Courier New"/>
                <w:sz w:val="18"/>
                <w:szCs w:val="18"/>
                <w:color w:val="auto"/>
              </w:rPr>
              <w:t>5,662,505</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5,662,505</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spacing w:after="0" w:line="202"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16.54%</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This Amendment No. 4 (the "Amendment No. 4") to the Statement on Schedule 13D (the Statement as so amended, the "Statement") relates to the Common Stock, par value $.001 per share (the "Common Stock) of Regeneron Pharmaceuticals, Inc., a New York corporation (the "Company"). The principal executive offices of the Company are at 777 Old Saw Mill Road, Tarrytown, NY 10591.</w:t>
      </w: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413"/>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Procter &amp; Gamble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Incorporation:  Ohio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Manufacture and marketing of consumer</w:t>
      </w:r>
    </w:p>
    <w:p>
      <w:pPr>
        <w:ind w:left="3800"/>
        <w:spacing w:after="0"/>
        <w:rPr>
          <w:sz w:val="20"/>
          <w:szCs w:val="20"/>
          <w:color w:val="auto"/>
        </w:rPr>
      </w:pPr>
      <w:r>
        <w:rPr>
          <w:rFonts w:ascii="Courier New" w:cs="Courier New" w:eastAsia="Courier New" w:hAnsi="Courier New"/>
          <w:sz w:val="18"/>
          <w:szCs w:val="18"/>
          <w:color w:val="auto"/>
        </w:rPr>
        <w:t>products</w:t>
      </w:r>
    </w:p>
    <w:p>
      <w:pPr>
        <w:spacing w:after="0" w:line="3" w:lineRule="exact"/>
        <w:rPr>
          <w:sz w:val="20"/>
          <w:szCs w:val="20"/>
          <w:color w:val="auto"/>
        </w:rPr>
      </w:pPr>
    </w:p>
    <w:p>
      <w:pPr>
        <w:ind w:left="4960" w:right="2519" w:hanging="3370"/>
        <w:spacing w:after="0" w:line="290" w:lineRule="auto"/>
        <w:tabs>
          <w:tab w:leader="none" w:pos="494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One Procter &amp; Gamble Plaza Cincinnati, Ohio 45202</w:t>
      </w:r>
    </w:p>
    <w:p>
      <w:pPr>
        <w:spacing w:after="0" w:line="164" w:lineRule="exact"/>
        <w:rPr>
          <w:sz w:val="20"/>
          <w:szCs w:val="20"/>
          <w:color w:val="auto"/>
        </w:rPr>
      </w:pP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Name:</w:t>
        <w:tab/>
        <w:t>Procter &amp; Gamble Pharmaceuticals, Inc.</w:t>
      </w:r>
    </w:p>
    <w:p>
      <w:pPr>
        <w:sectPr>
          <w:pgSz w:w="11900" w:h="16838" w:orient="portrait"/>
          <w:cols w:equalWidth="0" w:num="1">
            <w:col w:w="10219"/>
          </w:cols>
          <w:pgMar w:left="240" w:top="142" w:right="1440" w:bottom="0" w:gutter="0" w:footer="0" w:header="0"/>
        </w:sectPr>
      </w:pPr>
    </w:p>
    <w:bookmarkStart w:id="3" w:name="page4"/>
    <w:bookmarkEnd w:id="3"/>
    <w:p>
      <w:pPr>
        <w:ind w:left="1580"/>
        <w:spacing w:after="0"/>
        <w:tabs>
          <w:tab w:leader="none" w:pos="420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Ohio</w:t>
      </w:r>
    </w:p>
    <w:p>
      <w:pPr>
        <w:spacing w:after="0" w:line="4" w:lineRule="exact"/>
        <w:rPr>
          <w:sz w:val="20"/>
          <w:szCs w:val="20"/>
          <w:color w:val="auto"/>
        </w:rPr>
      </w:pPr>
    </w:p>
    <w:p>
      <w:pPr>
        <w:ind w:left="3800" w:right="1879" w:hanging="2211"/>
        <w:spacing w:after="0" w:line="235" w:lineRule="auto"/>
        <w:tabs>
          <w:tab w:leader="none" w:pos="3780" w:val="left"/>
        </w:tabs>
        <w:rPr>
          <w:sz w:val="20"/>
          <w:szCs w:val="20"/>
          <w:color w:val="auto"/>
        </w:rPr>
      </w:pPr>
      <w:r>
        <w:rPr>
          <w:rFonts w:ascii="Courier New" w:cs="Courier New" w:eastAsia="Courier New" w:hAnsi="Courier New"/>
          <w:sz w:val="18"/>
          <w:szCs w:val="18"/>
          <w:color w:val="auto"/>
        </w:rPr>
        <w:t>Principal Business:</w:t>
        <w:tab/>
        <w:t>Manufacture and marketing of pharmaceutical products</w:t>
      </w:r>
    </w:p>
    <w:p>
      <w:pPr>
        <w:ind w:left="1580"/>
        <w:spacing w:after="0"/>
        <w:tabs>
          <w:tab w:leader="none" w:pos="494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same</w:t>
      </w:r>
    </w:p>
    <w:p>
      <w:pPr>
        <w:spacing w:after="0" w:line="201" w:lineRule="exact"/>
        <w:rPr>
          <w:sz w:val="20"/>
          <w:szCs w:val="20"/>
          <w:color w:val="auto"/>
        </w:rPr>
      </w:pPr>
    </w:p>
    <w:p>
      <w:pPr>
        <w:ind w:left="1580" w:hanging="413"/>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00" w:hanging="533"/>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4(a) of the Statement is hereby amended as follows:</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On March 9, 2001, Procter &amp; Gamble Pharmaceuticals, Inc. ("P&amp;G Pharmaceuticals") entered into an agreement to sell (the "Sale") 1,000,000 shares of Common Stock owned by P&amp;G Pharmaceuticals to four affiliated institutional investors at a cash price of $20.00 per share and for an aggregate purchase price of $20 million. The Sale is scheduled to be consummated on March 14, 2001. Following the Sale, the Reporting Person will beneficially own 5,662,505 the shares of Common Stock. In connection with the Sale, the Reporting Person, on March 9, 2001, entered into an agreement with the Company pursuant to which the Reporting Person agreed not to, directly or indirectly, effect any sale, pledge or other disposition to any third party of any other shares of Common Stock owned by the Reporting Person for a period of one year from the date of such agreement, except that the Reporting Person may tender all or any shares of Common Stock owned by it into any tender or exchange offer for shares representing more than 20% of the Company's voting power that is supported by the Company's Board or for shares representing more than 50% of the Company's voting power as to which the Company's rights plan is rendered inapplicable as a result of Company action or final court order.</w:t>
      </w:r>
    </w:p>
    <w:p>
      <w:pPr>
        <w:spacing w:after="0" w:line="203" w:lineRule="exact"/>
        <w:rPr>
          <w:sz w:val="20"/>
          <w:szCs w:val="20"/>
          <w:color w:val="auto"/>
        </w:rPr>
      </w:pPr>
    </w:p>
    <w:p>
      <w:pPr>
        <w:ind w:left="1580" w:hanging="413"/>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IN SECURITIES OF THE COMPANY.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1167"/>
        <w:spacing w:after="0" w:line="236"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the Sale, the Reporting Person beneficially owns 5,662,505 shares of Common Stock, representing 16.54% of the total shares of Common Stock.</w:t>
      </w:r>
    </w:p>
    <w:p>
      <w:pPr>
        <w:spacing w:after="0" w:line="208" w:lineRule="exact"/>
        <w:rPr>
          <w:rFonts w:ascii="Courier New" w:cs="Courier New" w:eastAsia="Courier New" w:hAnsi="Courier New"/>
          <w:sz w:val="18"/>
          <w:szCs w:val="18"/>
          <w:color w:val="auto"/>
        </w:rPr>
      </w:pPr>
    </w:p>
    <w:p>
      <w:pPr>
        <w:jc w:val="both"/>
        <w:ind w:right="1779" w:firstLine="1167"/>
        <w:spacing w:after="0" w:line="237"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sole voting power over all shares of Common Stock so beneficially owned by it and does not share voting power over any such shares. The Reporting Person has sole dispositive power over all shares of Common Stock so beneficially owned by it and does not share dispositive power over any such shares.</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4(a) for information responsive to this item.</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315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COMPANY.</w:t>
      </w:r>
    </w:p>
    <w:p>
      <w:pPr>
        <w:ind w:left="11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4" w:name="page5"/>
    <w:bookmarkEnd w:id="4"/>
    <w:p>
      <w:pPr>
        <w:ind w:left="1160"/>
        <w:spacing w:after="0"/>
        <w:rPr>
          <w:sz w:val="20"/>
          <w:szCs w:val="20"/>
          <w:color w:val="auto"/>
        </w:rPr>
      </w:pPr>
      <w:r>
        <w:rPr>
          <w:rFonts w:ascii="Courier New" w:cs="Courier New" w:eastAsia="Courier New" w:hAnsi="Courier New"/>
          <w:sz w:val="18"/>
          <w:szCs w:val="18"/>
          <w:color w:val="auto"/>
        </w:rPr>
        <w:t>The following documents are filed as Exhibit: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Form of Sale Agreement</w:t>
      </w:r>
    </w:p>
    <w:p>
      <w:pPr>
        <w:spacing w:after="0" w:line="4" w:lineRule="exact"/>
        <w:rPr>
          <w:sz w:val="20"/>
          <w:szCs w:val="20"/>
          <w:color w:val="auto"/>
        </w:rPr>
      </w:pPr>
    </w:p>
    <w:p>
      <w:pPr>
        <w:ind w:left="1160" w:right="19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Exhibit 2</w:t>
        <w:tab/>
        <w:t>Letter Agreement between the Company and the Reporting Person with respect to the disposition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2001</w:t>
      </w:r>
    </w:p>
    <w:p>
      <w:pPr>
        <w:ind w:left="432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/s/GRETCHEN W. PRICE</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Gretchen W. Price</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2001</w:t>
      </w:r>
    </w:p>
    <w:p>
      <w:pPr>
        <w:ind w:left="4320"/>
        <w:spacing w:after="0" w:line="238" w:lineRule="auto"/>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/s/GRETCHEN W. PRICE</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Gretchen W. Price</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 and Treasurer</w:t>
      </w:r>
    </w:p>
    <w:p>
      <w:pPr>
        <w:sectPr>
          <w:pgSz w:w="11900" w:h="16838" w:orient="portrait"/>
          <w:cols w:equalWidth="0" w:num="1">
            <w:col w:w="10219"/>
          </w:cols>
          <w:pgMar w:left="240" w:top="136"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PROCTER &amp; GAMBLE PHARMACEUTICALS, INC. ("Seller") hereby agrees to sell to [BUYER'S NAME] ("Buyer"), and Buyer agrees to buy from Seller, [number of shares] shares of Common Stock of REGENERON PHARMACEUTICALS, INC. (the "Issuer") at $20 per share, or [dollar amount] in the aggregate. Seller agrees that on March 16, 2001, Seller will deliver or cause to be delivered to Buyer at [Buyer's Address], a certificate or certificates for such shares, duly endorsed for transfer to Buyer or with an accompanying stock power or powers in customary form, against payment by Buyer of the purchase price therefor by wire transfer in immediately available funds to Seller at [bank account] for the account of The Procter &amp; Gamble Company on March 16, 2001.</w:t>
      </w:r>
    </w:p>
    <w:p>
      <w:pPr>
        <w:spacing w:after="0" w:line="215"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Seller represents that Seller is not, and has not been during the preceding three months, an "affiliate" of the Issuer, as such term is defined in Rule 144 under the Securities Act of 1933, and that such shares may be sold at this time by Seller under such Rule 144 without limitation on the amount of securities sold or the manner of sale.</w:t>
      </w:r>
    </w:p>
    <w:p>
      <w:pPr>
        <w:spacing w:after="0" w:line="209"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IN WITNESS WHEREOF, Buyer and Seller have signed this Agreement on March 9, 2001.</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By_________________________</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By_________________________</w:t>
      </w:r>
    </w:p>
    <w:p>
      <w:pPr>
        <w:sectPr>
          <w:pgSz w:w="11900" w:h="16838" w:orient="portrait"/>
          <w:cols w:equalWidth="0" w:num="1">
            <w:col w:w="10219"/>
          </w:cols>
          <w:pgMar w:left="240" w:top="136"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Exhibit 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March 9,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tabs>
          <w:tab w:leader="none" w:pos="15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undersigned, a stockholder of Regeneron Pharmaceuticals, Inc., a New York corporation (the "Company"), understands that the Company is making a public offering of its common stock, par value $0.001 per share (the "Common Stock"). In recognition of the benefit that such an offering will confer upon the undersigned as a stockholder of the Company, and for other good and valuable consideration, the receipt and sufficiency of which are hereby acknowledged, the undersigned agrees with the Company that, from March 12, 2001 until March 31, 2002, the undersigned will not, without the prior written consent of the Company, directly or indirectly, (i) offer, pledge, sell, contract to sell, sell any option or contract to purchase, purchase any option or contract to sell, grant any option, right or warrant for the sale of, or otherwise dispose of or transfer any shares of the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 provided the foregoing will not prohibit any Permitted Transfers (as defined below). For purposes hereof, a "Permitted Transfer" shall mean (i) transfers between The Procter &amp; Gamble Company and any of its wholly-owned subsidiaries, so long as the transferee in any case described in this clause (i) agrees to be bound by the restrictions of this letter and the undersigned remains responsible for the performance of the transferee, and (ii) dispositions made pursuant to bona fide tender or exchange offers made by a third party or the Company for shares of capital stock of the Company, so long as either (x) such offer is for capital stock representing 20% or more of the Company's voting power and such offer is supported by a majority of the Company's Board of Directors or (y) such offer is for capital stock representing 50% or more of the Company's voting power and the Company's shareholders rights plan is rendered inapplicable to such offer by Company action or final court order.</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/s/MARK A. COLLAR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Mark A. Collar</w:t>
      </w:r>
    </w:p>
    <w:p>
      <w:pPr>
        <w:ind w:left="48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March 9,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tabs>
          <w:tab w:leader="none" w:pos="15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undersigned, a stockholder of Regeneron Pharmaceuticals, Inc., a New York corporation (the "Company"), understands that the Company is making a</w:t>
      </w:r>
    </w:p>
    <w:p>
      <w:pPr>
        <w:sectPr>
          <w:pgSz w:w="11900" w:h="16838" w:orient="portrait"/>
          <w:cols w:equalWidth="0" w:num="1">
            <w:col w:w="10219"/>
          </w:cols>
          <w:pgMar w:left="240" w:top="136" w:right="1440" w:bottom="0" w:gutter="0" w:footer="0" w:header="0"/>
        </w:sectPr>
      </w:pPr>
    </w:p>
    <w:bookmarkStart w:id="7" w:name="page8"/>
    <w:bookmarkEnd w:id="7"/>
    <w:p>
      <w:pPr>
        <w:jc w:val="both"/>
        <w:ind w:right="1779"/>
        <w:spacing w:after="0" w:line="238" w:lineRule="auto"/>
        <w:rPr>
          <w:sz w:val="20"/>
          <w:szCs w:val="20"/>
          <w:color w:val="auto"/>
        </w:rPr>
      </w:pPr>
      <w:r>
        <w:rPr>
          <w:rFonts w:ascii="Courier New" w:cs="Courier New" w:eastAsia="Courier New" w:hAnsi="Courier New"/>
          <w:sz w:val="18"/>
          <w:szCs w:val="18"/>
          <w:color w:val="auto"/>
        </w:rPr>
        <w:t>public offering of its common stock, par value $0.001 per share (the "Common Stock"). In recognition of the benefit that such an offering will confer upon the undersigned as a stockholder of the Company, and for other good and valuable consideration, the receipt and sufficiency of which are hereby acknowledged, the undersigned agrees with the Company that, from March 12, 2001 until March 31, 2002, the undersigned will not, without the prior written consent of the Company, directly or indirectly, (i) offer, pledge, sell, contract to sell, sell any option or contract to purchase, purchase any option or contract to sell, grant any option, right or warrant for the sale of, or otherwise dispose of or transfer any shares of the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 provided the foregoing will not prohibit any Permitted Transfers (as defined below). For purposes hereof, a "Permitted Transfer" shall mean (i) transfers between The Procter &amp; Gamble Company and any of its wholly-owned subsidiaries, so long as the transferee in any case described in this clause (i) agrees to be bound by the restrictions of this letter and the undersigned remains responsible for the performance of the transferee, and (ii) dispositions made pursuant to bona fide tender or exchange offers made by a third party or the Company for shares of capital stock of the Company, so long as either (x) such offer is for capital stock representing 20% or more of the Company's voting power and such offer is supported by a majority of the Company's Board of Directors or (y) such offer is for capital stock representing 50% or more of the Company's voting power and the Company's shareholders rights plan is rendered inapplicable to such offer by Company action or final court order. Very truly yours,</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/s/MARK A. COLLAR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Mark A. Collar</w:t>
      </w:r>
    </w:p>
    <w:p>
      <w:pPr>
        <w:ind w:left="4860"/>
        <w:spacing w:after="0" w:line="238"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2)"/>
      <w:numFmt w:val="decimal"/>
      <w:start w:val="513"/>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2"/>
      <w:numFmt w:val="upperLetter"/>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lvl w:ilvl="1">
      <w:lvlJc w:val="left"/>
      <w:lvlText w:val="%2"/>
      <w:numFmt w:val="upperLetter"/>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2"/>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2"/>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2019-12-19T21:18:51Z</dcterms:created>
  <dcterms:modified xsi:type="dcterms:W3CDTF">2019-12-19T21:18:51Z</dcterms:modified>
</cp:coreProperties>
</file>