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8-K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CURRENT REPORT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Section 13 or 15(d) of the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Date of Report (Date of earliest event reported): September 26, 2011 (September 25, 2011)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7620</wp:posOffset>
            </wp:positionV>
            <wp:extent cx="72466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REGENERON PHARMACEUTICALS,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2183130</wp:posOffset>
            </wp:positionH>
            <wp:positionV relativeFrom="paragraph">
              <wp:posOffset>11430</wp:posOffset>
            </wp:positionV>
            <wp:extent cx="289877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(Exact Name of Registrant as Specified in Charter)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3920" w:type="dxa"/>
            <w:vAlign w:val="bottom"/>
            <w:gridSpan w:val="2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1"/>
              </w:rPr>
              <w:t>New York</w:t>
            </w:r>
          </w:p>
        </w:tc>
        <w:tc>
          <w:tcPr>
            <w:tcW w:w="3520" w:type="dxa"/>
            <w:vAlign w:val="bottom"/>
          </w:tcPr>
          <w:p>
            <w:pPr>
              <w:jc w:val="right"/>
              <w:ind w:right="1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000-19034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jc w:val="right"/>
              <w:ind w:right="1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13-3444607</w:t>
            </w:r>
          </w:p>
        </w:tc>
      </w:tr>
      <w:tr>
        <w:trPr>
          <w:trHeight w:val="215"/>
        </w:trPr>
        <w:tc>
          <w:tcPr>
            <w:tcW w:w="366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(State or other jurisdiction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1"/>
              </w:rPr>
              <w:t>(Commission File No.)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(IRS Employer Identification No.)</w:t>
            </w:r>
          </w:p>
        </w:tc>
      </w:tr>
      <w:tr>
        <w:trPr>
          <w:trHeight w:val="275"/>
        </w:trPr>
        <w:tc>
          <w:tcPr>
            <w:tcW w:w="3920" w:type="dxa"/>
            <w:vAlign w:val="bottom"/>
            <w:gridSpan w:val="2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Incorporation)</w:t>
            </w: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</w:tbl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140" w:right="2740" w:hanging="403"/>
        <w:spacing w:after="0" w:line="3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 xml:space="preserve">777 Old Saw Mill River Road, Tarrytown, New York 10591-6707 </w:t>
      </w:r>
      <w:r>
        <w:rPr>
          <w:rFonts w:ascii="Arial" w:cs="Arial" w:eastAsia="Arial" w:hAnsi="Arial"/>
          <w:sz w:val="19"/>
          <w:szCs w:val="19"/>
          <w:color w:val="auto"/>
        </w:rPr>
        <w:t>(Address of principal executive offices, including zip code)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jc w:val="center"/>
        <w:ind w:righ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(914) 347-7000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2140585</wp:posOffset>
            </wp:positionH>
            <wp:positionV relativeFrom="paragraph">
              <wp:posOffset>11430</wp:posOffset>
            </wp:positionV>
            <wp:extent cx="2898775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(Registrant's telephone number, including area code)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right="220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80" w:hanging="372"/>
        <w:spacing w:after="0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225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380" w:hanging="372"/>
        <w:spacing w:after="0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225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380" w:hanging="372"/>
        <w:spacing w:after="0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225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380" w:hanging="372"/>
        <w:spacing w:after="0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231775</wp:posOffset>
            </wp:positionV>
            <wp:extent cx="7267575" cy="21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463" w:right="23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Item 7.01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 xml:space="preserve"> Regulation FD Disclosure.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ind w:right="40" w:firstLine="270"/>
        <w:spacing w:after="0" w:line="27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On September 25, 2011, at the European Multidisciplinary Cancer Congress in Stockholm, Sweden, data from the Phase 3 VELOUR trial evaluating the investigational agent ZALTRAP™ (aflibercept), also known as VEGF Trap, in combination with the FOLFIRI chemotherapy regimen [folinic acid (leucovorin), 5-fluorouracil, and irinotecan], versus a regimen of FOLFIRI plus placebo, were presented by Prof. Josep Tabernero. A copy of the slides that were presented is furnished as Exhibit 99.1 to this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Current Report on Form 8-K</w:t>
      </w:r>
      <w:r>
        <w:rPr>
          <w:rFonts w:ascii="Arial" w:cs="Arial" w:eastAsia="Arial" w:hAnsi="Arial"/>
          <w:sz w:val="24"/>
          <w:szCs w:val="24"/>
          <w:color w:val="auto"/>
        </w:rPr>
        <w:t>.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Item 9.01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 xml:space="preserve"> Financial Statements and Exhibits.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(d) Exhibits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660" w:hanging="647"/>
        <w:spacing w:after="0"/>
        <w:tabs>
          <w:tab w:leader="none" w:pos="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99.1</w:t>
        <w:tab/>
        <w:t>Presentation entitled Results from VELOUR, a Phase 3 Study of Aflibercept Versus Placebo in Combination with FOLFIRI for the Treatment of Patients with Previously Treated Metastatic Colorectal Cancer: Results from Prespecified Subgroup Analyses.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215900</wp:posOffset>
            </wp:positionV>
            <wp:extent cx="7267575" cy="215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60"/>
          </w:cols>
          <w:pgMar w:left="240" w:top="598" w:right="299" w:bottom="1440" w:gutter="0" w:footer="0" w:header="0"/>
        </w:sectPr>
      </w:pPr>
    </w:p>
    <w:bookmarkStart w:id="2" w:name="page3"/>
    <w:bookmarkEnd w:id="2"/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SIGNATURES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firstLine="270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40" w:val="left"/>
          <w:tab w:leader="none" w:pos="54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Date:</w:t>
        <w:tab/>
        <w:t>September 26, 2011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REGENERON PHARMACEUTICALS, INC.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ind w:left="5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By: /s/ Joseph J. LaRosa</w:t>
      </w:r>
    </w:p>
    <w:p>
      <w:pPr>
        <w:ind w:left="54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Name: Joseph J. LaRosa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3718560</wp:posOffset>
            </wp:positionH>
            <wp:positionV relativeFrom="paragraph">
              <wp:posOffset>-151130</wp:posOffset>
            </wp:positionV>
            <wp:extent cx="35331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1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54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Title: Senior Vice President, General Counsel 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Secretary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216535</wp:posOffset>
            </wp:positionV>
            <wp:extent cx="7267575" cy="215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180"/>
          </w:cols>
          <w:pgMar w:left="240" w:top="604" w:right="479" w:bottom="1440" w:gutter="0" w:footer="0" w:header="0"/>
        </w:sectPr>
      </w:pPr>
    </w:p>
    <w:bookmarkStart w:id="3" w:name="page4"/>
    <w:bookmarkEnd w:id="3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60" w:type="dxa"/>
            <w:vAlign w:val="bottom"/>
          </w:tcPr>
          <w:p>
            <w:pPr>
              <w:ind w:left="3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Exhibit Index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476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Number</w:t>
            </w:r>
          </w:p>
        </w:tc>
        <w:tc>
          <w:tcPr>
            <w:tcW w:w="10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Description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5"/>
        </w:trPr>
        <w:tc>
          <w:tcPr>
            <w:tcW w:w="880" w:type="dxa"/>
            <w:vAlign w:val="bottom"/>
            <w:tcBorders>
              <w:top w:val="single" w:sz="8" w:color="auto"/>
            </w:tcBorders>
            <w:shd w:val="clear" w:color="auto" w:fill="C0C0C0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99.1</w:t>
            </w:r>
          </w:p>
        </w:tc>
        <w:tc>
          <w:tcPr>
            <w:tcW w:w="280" w:type="dxa"/>
            <w:vAlign w:val="bottom"/>
            <w:tcBorders>
              <w:top w:val="single" w:sz="8" w:color="C0C0C0"/>
            </w:tcBorders>
            <w:shd w:val="clear" w:color="auto" w:fill="C0C0C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60" w:type="dxa"/>
            <w:vAlign w:val="bottom"/>
            <w:tcBorders>
              <w:top w:val="single" w:sz="8" w:color="auto"/>
            </w:tcBorders>
            <w:shd w:val="clear" w:color="auto" w:fill="C0C0C0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Presentation entitled Results from VELOUR, a Phase 3 Study of Aflibercept Versus Placebo in Combination with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43"/>
        </w:trPr>
        <w:tc>
          <w:tcPr>
            <w:tcW w:w="880" w:type="dxa"/>
            <w:vAlign w:val="bottom"/>
            <w:shd w:val="clear" w:color="auto" w:fill="C0C0C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C0C0C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60" w:type="dxa"/>
            <w:vAlign w:val="bottom"/>
            <w:shd w:val="clear" w:color="auto" w:fill="C0C0C0"/>
          </w:tcPr>
          <w:p>
            <w:pPr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9"/>
              </w:rPr>
              <w:t>FOLFIRI for the Treatment of Patients with Previously Treated Metastatic Colorectal Cancer: Results from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65"/>
        </w:trPr>
        <w:tc>
          <w:tcPr>
            <w:tcW w:w="880" w:type="dxa"/>
            <w:vAlign w:val="bottom"/>
            <w:shd w:val="clear" w:color="auto" w:fill="C0C0C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C0C0C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60" w:type="dxa"/>
            <w:vAlign w:val="bottom"/>
            <w:shd w:val="clear" w:color="auto" w:fill="C0C0C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Prespecified Subgroup Analyses.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61"/>
        </w:trPr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7258050</wp:posOffset>
            </wp:positionH>
            <wp:positionV relativeFrom="paragraph">
              <wp:posOffset>-14605</wp:posOffset>
            </wp:positionV>
            <wp:extent cx="127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-14605</wp:posOffset>
            </wp:positionV>
            <wp:extent cx="1270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40"/>
          </w:cols>
          <w:pgMar w:left="240" w:top="604" w:right="219" w:bottom="1440" w:gutter="0" w:footer="0" w:header="0"/>
        </w:sectPr>
      </w:pPr>
    </w:p>
    <w:bookmarkStart w:id="4" w:name="page5"/>
    <w:bookmarkEnd w:id="4"/>
    <w:p>
      <w:pPr>
        <w:ind w:left="9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-758190</wp:posOffset>
            </wp:positionH>
            <wp:positionV relativeFrom="paragraph">
              <wp:posOffset>183515</wp:posOffset>
            </wp:positionV>
            <wp:extent cx="7267575" cy="474472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74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361" w:right="239" w:bottom="1440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74472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74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74472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74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74472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74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74472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74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74472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74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74472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74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74472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74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74472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74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74472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74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74472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74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74472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74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74472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74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74472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74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74472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74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74472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74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74472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74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74472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74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74472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74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74472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74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74472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74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74472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74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74472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74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o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2019-12-10T10:13:50Z</dcterms:created>
  <dcterms:modified xsi:type="dcterms:W3CDTF">2019-12-10T10:13:50Z</dcterms:modified>
</cp:coreProperties>
</file>