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13, 2004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305435</wp:posOffset>
            </wp:positionV>
            <wp:extent cx="4725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56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39"/>
        </w:trPr>
        <w:tc>
          <w:tcPr>
            <w:tcW w:w="498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2"/>
              </w:rPr>
              <w:t>New York</w:t>
            </w:r>
          </w:p>
        </w:tc>
        <w:tc>
          <w:tcPr>
            <w:tcW w:w="24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0-19034</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No. 13-3444607</w:t>
            </w:r>
          </w:p>
        </w:tc>
      </w:tr>
      <w:tr>
        <w:trPr>
          <w:trHeight w:val="215"/>
        </w:trPr>
        <w:tc>
          <w:tcPr>
            <w:tcW w:w="34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960" w:type="dxa"/>
            <w:vAlign w:val="bottom"/>
            <w:tcBorders>
              <w:top w:val="single" w:sz="8" w:color="808080"/>
            </w:tcBorders>
          </w:tcPr>
          <w:p>
            <w:pPr>
              <w:spacing w:after="0"/>
              <w:rPr>
                <w:sz w:val="18"/>
                <w:szCs w:val="18"/>
                <w:color w:val="auto"/>
              </w:rPr>
            </w:pPr>
          </w:p>
        </w:tc>
        <w:tc>
          <w:tcPr>
            <w:tcW w:w="2460" w:type="dxa"/>
            <w:vAlign w:val="bottom"/>
            <w:tcBorders>
              <w:top w:val="single" w:sz="8" w:color="808080"/>
            </w:tcBorders>
            <w:gridSpan w:val="3"/>
          </w:tcPr>
          <w:p>
            <w:pPr>
              <w:jc w:val="center"/>
              <w:ind w:right="96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980" w:type="dxa"/>
            <w:vAlign w:val="bottom"/>
            <w:gridSpan w:val="3"/>
          </w:tcPr>
          <w:p>
            <w:pPr>
              <w:jc w:val="center"/>
              <w:ind w:right="1540"/>
              <w:spacing w:after="0"/>
              <w:rPr>
                <w:sz w:val="20"/>
                <w:szCs w:val="20"/>
                <w:color w:val="auto"/>
              </w:rPr>
            </w:pPr>
            <w:r>
              <w:rPr>
                <w:rFonts w:ascii="Arial" w:cs="Arial" w:eastAsia="Arial" w:hAnsi="Arial"/>
                <w:sz w:val="18"/>
                <w:szCs w:val="18"/>
                <w:color w:val="auto"/>
                <w:w w:val="94"/>
              </w:rPr>
              <w:t>incorporation)</w:t>
            </w:r>
          </w:p>
        </w:tc>
        <w:tc>
          <w:tcPr>
            <w:tcW w:w="3020" w:type="dxa"/>
            <w:vAlign w:val="bottom"/>
            <w:gridSpan w:val="4"/>
          </w:tcPr>
          <w:p>
            <w:pPr>
              <w:jc w:val="center"/>
              <w:ind w:right="152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980" w:type="dxa"/>
            <w:vAlign w:val="bottom"/>
            <w:tcBorders>
              <w:bottom w:val="single" w:sz="8" w:color="808080"/>
            </w:tcBorders>
            <w:gridSpan w:val="3"/>
          </w:tcPr>
          <w:p>
            <w:pPr>
              <w:jc w:val="center"/>
              <w:ind w:left="3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440" w:type="dxa"/>
            <w:vAlign w:val="bottom"/>
            <w:tcBorders>
              <w:bottom w:val="single" w:sz="8" w:color="808080"/>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jc w:val="right"/>
              <w:ind w:right="2190"/>
              <w:spacing w:after="0"/>
              <w:rPr>
                <w:sz w:val="20"/>
                <w:szCs w:val="20"/>
                <w:color w:val="auto"/>
              </w:rPr>
            </w:pPr>
            <w:r>
              <w:rPr>
                <w:rFonts w:ascii="Arial" w:cs="Arial" w:eastAsia="Arial" w:hAnsi="Arial"/>
                <w:sz w:val="18"/>
                <w:szCs w:val="18"/>
                <w:b w:val="1"/>
                <w:bCs w:val="1"/>
                <w:color w:val="auto"/>
              </w:rPr>
              <w:t>10591-6707</w:t>
            </w:r>
          </w:p>
        </w:tc>
      </w:tr>
      <w:tr>
        <w:trPr>
          <w:trHeight w:val="230"/>
        </w:trPr>
        <w:tc>
          <w:tcPr>
            <w:tcW w:w="498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(914) 347-7000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126365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FORM OF OPTION AGREEMENT</w:t>
      </w:r>
    </w:p>
    <w:p>
      <w:pPr>
        <w:spacing w:after="0" w:line="231" w:lineRule="auto"/>
        <w:rPr>
          <w:sz w:val="20"/>
          <w:szCs w:val="20"/>
          <w:color w:val="auto"/>
        </w:rPr>
      </w:pPr>
      <w:r>
        <w:rPr>
          <w:rFonts w:ascii="Arial" w:cs="Arial" w:eastAsia="Arial" w:hAnsi="Arial"/>
          <w:sz w:val="22"/>
          <w:szCs w:val="22"/>
          <w:u w:val="single" w:color="auto"/>
          <w:color w:val="0000EE"/>
        </w:rPr>
        <w:t>FORM OF OPTION AGREEMENT</w:t>
      </w:r>
    </w:p>
    <w:p>
      <w:pPr>
        <w:spacing w:after="0"/>
        <w:rPr>
          <w:sz w:val="20"/>
          <w:szCs w:val="20"/>
          <w:color w:val="auto"/>
        </w:rPr>
      </w:pPr>
      <w:r>
        <w:rPr>
          <w:rFonts w:ascii="Arial" w:cs="Arial" w:eastAsia="Arial" w:hAnsi="Arial"/>
          <w:sz w:val="22"/>
          <w:szCs w:val="22"/>
          <w:u w:val="single" w:color="auto"/>
          <w:color w:val="0000EE"/>
        </w:rPr>
        <w:t>FORM OF RESTRICTED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left="560" w:right="240"/>
        <w:spacing w:after="0" w:line="302" w:lineRule="auto"/>
        <w:rPr>
          <w:sz w:val="20"/>
          <w:szCs w:val="20"/>
          <w:color w:val="auto"/>
        </w:rPr>
      </w:pPr>
      <w:r>
        <w:rPr>
          <w:rFonts w:ascii="Arial" w:cs="Arial" w:eastAsia="Arial" w:hAnsi="Arial"/>
          <w:sz w:val="16"/>
          <w:szCs w:val="16"/>
          <w:color w:val="auto"/>
        </w:rPr>
        <w:t>The Compensation Committee of the Registrant’s Board of Directors (the “Committee”) approved the forms of option agreement to be used for the grant of options to purchase shares of the Registrant’s common stock, par value $0.001 per share, under the Registrant’s 2000 Long-Term Incentive Plan, in connection with such grants pursuant to Registrant’s Option Exchange Program. The Committee has approved substantially similar option agreements in connection with regular annual stock option grants to the Registrant’s executive officers and directors.</w:t>
      </w:r>
    </w:p>
    <w:p>
      <w:pPr>
        <w:spacing w:after="0" w:line="154" w:lineRule="exact"/>
        <w:rPr>
          <w:sz w:val="20"/>
          <w:szCs w:val="20"/>
          <w:color w:val="auto"/>
        </w:rPr>
      </w:pPr>
    </w:p>
    <w:p>
      <w:pPr>
        <w:ind w:left="560" w:right="100"/>
        <w:spacing w:after="0" w:line="286" w:lineRule="auto"/>
        <w:rPr>
          <w:sz w:val="20"/>
          <w:szCs w:val="20"/>
          <w:color w:val="auto"/>
        </w:rPr>
      </w:pPr>
      <w:r>
        <w:rPr>
          <w:rFonts w:ascii="Arial" w:cs="Arial" w:eastAsia="Arial" w:hAnsi="Arial"/>
          <w:sz w:val="17"/>
          <w:szCs w:val="17"/>
          <w:color w:val="auto"/>
        </w:rPr>
        <w:t>The form of option agreement and related notice of grant approved by the Committee for use in connection with the grant of options to the Registrant’s “named executive officers” (as such term is defined in Item 402(a)(3) of Regulation S-K under the Securities and Exchange Act of 1933, as amended) and non-employee directors is attached hereto as Exhibit 10.01 and incorporated herein by reference.</w:t>
      </w:r>
    </w:p>
    <w:p>
      <w:pPr>
        <w:spacing w:after="0" w:line="166" w:lineRule="exact"/>
        <w:rPr>
          <w:sz w:val="20"/>
          <w:szCs w:val="20"/>
          <w:color w:val="auto"/>
        </w:rPr>
      </w:pPr>
    </w:p>
    <w:p>
      <w:pPr>
        <w:ind w:left="560" w:right="440"/>
        <w:spacing w:after="0" w:line="342" w:lineRule="auto"/>
        <w:rPr>
          <w:sz w:val="20"/>
          <w:szCs w:val="20"/>
          <w:color w:val="auto"/>
        </w:rPr>
      </w:pPr>
      <w:r>
        <w:rPr>
          <w:rFonts w:ascii="Arial" w:cs="Arial" w:eastAsia="Arial" w:hAnsi="Arial"/>
          <w:sz w:val="16"/>
          <w:szCs w:val="16"/>
          <w:color w:val="auto"/>
        </w:rPr>
        <w:t>The form of option agreement and related notice of grant approved by the Committee for use in connection with the grant of options to the Registrant’s executive officers, other than the named executive officers, is attached hereto as Exhibit 10.03 and incorporated herein by reference.</w:t>
      </w:r>
    </w:p>
    <w:p>
      <w:pPr>
        <w:spacing w:after="0" w:line="124" w:lineRule="exact"/>
        <w:rPr>
          <w:sz w:val="20"/>
          <w:szCs w:val="20"/>
          <w:color w:val="auto"/>
        </w:rPr>
      </w:pPr>
    </w:p>
    <w:p>
      <w:pPr>
        <w:ind w:left="560" w:right="80"/>
        <w:spacing w:after="0" w:line="308" w:lineRule="auto"/>
        <w:rPr>
          <w:sz w:val="20"/>
          <w:szCs w:val="20"/>
          <w:color w:val="auto"/>
        </w:rPr>
      </w:pPr>
      <w:r>
        <w:rPr>
          <w:rFonts w:ascii="Arial" w:cs="Arial" w:eastAsia="Arial" w:hAnsi="Arial"/>
          <w:sz w:val="17"/>
          <w:szCs w:val="17"/>
          <w:color w:val="auto"/>
        </w:rPr>
        <w:t>The form of restricted stock award agreement and related notice of grant approved by the Committee for use in connection with the grant of restricted stock awards to the Registrant’s executive officers, is attached hereto as Exhibit 10.03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920" w:hanging="237"/>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80" w:type="dxa"/>
            <w:vAlign w:val="bottom"/>
          </w:tcPr>
          <w:p>
            <w:pPr>
              <w:spacing w:after="0"/>
              <w:rPr>
                <w:sz w:val="16"/>
                <w:szCs w:val="16"/>
                <w:color w:val="auto"/>
              </w:rPr>
            </w:pPr>
          </w:p>
        </w:tc>
        <w:tc>
          <w:tcPr>
            <w:tcW w:w="9120" w:type="dxa"/>
            <w:vAlign w:val="bottom"/>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7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120" w:type="dxa"/>
            <w:vAlign w:val="bottom"/>
            <w:tcBorders>
              <w:bottom w:val="single" w:sz="8" w:color="808080"/>
            </w:tcBorders>
          </w:tcPr>
          <w:p>
            <w:pPr>
              <w:spacing w:after="0"/>
              <w:rPr>
                <w:sz w:val="4"/>
                <w:szCs w:val="4"/>
                <w:color w:val="auto"/>
              </w:rPr>
            </w:pPr>
          </w:p>
        </w:tc>
      </w:tr>
      <w:tr>
        <w:trPr>
          <w:trHeight w:val="27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10.01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2"/>
              </w:rPr>
              <w:t>Form of option agreement and related notice of grant for use in connection with the grant of options to the Registrant’s non-</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employee directors and named executive officers.</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10.02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6"/>
              </w:rPr>
              <w:t>Form of option agreement and related notice of grant for use in connection with the grant of options to the Registrant’s</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executive officers other than the named executive officers.</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10.03</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3"/>
              </w:rPr>
              <w:t>Form of restricted stock award agreement and related notice of grant for use in connection with the grant of restricted stock</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awards to the Registrant’s executive officers.</w:t>
            </w:r>
          </w:p>
        </w:tc>
      </w:tr>
      <w:tr>
        <w:trPr>
          <w:trHeight w:val="392"/>
        </w:trPr>
        <w:tc>
          <w:tcPr>
            <w:tcW w:w="1720" w:type="dxa"/>
            <w:vAlign w:val="bottom"/>
          </w:tcPr>
          <w:p>
            <w:pPr>
              <w:spacing w:after="0"/>
              <w:rPr>
                <w:sz w:val="24"/>
                <w:szCs w:val="24"/>
                <w:color w:val="auto"/>
              </w:rPr>
            </w:pPr>
          </w:p>
        </w:tc>
        <w:tc>
          <w:tcPr>
            <w:tcW w:w="9700" w:type="dxa"/>
            <w:vAlign w:val="bottom"/>
            <w:gridSpan w:val="2"/>
          </w:tcPr>
          <w:p>
            <w:pPr>
              <w:ind w:left="3940"/>
              <w:spacing w:after="0"/>
              <w:rPr>
                <w:sz w:val="20"/>
                <w:szCs w:val="20"/>
                <w:color w:val="auto"/>
              </w:rPr>
            </w:pPr>
            <w:r>
              <w:rPr>
                <w:rFonts w:ascii="Arial" w:cs="Arial" w:eastAsia="Arial" w:hAnsi="Arial"/>
                <w:sz w:val="18"/>
                <w:szCs w:val="18"/>
                <w:color w:val="auto"/>
              </w:rPr>
              <w:t>2</w:t>
            </w:r>
          </w:p>
        </w:tc>
      </w:tr>
      <w:tr>
        <w:trPr>
          <w:trHeight w:val="226"/>
        </w:trPr>
        <w:tc>
          <w:tcPr>
            <w:tcW w:w="1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220" w:val="left"/>
          <w:tab w:leader="none" w:pos="5700" w:val="left"/>
        </w:tabs>
        <w:rPr>
          <w:sz w:val="20"/>
          <w:szCs w:val="20"/>
          <w:color w:val="auto"/>
        </w:rPr>
      </w:pPr>
      <w:r>
        <w:rPr>
          <w:rFonts w:ascii="Arial" w:cs="Arial" w:eastAsia="Arial" w:hAnsi="Arial"/>
          <w:sz w:val="18"/>
          <w:szCs w:val="18"/>
          <w:color w:val="auto"/>
        </w:rPr>
        <w:t>Dated: December 13,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05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&amp; General Counsel</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24"/>
                <w:szCs w:val="2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r>
      <w:tr>
        <w:trPr>
          <w:trHeight w:val="27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10.01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3"/>
              </w:rPr>
              <w:t>Form of option agreement and related notice of grant for use in connection with the grant of options to the Registrant’s non-employee</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directors and named executive officers.</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10.02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1"/>
              </w:rPr>
              <w:t>Form of option agreement and related notice of grant for use in connection with the grant of options to the Registrant’s executive officers</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other than the named executive officers.</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10.03</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0"/>
              </w:rPr>
              <w:t>Form of restricted stock award agreement and related notice of grant for use in connection with the grant of restricted stock awards to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Registrant’s executive officers.</w:t>
            </w:r>
          </w:p>
        </w:tc>
      </w:tr>
      <w:tr>
        <w:trPr>
          <w:trHeight w:val="392"/>
        </w:trPr>
        <w:tc>
          <w:tcPr>
            <w:tcW w:w="920" w:type="dxa"/>
            <w:vAlign w:val="bottom"/>
          </w:tcPr>
          <w:p>
            <w:pPr>
              <w:spacing w:after="0"/>
              <w:rPr>
                <w:sz w:val="24"/>
                <w:szCs w:val="24"/>
                <w:color w:val="auto"/>
              </w:rPr>
            </w:pPr>
          </w:p>
        </w:tc>
        <w:tc>
          <w:tcPr>
            <w:tcW w:w="10500" w:type="dxa"/>
            <w:vAlign w:val="bottom"/>
            <w:gridSpan w:val="2"/>
          </w:tcPr>
          <w:p>
            <w:pPr>
              <w:ind w:left="47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[Replacement]* Option Agreement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[Replacement]* Options for Directors and Named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Regeneron Pharmaceuticals, Inc.</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120" w:type="dxa"/>
            <w:vAlign w:val="bottom"/>
            <w:gridSpan w:val="4"/>
          </w:tcPr>
          <w:p>
            <w:pPr>
              <w:ind w:left="580"/>
              <w:spacing w:after="0"/>
              <w:rPr>
                <w:sz w:val="20"/>
                <w:szCs w:val="20"/>
                <w:color w:val="auto"/>
              </w:rPr>
            </w:pPr>
            <w:r>
              <w:rPr>
                <w:rFonts w:ascii="Arial" w:cs="Arial" w:eastAsia="Arial" w:hAnsi="Arial"/>
                <w:sz w:val="18"/>
                <w:szCs w:val="18"/>
                <w:b w:val="1"/>
                <w:bCs w:val="1"/>
                <w:color w:val="auto"/>
                <w:w w:val="88"/>
              </w:rPr>
              <w:t>Regeneron Pharmaceuticals, Inc.</w:t>
            </w:r>
          </w:p>
        </w:tc>
      </w:tr>
      <w:tr>
        <w:trPr>
          <w:trHeight w:val="216"/>
        </w:trPr>
        <w:tc>
          <w:tcPr>
            <w:tcW w:w="3540" w:type="dxa"/>
            <w:vAlign w:val="bottom"/>
          </w:tcPr>
          <w:p>
            <w:pPr>
              <w:spacing w:after="0"/>
              <w:rPr>
                <w:sz w:val="18"/>
                <w:szCs w:val="18"/>
                <w:color w:val="auto"/>
              </w:rPr>
            </w:pPr>
          </w:p>
        </w:tc>
        <w:tc>
          <w:tcPr>
            <w:tcW w:w="1200" w:type="dxa"/>
            <w:vAlign w:val="bottom"/>
          </w:tcPr>
          <w:p>
            <w:pPr>
              <w:ind w:left="58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3120" w:type="dxa"/>
            <w:vAlign w:val="bottom"/>
            <w:gridSpan w:val="4"/>
          </w:tcPr>
          <w:p>
            <w:pPr>
              <w:ind w:left="580"/>
              <w:spacing w:after="0"/>
              <w:rPr>
                <w:sz w:val="20"/>
                <w:szCs w:val="20"/>
                <w:color w:val="auto"/>
              </w:rPr>
            </w:pPr>
            <w:r>
              <w:rPr>
                <w:rFonts w:ascii="Arial" w:cs="Arial" w:eastAsia="Arial" w:hAnsi="Arial"/>
                <w:sz w:val="18"/>
                <w:szCs w:val="18"/>
                <w:b w:val="1"/>
                <w:bCs w:val="1"/>
                <w:color w:val="auto"/>
              </w:rPr>
              <w:t>777 Old Saw Mill River Road</w:t>
            </w: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Option Agreement for [Replacement]*</w:t>
            </w:r>
          </w:p>
        </w:tc>
        <w:tc>
          <w:tcPr>
            <w:tcW w:w="3120" w:type="dxa"/>
            <w:vAlign w:val="bottom"/>
            <w:gridSpan w:val="4"/>
          </w:tcPr>
          <w:p>
            <w:pPr>
              <w:ind w:left="580"/>
              <w:spacing w:after="0"/>
              <w:rPr>
                <w:sz w:val="20"/>
                <w:szCs w:val="20"/>
                <w:color w:val="auto"/>
              </w:rPr>
            </w:pPr>
            <w:r>
              <w:rPr>
                <w:rFonts w:ascii="Arial" w:cs="Arial" w:eastAsia="Arial" w:hAnsi="Arial"/>
                <w:sz w:val="18"/>
                <w:szCs w:val="18"/>
                <w:b w:val="1"/>
                <w:bCs w:val="1"/>
                <w:color w:val="auto"/>
              </w:rPr>
              <w:t>Tarrytown, New York 10591</w:t>
            </w: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4"/>
        </w:trPr>
        <w:tc>
          <w:tcPr>
            <w:tcW w:w="35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080" w:type="dxa"/>
            <w:vAlign w:val="bottom"/>
            <w:gridSpan w:val="2"/>
          </w:tcPr>
          <w:p>
            <w:pPr>
              <w:ind w:left="580"/>
              <w:spacing w:after="0"/>
              <w:rPr>
                <w:sz w:val="20"/>
                <w:szCs w:val="20"/>
                <w:color w:val="auto"/>
              </w:rPr>
            </w:pPr>
            <w:r>
              <w:rPr>
                <w:rFonts w:ascii="Arial" w:cs="Arial" w:eastAsia="Arial" w:hAnsi="Arial"/>
                <w:sz w:val="18"/>
                <w:szCs w:val="18"/>
                <w:b w:val="1"/>
                <w:bCs w:val="1"/>
                <w:color w:val="auto"/>
                <w:w w:val="99"/>
              </w:rPr>
              <w:t>Option Number: [</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4"/>
                <w:szCs w:val="24"/>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200" w:type="dxa"/>
            <w:vAlign w:val="bottom"/>
          </w:tcPr>
          <w:p>
            <w:pPr>
              <w:ind w:left="580"/>
              <w:spacing w:after="0"/>
              <w:rPr>
                <w:sz w:val="20"/>
                <w:szCs w:val="20"/>
                <w:color w:val="auto"/>
              </w:rPr>
            </w:pPr>
            <w:r>
              <w:rPr>
                <w:rFonts w:ascii="Arial" w:cs="Arial" w:eastAsia="Arial" w:hAnsi="Arial"/>
                <w:sz w:val="18"/>
                <w:szCs w:val="18"/>
                <w:b w:val="1"/>
                <w:bCs w:val="1"/>
                <w:color w:val="auto"/>
              </w:rPr>
              <w:t>Plan:</w:t>
            </w:r>
          </w:p>
        </w:tc>
        <w:tc>
          <w:tcPr>
            <w:tcW w:w="88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2004</w:t>
            </w:r>
          </w:p>
        </w:tc>
        <w:tc>
          <w:tcPr>
            <w:tcW w:w="52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1200" w:type="dxa"/>
            <w:vAlign w:val="bottom"/>
          </w:tcPr>
          <w:p>
            <w:pPr>
              <w:ind w:left="580"/>
              <w:spacing w:after="0"/>
              <w:rPr>
                <w:sz w:val="20"/>
                <w:szCs w:val="20"/>
                <w:color w:val="auto"/>
              </w:rPr>
            </w:pPr>
            <w:r>
              <w:rPr>
                <w:rFonts w:ascii="Arial" w:cs="Arial" w:eastAsia="Arial" w:hAnsi="Arial"/>
                <w:sz w:val="18"/>
                <w:szCs w:val="18"/>
                <w:b w:val="1"/>
                <w:bCs w:val="1"/>
                <w:color w:val="auto"/>
              </w:rPr>
              <w:t>ID</w:t>
            </w:r>
          </w:p>
        </w:tc>
        <w:tc>
          <w:tcPr>
            <w:tcW w:w="880" w:type="dxa"/>
            <w:vAlign w:val="bottom"/>
          </w:tcPr>
          <w:p>
            <w:pPr>
              <w:spacing w:after="0"/>
              <w:rPr>
                <w:sz w:val="20"/>
                <w:szCs w:val="20"/>
                <w:color w:val="auto"/>
              </w:rPr>
            </w:pPr>
          </w:p>
        </w:tc>
        <w:tc>
          <w:tcPr>
            <w:tcW w:w="5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r>
    </w:tbl>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Effective &lt;date&gt; (the Grant Date) you have been granted a(n) [Incentive][Non-Qualified] Stock Option to buy [ ] shares of Regeneron Pharmaceuticals, Inc. (the Company) stock at [$ ] per share.</w:t>
      </w:r>
    </w:p>
    <w:p>
      <w:pPr>
        <w:spacing w:after="0" w:line="143"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The total option price of the shares granted is [$</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6"/>
                <w:szCs w:val="16"/>
                <w:color w:val="auto"/>
              </w:rPr>
            </w:pP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Vest Type</w:t>
            </w:r>
          </w:p>
        </w:tc>
        <w:tc>
          <w:tcPr>
            <w:tcW w:w="560" w:type="dxa"/>
            <w:vAlign w:val="bottom"/>
          </w:tcPr>
          <w:p>
            <w:pPr>
              <w:spacing w:after="0"/>
              <w:rPr>
                <w:sz w:val="16"/>
                <w:szCs w:val="16"/>
                <w:color w:val="auto"/>
              </w:rPr>
            </w:pPr>
          </w:p>
        </w:tc>
        <w:tc>
          <w:tcPr>
            <w:tcW w:w="1600" w:type="dxa"/>
            <w:vAlign w:val="bottom"/>
          </w:tcPr>
          <w:p>
            <w:pPr>
              <w:jc w:val="right"/>
              <w:ind w:right="448"/>
              <w:spacing w:after="0"/>
              <w:rPr>
                <w:sz w:val="20"/>
                <w:szCs w:val="20"/>
                <w:color w:val="auto"/>
              </w:rPr>
            </w:pPr>
            <w:r>
              <w:rPr>
                <w:rFonts w:ascii="Arial" w:cs="Arial" w:eastAsia="Arial" w:hAnsi="Arial"/>
                <w:sz w:val="14"/>
                <w:szCs w:val="14"/>
                <w:b w:val="1"/>
                <w:bCs w:val="1"/>
                <w:color w:val="auto"/>
              </w:rPr>
              <w:t>Full Vest</w:t>
            </w:r>
          </w:p>
        </w:tc>
        <w:tc>
          <w:tcPr>
            <w:tcW w:w="560" w:type="dxa"/>
            <w:vAlign w:val="bottom"/>
          </w:tcPr>
          <w:p>
            <w:pPr>
              <w:spacing w:after="0"/>
              <w:rPr>
                <w:sz w:val="16"/>
                <w:szCs w:val="16"/>
                <w:color w:val="auto"/>
              </w:rPr>
            </w:pPr>
          </w:p>
        </w:tc>
        <w:tc>
          <w:tcPr>
            <w:tcW w:w="3420" w:type="dxa"/>
            <w:vAlign w:val="bottom"/>
          </w:tcPr>
          <w:p>
            <w:pPr>
              <w:ind w:left="1220"/>
              <w:spacing w:after="0"/>
              <w:rPr>
                <w:sz w:val="20"/>
                <w:szCs w:val="20"/>
                <w:color w:val="auto"/>
              </w:rPr>
            </w:pPr>
            <w:r>
              <w:rPr>
                <w:rFonts w:ascii="Arial" w:cs="Arial" w:eastAsia="Arial" w:hAnsi="Arial"/>
                <w:sz w:val="14"/>
                <w:szCs w:val="14"/>
                <w:b w:val="1"/>
                <w:bCs w:val="1"/>
                <w:color w:val="auto"/>
              </w:rPr>
              <w:t>Expiration Date</w:t>
            </w:r>
          </w:p>
        </w:tc>
      </w:tr>
      <w:tr>
        <w:trPr>
          <w:trHeight w:val="66"/>
        </w:trPr>
        <w:tc>
          <w:tcPr>
            <w:tcW w:w="288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3420" w:type="dxa"/>
            <w:vAlign w:val="bottom"/>
            <w:tcBorders>
              <w:bottom w:val="single" w:sz="8" w:color="808080"/>
            </w:tcBorders>
          </w:tcPr>
          <w:p>
            <w:pPr>
              <w:spacing w:after="0"/>
              <w:rPr>
                <w:sz w:val="5"/>
                <w:szCs w:val="5"/>
                <w:color w:val="auto"/>
              </w:rPr>
            </w:pPr>
          </w:p>
        </w:tc>
      </w:tr>
      <w:tr>
        <w:trPr>
          <w:trHeight w:val="263"/>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Date]</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Date]</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Date] ]</w:t>
            </w: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Non-Qualified Stock Option becomes fully vested with respect to all shares underlying the option on the date the Company’s Products (as defined below) have achieved aggregate, worldwide gross sales of at least US$100 million during any consecutive twelve-month period (as determined by the Board in accordance with GAAP) based on sales directly by the Company and/or its licensees, affiliates, and distributors (the “Milestone Date”), unless the Milestone Date occurs before the third anniversary of the Grant Date, in which case all of the shares underlying the option becomes fully vested on the third anniversary of the Grant Date. The date of such vesting is referred to in the enclosed Option Agreement as the “Full Vest Date.” As used above, the term “Products” shall mean the VEGF Trap, IL-1 Trap, IL-4/13 Trap, AXOKINE and any other pharmaceutical or diagnostic product(s) of the Company that result from the Company’s research and development programs. Sales of the Company’s Products outside the United States shall be converted to dollars using the month-end spot rates published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Eastern Edition and a method of conversion consistent with the Company’s (or its licensee’s, as applicable) customary and usual procedures for currency conversion.]*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tabs>
          <w:tab w:leader="none" w:pos="3760" w:val="left"/>
        </w:tabs>
        <w:rPr>
          <w:sz w:val="20"/>
          <w:szCs w:val="20"/>
          <w:color w:val="auto"/>
        </w:rPr>
      </w:pPr>
      <w:r>
        <w:rPr>
          <w:rFonts w:ascii="Arial" w:cs="Arial" w:eastAsia="Arial" w:hAnsi="Arial"/>
          <w:sz w:val="18"/>
          <w:szCs w:val="18"/>
          <w:color w:val="auto"/>
        </w:rPr>
        <w:t>[The Non-Qualified Stock Option expires on [</w:t>
      </w:r>
      <w:r>
        <w:rPr>
          <w:sz w:val="20"/>
          <w:szCs w:val="20"/>
          <w:color w:val="auto"/>
        </w:rPr>
        <w:tab/>
      </w:r>
      <w:r>
        <w:rPr>
          <w:rFonts w:ascii="Arial" w:cs="Arial" w:eastAsia="Arial" w:hAnsi="Arial"/>
          <w:sz w:val="18"/>
          <w:szCs w:val="18"/>
          <w:color w:val="auto"/>
        </w:rPr>
        <w:t>]*** (the “Expiration Date”).]*</w:t>
      </w:r>
    </w:p>
    <w:p>
      <w:pPr>
        <w:spacing w:after="0" w:line="225" w:lineRule="exact"/>
        <w:rPr>
          <w:sz w:val="20"/>
          <w:szCs w:val="20"/>
          <w:color w:val="auto"/>
        </w:rPr>
      </w:pPr>
    </w:p>
    <w:p>
      <w:pPr>
        <w:ind w:left="560" w:right="520"/>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Company’s 2000 Long-Term Incentive Plan as amended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5" w:lineRule="exact"/>
        <w:rPr>
          <w:sz w:val="20"/>
          <w:szCs w:val="20"/>
          <w:color w:val="auto"/>
        </w:rPr>
      </w:pPr>
    </w:p>
    <w:p>
      <w:pPr>
        <w:ind w:firstLine="8"/>
        <w:spacing w:after="0" w:line="279" w:lineRule="auto"/>
        <w:tabs>
          <w:tab w:leader="none" w:pos="13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language will only be included in an option agreement or notice of grant for replacement options granted to eligible “named executive officers” (which are executive vice president and senior vice presidents) to the extent such individuals exchange options in the Option Exchange Program commenced December 3, 2004. All replacement options granted to a named executive officer will be nonqualified stock options. Directors who are not also eligible named executives officers and the president and chief executive officers are not eligible to participate in the Option Exchange Program.</w:t>
      </w:r>
    </w:p>
    <w:p>
      <w:pPr>
        <w:spacing w:after="0" w:line="171" w:lineRule="exact"/>
        <w:rPr>
          <w:sz w:val="20"/>
          <w:szCs w:val="20"/>
          <w:color w:val="auto"/>
        </w:rPr>
      </w:pPr>
    </w:p>
    <w:p>
      <w:pPr>
        <w:ind w:right="20" w:firstLine="8"/>
        <w:spacing w:after="0" w:line="264"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 Options for non-employee directors will vest in approximately equal annual 33-1/3% installments. Full Vest Dates will occur on the first, second, and third anniversaries of the Grant Date.</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to be the later of (i) the remaining term of the tendered option this replacement option replaces, and (ii) 6 years from the Grant Date.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170" w:lineRule="exact"/>
        <w:rPr>
          <w:sz w:val="20"/>
          <w:szCs w:val="20"/>
          <w:color w:val="auto"/>
        </w:rPr>
      </w:pPr>
    </w:p>
    <w:p>
      <w:pPr>
        <w:ind w:right="46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“Grantee”);</w:t>
      </w:r>
    </w:p>
    <w:p>
      <w:pPr>
        <w:spacing w:after="0" w:line="130" w:lineRule="exact"/>
        <w:rPr>
          <w:sz w:val="20"/>
          <w:szCs w:val="20"/>
          <w:color w:val="auto"/>
        </w:rPr>
      </w:pPr>
    </w:p>
    <w:p>
      <w:pPr>
        <w:ind w:right="500" w:firstLine="447"/>
        <w:spacing w:after="0" w:line="308"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20"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 xml:space="preserve">WHEREAS, the Committee administering the 2000 Long-Term Incentive Plan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($.001 par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1" w:lineRule="exact"/>
        <w:rPr>
          <w:sz w:val="20"/>
          <w:szCs w:val="20"/>
          <w:color w:val="auto"/>
        </w:rPr>
      </w:pPr>
    </w:p>
    <w:p>
      <w:pPr>
        <w:ind w:firstLine="233"/>
        <w:spacing w:after="0" w:line="262" w:lineRule="auto"/>
        <w:tabs>
          <w:tab w:leader="none" w:pos="405"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further to the terms and conditions set forth here, the option to purchase from the Company all or any part of an aggregate of shares of Common Stock at the purchase price per share (the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[The Option is intended to be an Incentive Stock Option under Section 422 of the Internal Revenue Code of 1986, as amended (the “Code”).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“Subsidiary”)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 Qualified Stock Option.]</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[No part of the Option granted hereby is intended to qualify as an Incentive Stock Option under Section 422 of the Internal Revenue Code of 1986, as amended (the “Code”).]</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26" w:lineRule="exact"/>
        <w:rPr>
          <w:rFonts w:ascii="Arial" w:cs="Arial" w:eastAsia="Arial" w:hAnsi="Arial"/>
          <w:sz w:val="17"/>
          <w:szCs w:val="17"/>
          <w:b w:val="1"/>
          <w:bCs w:val="1"/>
          <w:color w:val="auto"/>
        </w:rPr>
      </w:pPr>
    </w:p>
    <w:p>
      <w:pPr>
        <w:ind w:right="160" w:firstLine="233"/>
        <w:spacing w:after="0" w:line="303" w:lineRule="auto"/>
        <w:tabs>
          <w:tab w:leader="none" w:pos="402"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(a) The Option is exercisable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 has become exercisable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w:t>
      </w:r>
    </w:p>
    <w:p>
      <w:pPr>
        <w:spacing w:after="0" w:line="200" w:lineRule="exact"/>
        <w:rPr>
          <w:rFonts w:ascii="Arial" w:cs="Arial" w:eastAsia="Arial" w:hAnsi="Arial"/>
          <w:sz w:val="16"/>
          <w:szCs w:val="16"/>
          <w:b w:val="1"/>
          <w:bCs w:val="1"/>
          <w:color w:val="auto"/>
        </w:rPr>
      </w:pPr>
    </w:p>
    <w:p>
      <w:pPr>
        <w:spacing w:after="0" w:line="323" w:lineRule="exact"/>
        <w:rPr>
          <w:rFonts w:ascii="Arial" w:cs="Arial" w:eastAsia="Arial" w:hAnsi="Arial"/>
          <w:sz w:val="16"/>
          <w:szCs w:val="16"/>
          <w:b w:val="1"/>
          <w:bCs w:val="1"/>
          <w:color w:val="auto"/>
        </w:rPr>
      </w:pPr>
    </w:p>
    <w:p>
      <w:pPr>
        <w:ind w:left="140" w:right="220" w:hanging="135"/>
        <w:spacing w:after="0" w:line="210" w:lineRule="auto"/>
        <w:rPr>
          <w:rFonts w:ascii="Arial" w:cs="Arial" w:eastAsia="Arial" w:hAnsi="Arial"/>
          <w:sz w:val="16"/>
          <w:szCs w:val="16"/>
          <w:b w:val="1"/>
          <w:bCs w:val="1"/>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This text will appear in agreements for options that are intended to be incentive stock options under Section 422 of the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-359410</wp:posOffset>
            </wp:positionV>
            <wp:extent cx="737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3" w:lineRule="exact"/>
        <w:rPr>
          <w:sz w:val="20"/>
          <w:szCs w:val="20"/>
          <w:color w:val="auto"/>
        </w:rPr>
      </w:pPr>
    </w:p>
    <w:p>
      <w:pPr>
        <w:ind w:left="140" w:right="20" w:hanging="132"/>
        <w:spacing w:after="0" w:line="209" w:lineRule="auto"/>
        <w:tabs>
          <w:tab w:leader="none" w:pos="125"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This text will appear in agreements for options that are not intended to be incentive stock options under Section 422 of the Internal Revenue Code of 1986, as amended. All replacement options granted to eligible “named executive officers” will be nonqualified stock options. Directors who are not employees are only eligible to receive nonqualified stock options.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right="100"/>
        <w:spacing w:after="0" w:line="264" w:lineRule="auto"/>
        <w:rPr>
          <w:sz w:val="20"/>
          <w:szCs w:val="20"/>
          <w:color w:val="auto"/>
        </w:rPr>
      </w:pPr>
      <w:r>
        <w:rPr>
          <w:rFonts w:ascii="Arial" w:cs="Arial" w:eastAsia="Arial" w:hAnsi="Arial"/>
          <w:sz w:val="18"/>
          <w:szCs w:val="18"/>
          <w:color w:val="auto"/>
        </w:rPr>
        <w:t>promulgated by the Committee,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154" w:lineRule="exact"/>
        <w:rPr>
          <w:sz w:val="20"/>
          <w:szCs w:val="20"/>
          <w:color w:val="auto"/>
        </w:rPr>
      </w:pPr>
    </w:p>
    <w:p>
      <w:pPr>
        <w:ind w:right="40" w:firstLine="233"/>
        <w:spacing w:after="0" w:line="271" w:lineRule="auto"/>
        <w:tabs>
          <w:tab w:leader="none" w:pos="477"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describes the date (the “Full Vest Date”) upon which the Grantee shall be entitled to exercise the Option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prior to the Full Vest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the Full Vest Date. Except as otherwise provided in any employment agreement, consulting agreement, change in control agreement or similar agreement in effect between the Employer and the Grantee on the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vesting shall occur after such date as the Grantee ceases to be employed by the Employer (or serve as a member of the Board of Directors, as the case may be) and all unvested Options shall be forfeited at such time.</w:t>
      </w:r>
    </w:p>
    <w:p>
      <w:pPr>
        <w:spacing w:after="0" w:line="138" w:lineRule="exact"/>
        <w:rPr>
          <w:rFonts w:ascii="Arial" w:cs="Arial" w:eastAsia="Arial" w:hAnsi="Arial"/>
          <w:sz w:val="17"/>
          <w:szCs w:val="17"/>
          <w:color w:val="auto"/>
        </w:rPr>
      </w:pPr>
    </w:p>
    <w:p>
      <w:pPr>
        <w:ind w:firstLine="233"/>
        <w:spacing w:after="0" w:line="295" w:lineRule="auto"/>
        <w:tabs>
          <w:tab w:leader="none" w:pos="47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Grantee makes payment upon exercise of the Option by delivering shares of Common Stock owned by the Grantee for at least six months prior to the date of exercise, the Grantee shall be granted a new option (a “Reload Option”) on the date of exercise for a number of shares equal to the number of shares surrendered by the Grantee upon exercise, subject to the availability of shares of Common Stock under the Plan at the time of such exercise. Such Reload Option shall be granted at an exercise price equal to the Fair Market Value (as defined in the Plan) of a share of Common Stock on the date of grant, shall expire on the date on which the original Option would have expired, and shall be fully vested; provided, however, that the Reload Option may not be exercised until the date that is six months after the date of grant. The Reload Option shall otherwise be subject to the same terms and conditions as the original Option; provided, however, that the exercise of the Reload Option shall not entitle the Grantee to any further Reload grant.]</w:t>
      </w:r>
      <w:r>
        <w:rPr>
          <w:rFonts w:ascii="Arial" w:cs="Arial" w:eastAsia="Arial" w:hAnsi="Arial"/>
          <w:sz w:val="26"/>
          <w:szCs w:val="26"/>
          <w:color w:val="auto"/>
          <w:vertAlign w:val="superscript"/>
        </w:rPr>
        <w:t>3</w:t>
      </w:r>
    </w:p>
    <w:p>
      <w:pPr>
        <w:spacing w:after="0" w:line="4" w:lineRule="exact"/>
        <w:rPr>
          <w:rFonts w:ascii="Arial" w:cs="Arial" w:eastAsia="Arial" w:hAnsi="Arial"/>
          <w:sz w:val="16"/>
          <w:szCs w:val="16"/>
          <w:color w:val="auto"/>
        </w:rPr>
      </w:pPr>
    </w:p>
    <w:p>
      <w:pPr>
        <w:ind w:right="20" w:firstLine="233"/>
        <w:spacing w:after="0" w:line="286"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if the Grantee’s employment with the Employer (or serve as a member of the Board of Directors, as the case may be)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(collectively, the “Company Payments”) would result in the Grantee being subject to excise tax payable under Internal Revenue Code Section 4999 (the Excise Tax”), the amount of any Company Payments shall be automatically reduced to an amount one dollar less than an amount that would subject the Grantee to the Excise Tax; provided, however,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320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4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This text will only appear in replacement options granted in exchange for options which currently have these “reload” provisions and in future option grants.</w:t>
      </w:r>
    </w:p>
    <w:p>
      <w:pPr>
        <w:spacing w:after="0" w:line="174" w:lineRule="exact"/>
        <w:rPr>
          <w:rFonts w:ascii="Arial" w:cs="Arial" w:eastAsia="Arial" w:hAnsi="Arial"/>
          <w:sz w:val="26"/>
          <w:szCs w:val="26"/>
          <w:color w:val="auto"/>
          <w:vertAlign w:val="superscript"/>
        </w:rPr>
      </w:pPr>
    </w:p>
    <w:p>
      <w:pPr>
        <w:ind w:left="5660"/>
        <w:spacing w:after="0"/>
        <w:rPr>
          <w:rFonts w:ascii="Arial" w:cs="Arial" w:eastAsia="Arial" w:hAnsi="Arial"/>
          <w:sz w:val="26"/>
          <w:szCs w:val="26"/>
          <w:color w:val="auto"/>
          <w:vertAlign w:val="superscript"/>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Grantee, (4) any benefits valued as parachute payments, and (5) acceleration of vesting of any equity not covered by (1) above.</w:t>
      </w:r>
    </w:p>
    <w:p>
      <w:pPr>
        <w:spacing w:after="0" w:line="194" w:lineRule="exact"/>
        <w:rPr>
          <w:sz w:val="20"/>
          <w:szCs w:val="20"/>
          <w:color w:val="auto"/>
        </w:rPr>
      </w:pPr>
    </w:p>
    <w:p>
      <w:pPr>
        <w:ind w:firstLine="233"/>
        <w:spacing w:after="0" w:line="290" w:lineRule="auto"/>
        <w:tabs>
          <w:tab w:leader="none" w:pos="40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Expiration Date shown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of Grant of Stock Options</w:t>
      </w:r>
      <w:r>
        <w:rPr>
          <w:rFonts w:ascii="Arial" w:cs="Arial" w:eastAsia="Arial" w:hAnsi="Arial"/>
          <w:sz w:val="16"/>
          <w:szCs w:val="16"/>
          <w:color w:val="auto"/>
        </w:rPr>
        <w:t>. In the event of termination of employment or service with the Employer (including, by way of example, termination of service as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 of the Board of Directors), except as set forth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w:t>
      </w:r>
      <w:r>
        <w:rPr>
          <w:rFonts w:ascii="Arial" w:cs="Arial" w:eastAsia="Arial" w:hAnsi="Arial"/>
          <w:sz w:val="16"/>
          <w:szCs w:val="16"/>
          <w:color w:val="auto"/>
        </w:rPr>
        <w:t>, the vested portion of the Option shall expire on the earlier of (i) the Expiration Date, or (ii)(A) subject to (E) below, three months after such termination if such termination is for any reason other than death, retirement, or long-term disability, (B) two years after such termination if such termination is due to the Grantee’s retirement, (C) one year after the termination if such termination is due to the Grantee’s death or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23" w:lineRule="exact"/>
        <w:rPr>
          <w:sz w:val="20"/>
          <w:szCs w:val="20"/>
          <w:color w:val="auto"/>
        </w:rPr>
      </w:pPr>
    </w:p>
    <w:p>
      <w:pPr>
        <w:ind w:right="20" w:firstLine="233"/>
        <w:spacing w:after="0" w:line="268"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For purposes of this Agreement, “Cause”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of Stock Options </w:t>
      </w:r>
      <w:r>
        <w:rPr>
          <w:rFonts w:ascii="Arial" w:cs="Arial" w:eastAsia="Arial" w:hAnsi="Arial"/>
          <w:sz w:val="17"/>
          <w:szCs w:val="17"/>
          <w:color w:val="auto"/>
        </w:rPr>
        <w:t>that defines “cause” (or words of like import), as defined under such agreement. For purposes of this Section 3(b), no act, or failure to</w:t>
      </w:r>
      <w:r>
        <w:rPr>
          <w:rFonts w:ascii="Arial" w:cs="Arial" w:eastAsia="Arial" w:hAnsi="Arial"/>
          <w:sz w:val="17"/>
          <w:szCs w:val="17"/>
          <w:i w:val="1"/>
          <w:iCs w:val="1"/>
          <w:color w:val="auto"/>
        </w:rPr>
        <w:t xml:space="preserve"> </w:t>
      </w:r>
      <w:r>
        <w:rPr>
          <w:rFonts w:ascii="Arial" w:cs="Arial" w:eastAsia="Arial" w:hAnsi="Arial"/>
          <w:sz w:val="17"/>
          <w:szCs w:val="17"/>
          <w:color w:val="auto"/>
        </w:rPr>
        <w:t>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47" w:lineRule="exact"/>
        <w:rPr>
          <w:rFonts w:ascii="Arial" w:cs="Arial" w:eastAsia="Arial" w:hAnsi="Arial"/>
          <w:sz w:val="17"/>
          <w:szCs w:val="17"/>
          <w:color w:val="auto"/>
        </w:rPr>
      </w:pPr>
    </w:p>
    <w:p>
      <w:pPr>
        <w:ind w:right="40" w:firstLine="233"/>
        <w:spacing w:after="0" w:line="286" w:lineRule="auto"/>
        <w:tabs>
          <w:tab w:leader="none" w:pos="4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but it does not define “good reason” (or words of like import)) a termination of employment or services by the Grantee 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 Change in Control (except in each case in connection with the termination of the Grantee’s employment or services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right="60"/>
        <w:spacing w:after="0" w:line="342" w:lineRule="auto"/>
        <w:rPr>
          <w:sz w:val="20"/>
          <w:szCs w:val="20"/>
          <w:color w:val="auto"/>
        </w:rPr>
      </w:pPr>
      <w:r>
        <w:rPr>
          <w:rFonts w:ascii="Arial" w:cs="Arial" w:eastAsia="Arial" w:hAnsi="Arial"/>
          <w:sz w:val="16"/>
          <w:szCs w:val="16"/>
          <w:color w:val="auto"/>
        </w:rPr>
        <w:t xml:space="preserve">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w:t>
      </w:r>
    </w:p>
    <w:p>
      <w:pPr>
        <w:spacing w:after="0" w:line="93" w:lineRule="exact"/>
        <w:rPr>
          <w:sz w:val="20"/>
          <w:szCs w:val="20"/>
          <w:color w:val="auto"/>
        </w:rPr>
      </w:pPr>
    </w:p>
    <w:p>
      <w:pPr>
        <w:ind w:right="80" w:firstLine="233"/>
        <w:spacing w:after="0" w:line="290" w:lineRule="auto"/>
        <w:tabs>
          <w:tab w:leader="none" w:pos="40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19" w:lineRule="exact"/>
        <w:rPr>
          <w:rFonts w:ascii="Arial" w:cs="Arial" w:eastAsia="Arial" w:hAnsi="Arial"/>
          <w:sz w:val="16"/>
          <w:szCs w:val="16"/>
          <w:b w:val="1"/>
          <w:bCs w:val="1"/>
          <w:color w:val="auto"/>
        </w:rPr>
      </w:pPr>
    </w:p>
    <w:p>
      <w:pPr>
        <w:ind w:right="100" w:firstLine="233"/>
        <w:spacing w:after="0" w:line="261" w:lineRule="auto"/>
        <w:tabs>
          <w:tab w:leader="none" w:pos="40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Stockholder. </w:t>
      </w:r>
      <w:r>
        <w:rPr>
          <w:rFonts w:ascii="Arial" w:cs="Arial" w:eastAsia="Arial" w:hAnsi="Arial"/>
          <w:sz w:val="18"/>
          <w:szCs w:val="18"/>
          <w:color w:val="auto"/>
        </w:rPr>
        <w:t>The Grantee shall have no rights as a stockholder with respect to any shares of Common Stock subject to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issuance to 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39" w:lineRule="exact"/>
        <w:rPr>
          <w:rFonts w:ascii="Arial" w:cs="Arial" w:eastAsia="Arial" w:hAnsi="Arial"/>
          <w:sz w:val="18"/>
          <w:szCs w:val="18"/>
          <w:b w:val="1"/>
          <w:bCs w:val="1"/>
          <w:color w:val="auto"/>
        </w:rPr>
      </w:pPr>
    </w:p>
    <w:p>
      <w:pPr>
        <w:ind w:firstLine="233"/>
        <w:spacing w:after="0" w:line="289" w:lineRule="auto"/>
        <w:tabs>
          <w:tab w:leader="none" w:pos="40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34" w:lineRule="exact"/>
        <w:rPr>
          <w:rFonts w:ascii="Arial" w:cs="Arial" w:eastAsia="Arial" w:hAnsi="Arial"/>
          <w:sz w:val="16"/>
          <w:szCs w:val="16"/>
          <w:b w:val="1"/>
          <w:bCs w:val="1"/>
          <w:color w:val="auto"/>
        </w:rPr>
      </w:pPr>
    </w:p>
    <w:p>
      <w:pPr>
        <w:jc w:val="both"/>
        <w:ind w:right="140" w:firstLine="233"/>
        <w:spacing w:after="0" w:line="261" w:lineRule="auto"/>
        <w:tabs>
          <w:tab w:leader="none" w:pos="40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39" w:lineRule="exact"/>
        <w:rPr>
          <w:rFonts w:ascii="Arial" w:cs="Arial" w:eastAsia="Arial" w:hAnsi="Arial"/>
          <w:sz w:val="18"/>
          <w:szCs w:val="18"/>
          <w:b w:val="1"/>
          <w:bCs w:val="1"/>
          <w:color w:val="auto"/>
        </w:rPr>
      </w:pPr>
    </w:p>
    <w:p>
      <w:pPr>
        <w:ind w:right="20" w:firstLine="233"/>
        <w:spacing w:after="0" w:line="258" w:lineRule="auto"/>
        <w:tabs>
          <w:tab w:leader="none" w:pos="40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43" w:lineRule="exact"/>
        <w:rPr>
          <w:rFonts w:ascii="Arial" w:cs="Arial" w:eastAsia="Arial" w:hAnsi="Arial"/>
          <w:sz w:val="18"/>
          <w:szCs w:val="18"/>
          <w:b w:val="1"/>
          <w:bCs w:val="1"/>
          <w:color w:val="auto"/>
        </w:rPr>
      </w:pPr>
    </w:p>
    <w:p>
      <w:pPr>
        <w:ind w:right="500" w:firstLine="233"/>
        <w:spacing w:after="0" w:line="282" w:lineRule="auto"/>
        <w:tabs>
          <w:tab w:leader="none" w:pos="40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935" w:right="2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10.02</w:t>
      </w:r>
    </w:p>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Form of [Replacement]* Option Agreement and Notice of Grant of [Replacement]* Options for Executive Officers (other than “named executive officers”) of Regeneron Pharmaceuticals, Inc.</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4780" w:type="dxa"/>
            <w:vAlign w:val="bottom"/>
            <w:gridSpan w:val="4"/>
          </w:tcPr>
          <w:p>
            <w:pPr>
              <w:ind w:left="660"/>
              <w:spacing w:after="0"/>
              <w:rPr>
                <w:sz w:val="20"/>
                <w:szCs w:val="20"/>
                <w:color w:val="auto"/>
              </w:rPr>
            </w:pPr>
            <w:r>
              <w:rPr>
                <w:rFonts w:ascii="Arial" w:cs="Arial" w:eastAsia="Arial" w:hAnsi="Arial"/>
                <w:sz w:val="18"/>
                <w:szCs w:val="18"/>
                <w:b w:val="1"/>
                <w:bCs w:val="1"/>
                <w:color w:val="auto"/>
              </w:rPr>
              <w:t>Regeneron Pharmaceuticals, Inc.</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00" w:type="dxa"/>
            <w:vAlign w:val="bottom"/>
            <w:vMerge w:val="restart"/>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1060" w:type="dxa"/>
            <w:vAlign w:val="bottom"/>
          </w:tcPr>
          <w:p>
            <w:pPr>
              <w:ind w:left="66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vMerge w:val="continue"/>
          </w:tcPr>
          <w:p>
            <w:pPr>
              <w:spacing w:after="0"/>
              <w:rPr>
                <w:sz w:val="18"/>
                <w:szCs w:val="18"/>
                <w:color w:val="auto"/>
              </w:rPr>
            </w:pPr>
          </w:p>
        </w:tc>
        <w:tc>
          <w:tcPr>
            <w:tcW w:w="2900" w:type="dxa"/>
            <w:vAlign w:val="bottom"/>
            <w:gridSpan w:val="3"/>
          </w:tcPr>
          <w:p>
            <w:pPr>
              <w:ind w:left="660"/>
              <w:spacing w:after="0"/>
              <w:rPr>
                <w:sz w:val="20"/>
                <w:szCs w:val="20"/>
                <w:color w:val="auto"/>
              </w:rPr>
            </w:pPr>
            <w:r>
              <w:rPr>
                <w:rFonts w:ascii="Arial" w:cs="Arial" w:eastAsia="Arial" w:hAnsi="Arial"/>
                <w:sz w:val="18"/>
                <w:szCs w:val="18"/>
                <w:color w:val="auto"/>
                <w:w w:val="96"/>
              </w:rPr>
              <w:t>777 Old Saw Mill River Road</w:t>
            </w:r>
          </w:p>
        </w:tc>
        <w:tc>
          <w:tcPr>
            <w:tcW w:w="1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and Option Agreement for [Replacement]*</w:t>
            </w:r>
          </w:p>
        </w:tc>
        <w:tc>
          <w:tcPr>
            <w:tcW w:w="2900" w:type="dxa"/>
            <w:vAlign w:val="bottom"/>
            <w:gridSpan w:val="3"/>
          </w:tcPr>
          <w:p>
            <w:pPr>
              <w:ind w:left="660"/>
              <w:spacing w:after="0"/>
              <w:rPr>
                <w:sz w:val="20"/>
                <w:szCs w:val="20"/>
                <w:color w:val="auto"/>
              </w:rPr>
            </w:pPr>
            <w:r>
              <w:rPr>
                <w:rFonts w:ascii="Arial" w:cs="Arial" w:eastAsia="Arial" w:hAnsi="Arial"/>
                <w:sz w:val="18"/>
                <w:szCs w:val="18"/>
                <w:color w:val="auto"/>
                <w:w w:val="99"/>
              </w:rPr>
              <w:t>Tarrytown, New York 10591</w:t>
            </w:r>
          </w:p>
        </w:tc>
        <w:tc>
          <w:tcPr>
            <w:tcW w:w="1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0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Option Number: [</w:t>
            </w:r>
          </w:p>
        </w:tc>
        <w:tc>
          <w:tcPr>
            <w:tcW w:w="6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06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Plan:</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2004</w:t>
            </w:r>
          </w:p>
        </w:tc>
        <w:tc>
          <w:tcPr>
            <w:tcW w:w="1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ID</w:t>
            </w: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jc w:val="right"/>
              <w:ind w:right="165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8480" w:type="dxa"/>
            <w:vAlign w:val="bottom"/>
            <w:gridSpan w:val="5"/>
          </w:tcPr>
          <w:p>
            <w:pPr>
              <w:spacing w:after="0"/>
              <w:rPr>
                <w:sz w:val="20"/>
                <w:szCs w:val="20"/>
                <w:color w:val="auto"/>
              </w:rPr>
            </w:pPr>
            <w:r>
              <w:rPr>
                <w:rFonts w:ascii="Arial" w:cs="Arial" w:eastAsia="Arial" w:hAnsi="Arial"/>
                <w:sz w:val="18"/>
                <w:szCs w:val="18"/>
                <w:color w:val="auto"/>
                <w:w w:val="95"/>
              </w:rPr>
              <w:t>Effective &lt;date&gt; (the “Grant Date”) you have been granted a(n) [Incentive][Non-Qualified] Stock Option to buy [</w:t>
            </w:r>
          </w:p>
        </w:tc>
        <w:tc>
          <w:tcPr>
            <w:tcW w:w="1800" w:type="dxa"/>
            <w:vAlign w:val="bottom"/>
          </w:tcPr>
          <w:p>
            <w:pPr>
              <w:ind w:left="220"/>
              <w:spacing w:after="0"/>
              <w:rPr>
                <w:sz w:val="20"/>
                <w:szCs w:val="20"/>
                <w:color w:val="auto"/>
              </w:rPr>
            </w:pPr>
            <w:r>
              <w:rPr>
                <w:rFonts w:ascii="Arial" w:cs="Arial" w:eastAsia="Arial" w:hAnsi="Arial"/>
                <w:sz w:val="18"/>
                <w:szCs w:val="18"/>
                <w:color w:val="auto"/>
                <w:w w:val="87"/>
              </w:rPr>
              <w:t>] shares of Regeneron</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6"/>
              </w:rPr>
              <w:t>Pharmaceuticals, Inc. (the Company) stock at [$</w:t>
            </w:r>
          </w:p>
        </w:tc>
        <w:tc>
          <w:tcPr>
            <w:tcW w:w="1060" w:type="dxa"/>
            <w:vAlign w:val="bottom"/>
          </w:tcPr>
          <w:p>
            <w:pPr>
              <w:ind w:left="220"/>
              <w:spacing w:after="0"/>
              <w:rPr>
                <w:sz w:val="20"/>
                <w:szCs w:val="20"/>
                <w:color w:val="auto"/>
              </w:rPr>
            </w:pPr>
            <w:r>
              <w:rPr>
                <w:rFonts w:ascii="Arial" w:cs="Arial" w:eastAsia="Arial" w:hAnsi="Arial"/>
                <w:sz w:val="18"/>
                <w:szCs w:val="18"/>
                <w:color w:val="auto"/>
                <w:w w:val="90"/>
              </w:rPr>
              <w:t>] per share.</w:t>
            </w: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700" w:type="dxa"/>
            <w:vAlign w:val="bottom"/>
          </w:tcPr>
          <w:p>
            <w:pPr>
              <w:spacing w:after="0"/>
              <w:rPr>
                <w:sz w:val="20"/>
                <w:szCs w:val="20"/>
                <w:color w:val="auto"/>
              </w:rPr>
            </w:pPr>
            <w:r>
              <w:rPr>
                <w:rFonts w:ascii="Arial" w:cs="Arial" w:eastAsia="Arial" w:hAnsi="Arial"/>
                <w:sz w:val="18"/>
                <w:szCs w:val="18"/>
                <w:color w:val="auto"/>
                <w:w w:val="96"/>
              </w:rPr>
              <w:t>The total option price of the shares granted is [$</w:t>
            </w:r>
          </w:p>
        </w:tc>
        <w:tc>
          <w:tcPr>
            <w:tcW w:w="1060" w:type="dxa"/>
            <w:vAlign w:val="bottom"/>
          </w:tcPr>
          <w:p>
            <w:pPr>
              <w:ind w:lef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6"/>
                <w:szCs w:val="16"/>
                <w:color w:val="auto"/>
              </w:rPr>
            </w:pPr>
          </w:p>
        </w:tc>
        <w:tc>
          <w:tcPr>
            <w:tcW w:w="4240" w:type="dxa"/>
            <w:vAlign w:val="bottom"/>
          </w:tcPr>
          <w:p>
            <w:pPr>
              <w:ind w:left="1820"/>
              <w:spacing w:after="0"/>
              <w:rPr>
                <w:sz w:val="20"/>
                <w:szCs w:val="20"/>
                <w:color w:val="auto"/>
              </w:rPr>
            </w:pPr>
            <w:r>
              <w:rPr>
                <w:rFonts w:ascii="Arial" w:cs="Arial" w:eastAsia="Arial" w:hAnsi="Arial"/>
                <w:sz w:val="14"/>
                <w:szCs w:val="14"/>
                <w:b w:val="1"/>
                <w:bCs w:val="1"/>
                <w:color w:val="auto"/>
              </w:rPr>
              <w:t>Vest Type</w:t>
            </w:r>
          </w:p>
        </w:tc>
        <w:tc>
          <w:tcPr>
            <w:tcW w:w="560" w:type="dxa"/>
            <w:vAlign w:val="bottom"/>
          </w:tcPr>
          <w:p>
            <w:pPr>
              <w:spacing w:after="0"/>
              <w:rPr>
                <w:sz w:val="16"/>
                <w:szCs w:val="16"/>
                <w:color w:val="auto"/>
              </w:rPr>
            </w:pPr>
          </w:p>
        </w:tc>
        <w:tc>
          <w:tcPr>
            <w:tcW w:w="3600" w:type="dxa"/>
            <w:vAlign w:val="bottom"/>
          </w:tcPr>
          <w:p>
            <w:pPr>
              <w:jc w:val="right"/>
              <w:ind w:right="1468"/>
              <w:spacing w:after="0"/>
              <w:rPr>
                <w:sz w:val="20"/>
                <w:szCs w:val="20"/>
                <w:color w:val="auto"/>
              </w:rPr>
            </w:pPr>
            <w:r>
              <w:rPr>
                <w:rFonts w:ascii="Arial" w:cs="Arial" w:eastAsia="Arial" w:hAnsi="Arial"/>
                <w:sz w:val="14"/>
                <w:szCs w:val="14"/>
                <w:b w:val="1"/>
                <w:bCs w:val="1"/>
                <w:color w:val="auto"/>
              </w:rPr>
              <w:t>Full Vest</w:t>
            </w:r>
          </w:p>
        </w:tc>
        <w:tc>
          <w:tcPr>
            <w:tcW w:w="56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95"/>
              </w:rPr>
              <w:t>Expiration Date</w:t>
            </w:r>
          </w:p>
        </w:tc>
      </w:tr>
      <w:tr>
        <w:trPr>
          <w:trHeight w:val="66"/>
        </w:trPr>
        <w:tc>
          <w:tcPr>
            <w:tcW w:w="9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424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36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Company’s 2000 Long-Term Incentive Plan as amended and the enclosed Option Agreement, both of which are attached and made a part of this document.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left="-8" w:right="420" w:firstLine="8"/>
        <w:spacing w:after="0" w:line="342" w:lineRule="auto"/>
        <w:tabs>
          <w:tab w:leader="none" w:pos="1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language will only be included in an option agreement or notice of grant for replacement options granted to eligible executive officers other than “named executive officers” to the extent such individuals exchange options in the Option Exchange Program, commenced December 3, 2004.</w:t>
      </w:r>
    </w:p>
    <w:p>
      <w:pPr>
        <w:spacing w:after="0" w:line="97" w:lineRule="exact"/>
        <w:rPr>
          <w:sz w:val="20"/>
          <w:szCs w:val="20"/>
          <w:color w:val="auto"/>
        </w:rPr>
      </w:pPr>
    </w:p>
    <w:p>
      <w:pPr>
        <w:ind w:left="-8" w:right="180" w:firstLine="8"/>
        <w:spacing w:after="0" w:line="277" w:lineRule="auto"/>
        <w:tabs>
          <w:tab w:leader="none" w:pos="2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Option vests in approximately equal annual 25% installments. Full Vest Dates will occur on the first, second, third and fourth anniversaries of the Grant Date</w:t>
      </w:r>
    </w:p>
    <w:p>
      <w:pPr>
        <w:spacing w:after="0" w:line="129" w:lineRule="exact"/>
        <w:rPr>
          <w:rFonts w:ascii="Arial" w:cs="Arial" w:eastAsia="Arial" w:hAnsi="Arial"/>
          <w:sz w:val="18"/>
          <w:szCs w:val="18"/>
          <w:color w:val="auto"/>
        </w:rPr>
      </w:pPr>
    </w:p>
    <w:p>
      <w:pPr>
        <w:ind w:left="-8" w:firstLine="8"/>
        <w:spacing w:after="0" w:line="277" w:lineRule="auto"/>
        <w:tabs>
          <w:tab w:leader="none" w:pos="3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 expires 10 years from the Grant Date. Replacement options expire at the later to occur of (i) remaining term of the tendered option it replaces and (ii) 6 years from Grant Date</w:t>
      </w:r>
    </w:p>
    <w:p>
      <w:pPr>
        <w:spacing w:after="0" w:line="13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5"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LONG-TERM INCENTIVE PLAN</w:t>
      </w:r>
    </w:p>
    <w:p>
      <w:pPr>
        <w:spacing w:after="0" w:line="170" w:lineRule="exact"/>
        <w:rPr>
          <w:sz w:val="20"/>
          <w:szCs w:val="20"/>
          <w:color w:val="auto"/>
        </w:rPr>
      </w:pPr>
    </w:p>
    <w:p>
      <w:pPr>
        <w:ind w:right="46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“Grantee”);</w:t>
      </w:r>
    </w:p>
    <w:p>
      <w:pPr>
        <w:spacing w:after="0" w:line="130" w:lineRule="exact"/>
        <w:rPr>
          <w:sz w:val="20"/>
          <w:szCs w:val="20"/>
          <w:color w:val="auto"/>
        </w:rPr>
      </w:pPr>
    </w:p>
    <w:p>
      <w:pPr>
        <w:ind w:right="500" w:firstLine="447"/>
        <w:spacing w:after="0" w:line="308"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20"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 xml:space="preserve">WHEREAS, the Committee administering the 2000 Long-Term Incentive Plan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($.001 par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1" w:lineRule="exact"/>
        <w:rPr>
          <w:sz w:val="20"/>
          <w:szCs w:val="20"/>
          <w:color w:val="auto"/>
        </w:rPr>
      </w:pPr>
    </w:p>
    <w:p>
      <w:pPr>
        <w:ind w:firstLine="233"/>
        <w:spacing w:after="0" w:line="262" w:lineRule="auto"/>
        <w:tabs>
          <w:tab w:leader="none" w:pos="405"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further to the terms and conditions set forth here, the option to purchase from the Company all or any part of an aggregate of shares of Common Stock at the purchase price per share (the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[The Option is intended to be an Incentive Stock Option under Section 422 of the Internal Revenue Code of 1986, as amended (the “Code”).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“Subsidiary”)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 Qualified Stock Option.]</w:t>
      </w:r>
      <w:r>
        <w:rPr>
          <w:rFonts w:ascii="Arial" w:cs="Arial" w:eastAsia="Arial" w:hAnsi="Arial"/>
          <w:sz w:val="28"/>
          <w:szCs w:val="28"/>
          <w:color w:val="auto"/>
          <w:vertAlign w:val="superscript"/>
        </w:rPr>
        <w:t>4</w:t>
      </w:r>
      <w:r>
        <w:rPr>
          <w:rFonts w:ascii="Arial" w:cs="Arial" w:eastAsia="Arial" w:hAnsi="Arial"/>
          <w:sz w:val="17"/>
          <w:szCs w:val="17"/>
          <w:color w:val="auto"/>
        </w:rPr>
        <w:t xml:space="preserve"> [No part of the Option granted hereby is intended to qualify as an Incentive Stock Option under Section 422 of the Internal Revenue Code of 1986, as amended (the “Code”).]</w:t>
      </w:r>
      <w:r>
        <w:rPr>
          <w:rFonts w:ascii="Arial" w:cs="Arial" w:eastAsia="Arial" w:hAnsi="Arial"/>
          <w:sz w:val="28"/>
          <w:szCs w:val="28"/>
          <w:color w:val="auto"/>
          <w:vertAlign w:val="superscript"/>
        </w:rPr>
        <w:t>5</w:t>
      </w:r>
    </w:p>
    <w:p>
      <w:pPr>
        <w:spacing w:after="0" w:line="26" w:lineRule="exact"/>
        <w:rPr>
          <w:rFonts w:ascii="Arial" w:cs="Arial" w:eastAsia="Arial" w:hAnsi="Arial"/>
          <w:sz w:val="17"/>
          <w:szCs w:val="17"/>
          <w:b w:val="1"/>
          <w:bCs w:val="1"/>
          <w:color w:val="auto"/>
        </w:rPr>
      </w:pPr>
    </w:p>
    <w:p>
      <w:pPr>
        <w:ind w:right="120" w:firstLine="233"/>
        <w:spacing w:after="0" w:line="256" w:lineRule="auto"/>
        <w:tabs>
          <w:tab w:leader="none" w:pos="40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 The Option is exercisable in installments as provided on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extent that the Option has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exercisable with respect to the number of shares of Common Stock as provided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promulgated by the Committee, and in accordance with applicable tax and other laws. The Company shall have the right to require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320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34" w:lineRule="exact"/>
        <w:rPr>
          <w:sz w:val="20"/>
          <w:szCs w:val="20"/>
          <w:color w:val="auto"/>
        </w:rPr>
      </w:pPr>
    </w:p>
    <w:p>
      <w:pPr>
        <w:ind w:left="140" w:right="220" w:hanging="132"/>
        <w:spacing w:after="0" w:line="194" w:lineRule="auto"/>
        <w:tabs>
          <w:tab w:leader="none" w:pos="125"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This text will appear in agreements for options that are intended to be incentive stock options under Section 422 of the Internal Revenue Code of 1986, as amended.</w:t>
      </w:r>
    </w:p>
    <w:p>
      <w:pPr>
        <w:spacing w:after="0" w:line="243" w:lineRule="exact"/>
        <w:rPr>
          <w:sz w:val="20"/>
          <w:szCs w:val="20"/>
          <w:color w:val="auto"/>
        </w:rPr>
      </w:pPr>
    </w:p>
    <w:p>
      <w:pPr>
        <w:ind w:left="140" w:right="140" w:hanging="132"/>
        <w:spacing w:after="0" w:line="194" w:lineRule="auto"/>
        <w:tabs>
          <w:tab w:leader="none" w:pos="125"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This text will appear in agreements for options that are not intended to be incentive stock options under Section 422 of the Internal Revenue Code of 1986,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color w:val="auto"/>
        </w:rPr>
        <w:t>in connection with the exercise of the Option to remit to the Company in cash an amount sufficient to satisfy any federal, state and local withholding tax requirements related thereto.</w:t>
      </w:r>
    </w:p>
    <w:p>
      <w:pPr>
        <w:spacing w:after="0" w:line="143" w:lineRule="exact"/>
        <w:rPr>
          <w:sz w:val="20"/>
          <w:szCs w:val="20"/>
          <w:color w:val="auto"/>
        </w:rPr>
      </w:pPr>
    </w:p>
    <w:p>
      <w:pPr>
        <w:ind w:firstLine="233"/>
        <w:spacing w:after="0" w:line="271" w:lineRule="auto"/>
        <w:tabs>
          <w:tab w:leader="none" w:pos="467"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additional number of shares of Common Stock granted as indicated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the Full Vest Dates. Except as otherwise provided in any employment agreement, consulting agreement, change in control agreement or similar agreement in effect between the Employer and the Grantee on the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vesting shall occur after such date as the Grantee ceases to be employed by the Employer and all unvested Options shall be forfeited at such time.</w:t>
      </w:r>
    </w:p>
    <w:p>
      <w:pPr>
        <w:spacing w:after="0" w:line="138" w:lineRule="exact"/>
        <w:rPr>
          <w:sz w:val="20"/>
          <w:szCs w:val="20"/>
          <w:color w:val="auto"/>
        </w:rPr>
      </w:pPr>
    </w:p>
    <w:p>
      <w:pPr>
        <w:ind w:right="40" w:firstLine="233"/>
        <w:spacing w:after="0" w:line="268" w:lineRule="auto"/>
        <w:tabs>
          <w:tab w:leader="none" w:pos="47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Notwithstanding anything herein (except the following sentence)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to the contrary, the Option shall be fully vested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if the application of the provision in the foregoing sentence, similar provisions in other stock option or restricted stock grants, and other payments and benefits payable to the Grantee upon termination of employment (collectively, the “Company Payments”) would result in the Grantee being subject to the excise tax payable under Internal Revenue Code Section 4999 (the “Excise Tax”), the amount of any Company Payments shall be automatically reduced to an amount one dollar less than an amount that would subject the Grantee to the Excise Tax; provided, however,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36" w:lineRule="exact"/>
        <w:rPr>
          <w:sz w:val="20"/>
          <w:szCs w:val="20"/>
          <w:color w:val="auto"/>
        </w:rPr>
      </w:pPr>
    </w:p>
    <w:p>
      <w:pPr>
        <w:ind w:right="40" w:firstLine="233"/>
        <w:spacing w:after="0" w:line="285" w:lineRule="auto"/>
        <w:tabs>
          <w:tab w:leader="none" w:pos="405"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Expiration Date shown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of Grant of Stock Options</w:t>
      </w:r>
      <w:r>
        <w:rPr>
          <w:rFonts w:ascii="Arial" w:cs="Arial" w:eastAsia="Arial" w:hAnsi="Arial"/>
          <w:sz w:val="16"/>
          <w:szCs w:val="16"/>
          <w:color w:val="auto"/>
        </w:rPr>
        <w:t>. In the event of termination of employment or service with the Employer, except as set forth in any employment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vested portion of the Option shall expire on the earlier of (i) the Expiration Date, or (ii) (A) subject to (E) below,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after such termination if such termination is for any reason other than death, retirement, or long-term disability, (B) two years after such termination if such termination is due to the Grantee’s retirement, (C) one year after the termination if such termination is due to the Grantee’s death or long-term disability,</w:t>
      </w:r>
    </w:p>
    <w:p>
      <w:pPr>
        <w:spacing w:after="0" w:line="3" w:lineRule="exact"/>
        <w:rPr>
          <w:rFonts w:ascii="Arial" w:cs="Arial" w:eastAsia="Arial" w:hAnsi="Arial"/>
          <w:sz w:val="16"/>
          <w:szCs w:val="16"/>
          <w:b w:val="1"/>
          <w:bCs w:val="1"/>
          <w:color w:val="auto"/>
        </w:rPr>
      </w:pPr>
    </w:p>
    <w:p>
      <w:pPr>
        <w:ind w:right="40" w:firstLine="8"/>
        <w:spacing w:after="0" w:line="255" w:lineRule="auto"/>
        <w:tabs>
          <w:tab w:leader="none" w:pos="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63" w:lineRule="exact"/>
        <w:rPr>
          <w:sz w:val="20"/>
          <w:szCs w:val="20"/>
          <w:color w:val="auto"/>
        </w:rPr>
      </w:pPr>
    </w:p>
    <w:p>
      <w:pPr>
        <w:ind w:right="140" w:firstLine="233"/>
        <w:spacing w:after="0" w:line="308" w:lineRule="auto"/>
        <w:tabs>
          <w:tab w:leader="none" w:pos="4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For purposes of this Agreement, “Cause”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7"/>
          <w:szCs w:val="17"/>
          <w:i w:val="1"/>
          <w:iCs w:val="1"/>
          <w:color w:val="auto"/>
        </w:rPr>
        <w:t>Notice of Grant of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80"/>
        <w:spacing w:after="0" w:line="26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(or where there is such an agreement but it does not define “cause” (or words of like import)) (A) the willful and continued failure by the Grantee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“cause” (or words of like import), as defined under such agreement.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56" w:lineRule="exact"/>
        <w:rPr>
          <w:sz w:val="20"/>
          <w:szCs w:val="20"/>
          <w:color w:val="auto"/>
        </w:rPr>
      </w:pPr>
    </w:p>
    <w:p>
      <w:pPr>
        <w:ind w:firstLine="233"/>
        <w:spacing w:after="0" w:line="286" w:lineRule="auto"/>
        <w:tabs>
          <w:tab w:leader="none" w:pos="4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but it does not define “good reason” (or words of like import)) a termination of employment by the Grantee 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w:t>
      </w:r>
    </w:p>
    <w:p>
      <w:pPr>
        <w:spacing w:after="0" w:line="124" w:lineRule="exact"/>
        <w:rPr>
          <w:sz w:val="20"/>
          <w:szCs w:val="20"/>
          <w:color w:val="auto"/>
        </w:rPr>
      </w:pPr>
    </w:p>
    <w:p>
      <w:pPr>
        <w:ind w:right="120" w:firstLine="233"/>
        <w:spacing w:after="0" w:line="290" w:lineRule="auto"/>
        <w:tabs>
          <w:tab w:leader="none" w:pos="40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19" w:lineRule="exact"/>
        <w:rPr>
          <w:rFonts w:ascii="Arial" w:cs="Arial" w:eastAsia="Arial" w:hAnsi="Arial"/>
          <w:sz w:val="16"/>
          <w:szCs w:val="16"/>
          <w:b w:val="1"/>
          <w:bCs w:val="1"/>
          <w:color w:val="auto"/>
        </w:rPr>
      </w:pPr>
    </w:p>
    <w:p>
      <w:pPr>
        <w:ind w:right="140" w:firstLine="233"/>
        <w:spacing w:after="0" w:line="282" w:lineRule="auto"/>
        <w:tabs>
          <w:tab w:leader="none" w:pos="40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Stockholder. </w:t>
      </w:r>
      <w:r>
        <w:rPr>
          <w:rFonts w:ascii="Arial" w:cs="Arial" w:eastAsia="Arial" w:hAnsi="Arial"/>
          <w:sz w:val="18"/>
          <w:szCs w:val="18"/>
          <w:color w:val="auto"/>
        </w:rPr>
        <w:t>The Grantee shall have no rights as a stockholder with respect to any shares of Common Stock subject to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issuance to the Grantee of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ind w:right="320"/>
        <w:spacing w:after="0" w:line="308" w:lineRule="auto"/>
        <w:rPr>
          <w:sz w:val="20"/>
          <w:szCs w:val="20"/>
          <w:color w:val="auto"/>
        </w:rPr>
      </w:pPr>
      <w:r>
        <w:rPr>
          <w:rFonts w:ascii="Arial" w:cs="Arial" w:eastAsia="Arial" w:hAnsi="Arial"/>
          <w:sz w:val="17"/>
          <w:szCs w:val="17"/>
          <w:color w:val="auto"/>
        </w:rPr>
        <w:t>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16" w:lineRule="exact"/>
        <w:rPr>
          <w:sz w:val="20"/>
          <w:szCs w:val="20"/>
          <w:color w:val="auto"/>
        </w:rPr>
      </w:pPr>
    </w:p>
    <w:p>
      <w:pPr>
        <w:ind w:firstLine="233"/>
        <w:spacing w:after="0" w:line="289" w:lineRule="auto"/>
        <w:tabs>
          <w:tab w:leader="none" w:pos="40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20" w:lineRule="exact"/>
        <w:rPr>
          <w:rFonts w:ascii="Arial" w:cs="Arial" w:eastAsia="Arial" w:hAnsi="Arial"/>
          <w:sz w:val="16"/>
          <w:szCs w:val="16"/>
          <w:b w:val="1"/>
          <w:bCs w:val="1"/>
          <w:color w:val="auto"/>
        </w:rPr>
      </w:pPr>
    </w:p>
    <w:p>
      <w:pPr>
        <w:jc w:val="both"/>
        <w:ind w:right="140" w:firstLine="233"/>
        <w:spacing w:after="0" w:line="261" w:lineRule="auto"/>
        <w:tabs>
          <w:tab w:leader="none" w:pos="40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39" w:lineRule="exact"/>
        <w:rPr>
          <w:rFonts w:ascii="Arial" w:cs="Arial" w:eastAsia="Arial" w:hAnsi="Arial"/>
          <w:sz w:val="18"/>
          <w:szCs w:val="18"/>
          <w:b w:val="1"/>
          <w:bCs w:val="1"/>
          <w:color w:val="auto"/>
        </w:rPr>
      </w:pPr>
    </w:p>
    <w:p>
      <w:pPr>
        <w:ind w:right="20" w:firstLine="233"/>
        <w:spacing w:after="0" w:line="258" w:lineRule="auto"/>
        <w:tabs>
          <w:tab w:leader="none" w:pos="40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56" w:lineRule="exact"/>
        <w:rPr>
          <w:rFonts w:ascii="Arial" w:cs="Arial" w:eastAsia="Arial" w:hAnsi="Arial"/>
          <w:sz w:val="18"/>
          <w:szCs w:val="18"/>
          <w:b w:val="1"/>
          <w:bCs w:val="1"/>
          <w:color w:val="auto"/>
        </w:rPr>
      </w:pPr>
    </w:p>
    <w:p>
      <w:pPr>
        <w:ind w:right="500" w:firstLine="233"/>
        <w:spacing w:after="0" w:line="282" w:lineRule="auto"/>
        <w:tabs>
          <w:tab w:leader="none" w:pos="40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935" w:right="2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10.03</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3840" w:type="dxa"/>
            <w:vAlign w:val="bottom"/>
            <w:gridSpan w:val="3"/>
          </w:tcPr>
          <w:p>
            <w:pPr>
              <w:ind w:left="1200"/>
              <w:spacing w:after="0"/>
              <w:rPr>
                <w:sz w:val="20"/>
                <w:szCs w:val="20"/>
                <w:color w:val="auto"/>
              </w:rPr>
            </w:pPr>
            <w:r>
              <w:rPr>
                <w:rFonts w:ascii="Arial" w:cs="Arial" w:eastAsia="Arial" w:hAnsi="Arial"/>
                <w:sz w:val="18"/>
                <w:szCs w:val="18"/>
                <w:b w:val="1"/>
                <w:bCs w:val="1"/>
                <w:color w:val="auto"/>
                <w:w w:val="92"/>
              </w:rPr>
              <w:t>Regeneron Pharmaceuticals, Inc.</w:t>
            </w:r>
          </w:p>
        </w:tc>
        <w:tc>
          <w:tcPr>
            <w:tcW w:w="0" w:type="dxa"/>
            <w:vAlign w:val="bottom"/>
          </w:tcPr>
          <w:p>
            <w:pPr>
              <w:spacing w:after="0"/>
              <w:rPr>
                <w:sz w:val="1"/>
                <w:szCs w:val="1"/>
                <w:color w:val="auto"/>
              </w:rPr>
            </w:pPr>
          </w:p>
        </w:tc>
      </w:tr>
      <w:tr>
        <w:trPr>
          <w:trHeight w:val="22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Notice of Grant of Award</w:t>
            </w:r>
          </w:p>
        </w:tc>
        <w:tc>
          <w:tcPr>
            <w:tcW w:w="1700" w:type="dxa"/>
            <w:vAlign w:val="bottom"/>
          </w:tcPr>
          <w:p>
            <w:pPr>
              <w:ind w:left="12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17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60" w:type="dxa"/>
            <w:vAlign w:val="bottom"/>
            <w:vMerge w:val="continue"/>
          </w:tcPr>
          <w:p>
            <w:pPr>
              <w:spacing w:after="0"/>
              <w:rPr>
                <w:sz w:val="18"/>
                <w:szCs w:val="18"/>
                <w:color w:val="auto"/>
              </w:rPr>
            </w:pPr>
          </w:p>
        </w:tc>
        <w:tc>
          <w:tcPr>
            <w:tcW w:w="3440" w:type="dxa"/>
            <w:vAlign w:val="bottom"/>
            <w:gridSpan w:val="2"/>
          </w:tcPr>
          <w:p>
            <w:pPr>
              <w:ind w:left="1200"/>
              <w:spacing w:after="0"/>
              <w:rPr>
                <w:sz w:val="20"/>
                <w:szCs w:val="20"/>
                <w:color w:val="auto"/>
              </w:rPr>
            </w:pPr>
            <w:r>
              <w:rPr>
                <w:rFonts w:ascii="Arial" w:cs="Arial" w:eastAsia="Arial" w:hAnsi="Arial"/>
                <w:sz w:val="18"/>
                <w:szCs w:val="18"/>
                <w:color w:val="auto"/>
                <w:w w:val="96"/>
              </w:rPr>
              <w:t>777 Old Saw Mill River Road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Arial" w:cs="Arial" w:eastAsia="Arial" w:hAnsi="Arial"/>
                <w:sz w:val="18"/>
                <w:szCs w:val="18"/>
                <w:b w:val="1"/>
                <w:bCs w:val="1"/>
                <w:color w:val="auto"/>
              </w:rPr>
              <w:t>and Award Agreement</w:t>
            </w:r>
          </w:p>
        </w:tc>
        <w:tc>
          <w:tcPr>
            <w:tcW w:w="170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w w:val="95"/>
              </w:rPr>
              <w:t>Tarrytown, New York 10591</w:t>
            </w:r>
          </w:p>
        </w:tc>
        <w:tc>
          <w:tcPr>
            <w:tcW w:w="0" w:type="dxa"/>
            <w:vAlign w:val="bottom"/>
          </w:tcPr>
          <w:p>
            <w:pPr>
              <w:spacing w:after="0"/>
              <w:rPr>
                <w:sz w:val="1"/>
                <w:szCs w:val="1"/>
                <w:color w:val="auto"/>
              </w:rPr>
            </w:pPr>
          </w:p>
        </w:tc>
      </w:tr>
      <w:tr>
        <w:trPr>
          <w:trHeight w:val="414"/>
        </w:trPr>
        <w:tc>
          <w:tcPr>
            <w:tcW w:w="3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40" w:type="dxa"/>
            <w:vAlign w:val="bottom"/>
            <w:gridSpan w:val="2"/>
          </w:tcPr>
          <w:p>
            <w:pPr>
              <w:ind w:left="1200"/>
              <w:spacing w:after="0"/>
              <w:rPr>
                <w:sz w:val="20"/>
                <w:szCs w:val="20"/>
                <w:color w:val="auto"/>
              </w:rPr>
            </w:pPr>
            <w:r>
              <w:rPr>
                <w:rFonts w:ascii="Arial" w:cs="Arial" w:eastAsia="Arial" w:hAnsi="Arial"/>
                <w:sz w:val="18"/>
                <w:szCs w:val="18"/>
                <w:b w:val="1"/>
                <w:bCs w:val="1"/>
                <w:color w:val="auto"/>
              </w:rPr>
              <w:t>Award Number: [</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1700" w:type="dxa"/>
            <w:vAlign w:val="bottom"/>
          </w:tcPr>
          <w:p>
            <w:pPr>
              <w:ind w:left="1200"/>
              <w:spacing w:after="0"/>
              <w:rPr>
                <w:sz w:val="20"/>
                <w:szCs w:val="20"/>
                <w:color w:val="auto"/>
              </w:rPr>
            </w:pPr>
            <w:r>
              <w:rPr>
                <w:rFonts w:ascii="Arial" w:cs="Arial" w:eastAsia="Arial" w:hAnsi="Arial"/>
                <w:sz w:val="18"/>
                <w:szCs w:val="18"/>
                <w:b w:val="1"/>
                <w:bCs w:val="1"/>
                <w:color w:val="auto"/>
              </w:rPr>
              <w:t>Plan:</w:t>
            </w: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04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700" w:type="dxa"/>
            <w:vAlign w:val="bottom"/>
          </w:tcPr>
          <w:p>
            <w:pPr>
              <w:ind w:left="1200"/>
              <w:spacing w:after="0"/>
              <w:rPr>
                <w:sz w:val="20"/>
                <w:szCs w:val="20"/>
                <w:color w:val="auto"/>
              </w:rPr>
            </w:pPr>
            <w:r>
              <w:rPr>
                <w:rFonts w:ascii="Arial" w:cs="Arial" w:eastAsia="Arial" w:hAnsi="Arial"/>
                <w:sz w:val="18"/>
                <w:szCs w:val="18"/>
                <w:b w:val="1"/>
                <w:bCs w:val="1"/>
                <w:color w:val="auto"/>
              </w:rPr>
              <w:t>ID</w:t>
            </w:r>
          </w:p>
        </w:tc>
        <w:tc>
          <w:tcPr>
            <w:tcW w:w="174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308" w:lineRule="auto"/>
        <w:rPr>
          <w:sz w:val="20"/>
          <w:szCs w:val="20"/>
          <w:color w:val="auto"/>
        </w:rPr>
      </w:pPr>
      <w:r>
        <w:rPr>
          <w:rFonts w:ascii="Arial" w:cs="Arial" w:eastAsia="Arial" w:hAnsi="Arial"/>
          <w:sz w:val="17"/>
          <w:szCs w:val="17"/>
          <w:color w:val="auto"/>
        </w:rPr>
        <w:t>Effective &lt;date&gt; (the “Grant Date”) you have been granted an award of [ These shares are restricted until the vest date(s) shown below.</w:t>
      </w:r>
    </w:p>
    <w:p>
      <w:pPr>
        <w:spacing w:after="0" w:line="106" w:lineRule="exact"/>
        <w:rPr>
          <w:sz w:val="20"/>
          <w:szCs w:val="20"/>
          <w:color w:val="auto"/>
        </w:rPr>
      </w:pPr>
    </w:p>
    <w:p>
      <w:pPr>
        <w:spacing w:after="0"/>
        <w:tabs>
          <w:tab w:leader="none" w:pos="3380" w:val="left"/>
        </w:tabs>
        <w:rPr>
          <w:sz w:val="20"/>
          <w:szCs w:val="20"/>
          <w:color w:val="auto"/>
        </w:rPr>
      </w:pPr>
      <w:r>
        <w:rPr>
          <w:rFonts w:ascii="Arial" w:cs="Arial" w:eastAsia="Arial" w:hAnsi="Arial"/>
          <w:sz w:val="18"/>
          <w:szCs w:val="18"/>
          <w:color w:val="auto"/>
        </w:rPr>
        <w:t>The current total value of the award is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shares of Regeneron Pharmaceuticals, Inc. (the Company) common stock.</w:t>
      </w:r>
    </w:p>
    <w:p>
      <w:pPr>
        <w:spacing w:after="0" w:line="828" w:lineRule="exact"/>
        <w:rPr>
          <w:sz w:val="20"/>
          <w:szCs w:val="20"/>
          <w:color w:val="auto"/>
        </w:rPr>
      </w:pPr>
    </w:p>
    <w:p>
      <w:pPr>
        <w:sectPr>
          <w:pgSz w:w="11900" w:h="16838" w:orient="portrait"/>
          <w:cols w:equalWidth="0" w:num="2">
            <w:col w:w="5260" w:space="460"/>
            <w:col w:w="5700"/>
          </w:cols>
          <w:pgMar w:left="240" w:top="931"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award will vest in increments on the date(s) shown.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Shares</w:t>
            </w:r>
          </w:p>
        </w:tc>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180" w:type="dxa"/>
            <w:vAlign w:val="bottom"/>
          </w:tcPr>
          <w:p>
            <w:pPr>
              <w:jc w:val="right"/>
              <w:ind w:right="2376"/>
              <w:spacing w:after="0"/>
              <w:rPr>
                <w:sz w:val="20"/>
                <w:szCs w:val="20"/>
                <w:color w:val="auto"/>
              </w:rPr>
            </w:pPr>
            <w:r>
              <w:rPr>
                <w:rFonts w:ascii="Arial" w:cs="Arial" w:eastAsia="Arial" w:hAnsi="Arial"/>
                <w:sz w:val="14"/>
                <w:szCs w:val="14"/>
                <w:b w:val="1"/>
                <w:bCs w:val="1"/>
                <w:color w:val="auto"/>
              </w:rPr>
              <w:t>Full Vest</w:t>
            </w:r>
          </w:p>
        </w:tc>
      </w:tr>
      <w:tr>
        <w:trPr>
          <w:trHeight w:val="53"/>
        </w:trPr>
        <w:tc>
          <w:tcPr>
            <w:tcW w:w="460" w:type="dxa"/>
            <w:vAlign w:val="bottom"/>
            <w:tcBorders>
              <w:bottom w:val="single" w:sz="8" w:color="808080"/>
            </w:tcBorders>
          </w:tcPr>
          <w:p>
            <w:pPr>
              <w:spacing w:after="0"/>
              <w:rPr>
                <w:sz w:val="4"/>
                <w:szCs w:val="4"/>
                <w:color w:val="auto"/>
              </w:rPr>
            </w:pPr>
          </w:p>
        </w:tc>
        <w:tc>
          <w:tcPr>
            <w:tcW w:w="52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180" w:type="dxa"/>
            <w:vAlign w:val="bottom"/>
            <w:tcBorders>
              <w:bottom w:val="single" w:sz="8" w:color="808080"/>
            </w:tcBorders>
          </w:tcPr>
          <w:p>
            <w:pPr>
              <w:spacing w:after="0"/>
              <w:rPr>
                <w:sz w:val="4"/>
                <w:szCs w:val="4"/>
                <w:color w:val="auto"/>
              </w:rPr>
            </w:pPr>
          </w:p>
        </w:tc>
      </w:tr>
      <w:tr>
        <w:trPr>
          <w:trHeight w:val="276"/>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5260" w:type="dxa"/>
            <w:vAlign w:val="bottom"/>
          </w:tcPr>
          <w:p>
            <w:pPr>
              <w:jc w:val="right"/>
              <w:ind w:right="497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180" w:type="dxa"/>
            <w:vAlign w:val="bottom"/>
          </w:tcPr>
          <w:p>
            <w:pPr>
              <w:jc w:val="right"/>
              <w:ind w:right="4716"/>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5260" w:type="dxa"/>
            <w:vAlign w:val="bottom"/>
          </w:tcPr>
          <w:p>
            <w:pPr>
              <w:jc w:val="right"/>
              <w:ind w:right="497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180" w:type="dxa"/>
            <w:vAlign w:val="bottom"/>
          </w:tcPr>
          <w:p>
            <w:pPr>
              <w:jc w:val="right"/>
              <w:ind w:right="4716"/>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and the Company agree that this award is granted under and governed by the terms and conditions of the Company’s 2000 Long-Term Incentive Plan as amended and the Award Agreement, both of which are attached and made a part of this document.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auto"/>
        </w:rPr>
        <w:t>* Shares vest in two approximately equal 50% installments 9 months and 18 months from the Grant Date</w:t>
      </w:r>
    </w:p>
    <w:p>
      <w:pPr>
        <w:sectPr>
          <w:pgSz w:w="11900" w:h="16838" w:orient="portrait"/>
          <w:cols w:equalWidth="0" w:num="1">
            <w:col w:w="10219"/>
          </w:cols>
          <w:pgMar w:left="240" w:top="935" w:right="1440" w:bottom="1440" w:gutter="0" w:footer="0" w:header="0"/>
        </w:sectPr>
      </w:pP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LONG-TERM INCENTIVE PLAN</w:t>
      </w:r>
    </w:p>
    <w:p>
      <w:pPr>
        <w:spacing w:after="0" w:line="170" w:lineRule="exact"/>
        <w:rPr>
          <w:sz w:val="20"/>
          <w:szCs w:val="20"/>
          <w:color w:val="auto"/>
        </w:rPr>
      </w:pPr>
    </w:p>
    <w:p>
      <w:pPr>
        <w:ind w:right="30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xml:space="preserve"> (the “Recipient”);</w:t>
      </w:r>
    </w:p>
    <w:p>
      <w:pPr>
        <w:spacing w:after="0" w:line="130" w:lineRule="exact"/>
        <w:rPr>
          <w:sz w:val="20"/>
          <w:szCs w:val="20"/>
          <w:color w:val="auto"/>
        </w:rPr>
      </w:pPr>
    </w:p>
    <w:p>
      <w:pPr>
        <w:ind w:right="260" w:firstLine="447"/>
        <w:spacing w:after="0" w:line="308" w:lineRule="auto"/>
        <w:rPr>
          <w:sz w:val="20"/>
          <w:szCs w:val="20"/>
          <w:color w:val="auto"/>
        </w:rPr>
      </w:pPr>
      <w:r>
        <w:rPr>
          <w:rFonts w:ascii="Arial" w:cs="Arial" w:eastAsia="Arial" w:hAnsi="Arial"/>
          <w:sz w:val="17"/>
          <w:szCs w:val="17"/>
          <w:color w:val="auto"/>
        </w:rPr>
        <w:t>WHEREAS, the Recipient is an employee of the Company and the Company desires to afford the Recipient the opportunity to acquire or enlarge the Recipient’s stock ownership in the Company so that the Recipient may have a direct proprietary interest in the Company’s success; and</w:t>
      </w:r>
    </w:p>
    <w:p>
      <w:pPr>
        <w:spacing w:after="0" w:line="120" w:lineRule="exact"/>
        <w:rPr>
          <w:sz w:val="20"/>
          <w:szCs w:val="20"/>
          <w:color w:val="auto"/>
        </w:rPr>
      </w:pPr>
    </w:p>
    <w:p>
      <w:pPr>
        <w:ind w:right="20" w:firstLine="447"/>
        <w:spacing w:after="0" w:line="308" w:lineRule="auto"/>
        <w:rPr>
          <w:sz w:val="20"/>
          <w:szCs w:val="20"/>
          <w:color w:val="auto"/>
        </w:rPr>
      </w:pPr>
      <w:r>
        <w:rPr>
          <w:rFonts w:ascii="Arial" w:cs="Arial" w:eastAsia="Arial" w:hAnsi="Arial"/>
          <w:sz w:val="17"/>
          <w:szCs w:val="17"/>
          <w:color w:val="auto"/>
        </w:rPr>
        <w:t xml:space="preserve">WHEREAS, the Committee administering the 2000 Long-Term Incentive Plan (the “Plan”) has granted (as of the effective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to the Recipient the shares of Restricted Stock as set forth in the</w:t>
      </w:r>
      <w:r>
        <w:rPr>
          <w:rFonts w:ascii="Arial" w:cs="Arial" w:eastAsia="Arial" w:hAnsi="Arial"/>
          <w:sz w:val="17"/>
          <w:szCs w:val="17"/>
          <w:i w:val="1"/>
          <w:iCs w:val="1"/>
          <w:color w:val="auto"/>
        </w:rPr>
        <w:t xml:space="preserve"> Notice of Grant of Restricted Stock</w:t>
      </w:r>
      <w:r>
        <w:rPr>
          <w:rFonts w:ascii="Arial" w:cs="Arial" w:eastAsia="Arial" w:hAnsi="Arial"/>
          <w:sz w:val="17"/>
          <w:szCs w:val="17"/>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5" w:lineRule="exact"/>
        <w:rPr>
          <w:sz w:val="20"/>
          <w:szCs w:val="20"/>
          <w:color w:val="auto"/>
        </w:rPr>
      </w:pPr>
    </w:p>
    <w:p>
      <w:pPr>
        <w:ind w:right="60" w:firstLine="458"/>
        <w:spacing w:after="0" w:line="259" w:lineRule="auto"/>
        <w:tabs>
          <w:tab w:leader="none" w:pos="6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Grant of Award. Pursuant to Section 8 of the Plan, the Company grants to the Recipient, subject to the terms and conditions of the Plan and subject further to the terms and conditions set forth herein, the number of shares of Restricted Stock as shown on the </w:t>
      </w:r>
      <w:r>
        <w:rPr>
          <w:rFonts w:ascii="Arial" w:cs="Arial" w:eastAsia="Arial" w:hAnsi="Arial"/>
          <w:sz w:val="18"/>
          <w:szCs w:val="18"/>
          <w:i w:val="1"/>
          <w:iCs w:val="1"/>
          <w:color w:val="auto"/>
        </w:rPr>
        <w:t>Notice of Grant of Restricted Stock</w:t>
      </w:r>
      <w:r>
        <w:rPr>
          <w:rFonts w:ascii="Arial" w:cs="Arial" w:eastAsia="Arial" w:hAnsi="Arial"/>
          <w:sz w:val="18"/>
          <w:szCs w:val="18"/>
          <w:color w:val="auto"/>
        </w:rPr>
        <w:t>. The Participant’s grant and record of Restricted Stock share ownership shall be kept on the books of the Company until the restrictions on transfer have lapsed. At the Recipient’s request, vested shares may be evidenced by stock certificates.</w:t>
      </w:r>
    </w:p>
    <w:p>
      <w:pPr>
        <w:spacing w:after="0" w:line="159" w:lineRule="exact"/>
        <w:rPr>
          <w:rFonts w:ascii="Arial" w:cs="Arial" w:eastAsia="Arial" w:hAnsi="Arial"/>
          <w:sz w:val="18"/>
          <w:szCs w:val="18"/>
          <w:color w:val="auto"/>
        </w:rPr>
      </w:pPr>
    </w:p>
    <w:p>
      <w:pPr>
        <w:ind w:firstLine="458"/>
        <w:spacing w:after="0" w:line="271" w:lineRule="auto"/>
        <w:tabs>
          <w:tab w:leader="none" w:pos="627"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Vesting. (a) The shares of Restricted Stock granted to the Recipient shall vest in installments as provided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The vesting schedule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indicates each date upon which the restrictions on transfer on the specified number of shares of Restricted Stock shall lapse, entitling the Recipient to freely transfer such shares, provided that the Recipient has not incurred a termination of employment or service with the Company and all Subsidiaries (collectively, the Company and its Subsidiaries shall be referred to herein as the “Employer”). There shall be no proportionate or partial vesting in the periods between the Full Vest Dates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and all vesting shall occur only on the Full Vest Dates. Except as set forth in the Plan or in any employment agreement, consulting agreement, change in control agreement or similar agreement in effect between the Employer and the Recipient on the date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no vesting shall occur after the termination of a Recipient’s employment or service with the Employer for any reason.</w:t>
      </w:r>
    </w:p>
    <w:p>
      <w:pPr>
        <w:spacing w:after="0" w:line="138" w:lineRule="exact"/>
        <w:rPr>
          <w:rFonts w:ascii="Arial" w:cs="Arial" w:eastAsia="Arial" w:hAnsi="Arial"/>
          <w:sz w:val="17"/>
          <w:szCs w:val="17"/>
          <w:color w:val="auto"/>
        </w:rPr>
      </w:pPr>
    </w:p>
    <w:p>
      <w:pPr>
        <w:ind w:right="20" w:firstLine="8"/>
        <w:spacing w:after="0" w:line="291"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to the contrary, the Restricted Stock granted to Recipient shall be fully vested if the Recipient’s employment with the Employer is terminated on or within two years after the occurrence of a Change in Control by the Company (other than for Cause) or by the Recipient for Good Reason. Except as otherwise provided in any employment agreement, consulting agreement, change in control agreement or similar agreement in effect between the Employer and the Recipient on the date of grant specified in the </w:t>
      </w:r>
      <w:r>
        <w:rPr>
          <w:rFonts w:ascii="Arial" w:cs="Arial" w:eastAsia="Arial" w:hAnsi="Arial"/>
          <w:sz w:val="16"/>
          <w:szCs w:val="16"/>
          <w:i w:val="1"/>
          <w:iCs w:val="1"/>
          <w:color w:val="auto"/>
        </w:rPr>
        <w:t>Notice of</w:t>
      </w:r>
      <w:r>
        <w:rPr>
          <w:rFonts w:ascii="Arial" w:cs="Arial" w:eastAsia="Arial" w:hAnsi="Arial"/>
          <w:sz w:val="16"/>
          <w:szCs w:val="16"/>
          <w:color w:val="auto"/>
        </w:rPr>
        <w:t xml:space="preserve"> </w:t>
      </w:r>
      <w:r>
        <w:rPr>
          <w:rFonts w:ascii="Arial" w:cs="Arial" w:eastAsia="Arial" w:hAnsi="Arial"/>
          <w:sz w:val="16"/>
          <w:szCs w:val="16"/>
          <w:i w:val="1"/>
          <w:iCs w:val="1"/>
          <w:color w:val="auto"/>
        </w:rPr>
        <w:t>Grant of Restricted Stock</w:t>
      </w:r>
      <w:r>
        <w:rPr>
          <w:rFonts w:ascii="Arial" w:cs="Arial" w:eastAsia="Arial" w:hAnsi="Arial"/>
          <w:sz w:val="16"/>
          <w:szCs w:val="16"/>
          <w:color w:val="auto"/>
        </w:rPr>
        <w:t>, if the application of the provision in the foregoing sentence, similar provisions in other stock option or restricted stock grants,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payments and benefits payable to the Grantee upon termination of employment (collectively, the “Company Payments”) would result in the Recipient being subject to excise tax payable under Internal Revenue Code Section 4999 (the “Excise Tax”) , the amount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ind w:right="340"/>
        <w:spacing w:after="0" w:line="289" w:lineRule="auto"/>
        <w:rPr>
          <w:sz w:val="20"/>
          <w:szCs w:val="20"/>
          <w:color w:val="auto"/>
        </w:rPr>
      </w:pPr>
      <w:r>
        <w:rPr>
          <w:rFonts w:ascii="Arial" w:cs="Arial" w:eastAsia="Arial" w:hAnsi="Arial"/>
          <w:sz w:val="16"/>
          <w:szCs w:val="16"/>
          <w:color w:val="auto"/>
        </w:rPr>
        <w:t>any Company Payments shall be automatically reduced to an amount one dollar less than an amount that would subject the Recipient to the Excise Tax; provided, however, that the reduction shall occur only if the reduced Company Payments received by the Recipient (after taking into account further reductions for applicable federal, state and local income, social security and other taxes) would be greater than the unreduced Company Payments 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Recipient, (4) any benefits valued as parachute payments, and (5) acceleration of vesting of any equity not covered by (1) above.</w:t>
      </w:r>
    </w:p>
    <w:p>
      <w:pPr>
        <w:spacing w:after="0" w:line="140"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purposes of this Agreement, “Cause” shall mean (i) in the case where there is no employment agreement, consulting agreement, change in control</w:t>
      </w:r>
    </w:p>
    <w:p>
      <w:pPr>
        <w:spacing w:after="0" w:line="46" w:lineRule="exact"/>
        <w:rPr>
          <w:rFonts w:ascii="Arial" w:cs="Arial" w:eastAsia="Arial" w:hAnsi="Arial"/>
          <w:sz w:val="16"/>
          <w:szCs w:val="16"/>
          <w:color w:val="auto"/>
        </w:rPr>
      </w:pPr>
    </w:p>
    <w:p>
      <w:pPr>
        <w:ind w:right="10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agreement or similar agreement in effect between the Employer and the Recipient on the date of grant specified in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(or where there is such an agreement but it does not define “cause” (or words of like import)) (A) the willful and continued failure by the Recipient substantially to perform his or her duties and obligations to the Employer, including without limitation, repeated refusal to follow the reasonable directions of the Employer, knowing violation of law in the course of performance of the duties of the Recipient’s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Recipient on the date of grant specified on the </w:t>
      </w:r>
      <w:r>
        <w:rPr>
          <w:rFonts w:ascii="Arial" w:cs="Arial" w:eastAsia="Arial" w:hAnsi="Arial"/>
          <w:sz w:val="17"/>
          <w:szCs w:val="17"/>
          <w:i w:val="1"/>
          <w:iCs w:val="1"/>
          <w:color w:val="auto"/>
        </w:rPr>
        <w:t>Notice of Grant of Restricted Stock</w:t>
      </w:r>
      <w:r>
        <w:rPr>
          <w:rFonts w:ascii="Arial" w:cs="Arial" w:eastAsia="Arial" w:hAnsi="Arial"/>
          <w:sz w:val="17"/>
          <w:szCs w:val="17"/>
          <w:color w:val="auto"/>
        </w:rPr>
        <w:t xml:space="preserve"> that defines “cause” (or words of like import), as defined under such agreement. For purposes of this Section 3(c), no act, or failure to act, on a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144" w:lineRule="exact"/>
        <w:rPr>
          <w:rFonts w:ascii="Arial" w:cs="Arial" w:eastAsia="Arial" w:hAnsi="Arial"/>
          <w:sz w:val="16"/>
          <w:szCs w:val="16"/>
          <w:color w:val="auto"/>
        </w:rPr>
      </w:pPr>
    </w:p>
    <w:p>
      <w:pPr>
        <w:ind w:firstLine="8"/>
        <w:spacing w:after="0" w:line="286"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(i) in the case where there is no employment agreement, consulting agreement, change in control agreement or similar agreement in effect between the Employer and the Recipient on the date of grant specified in the </w:t>
      </w:r>
      <w:r>
        <w:rPr>
          <w:rFonts w:ascii="Arial" w:cs="Arial" w:eastAsia="Arial" w:hAnsi="Arial"/>
          <w:sz w:val="16"/>
          <w:szCs w:val="16"/>
          <w:i w:val="1"/>
          <w:iCs w:val="1"/>
          <w:color w:val="auto"/>
        </w:rPr>
        <w:t>Notice of Grant of 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w:t>
      </w:r>
      <w:r>
        <w:rPr>
          <w:rFonts w:ascii="Arial" w:cs="Arial" w:eastAsia="Arial" w:hAnsi="Arial"/>
          <w:sz w:val="16"/>
          <w:szCs w:val="16"/>
          <w:color w:val="auto"/>
        </w:rPr>
        <w:t>(or where there is such an agreement but it does not define “good reason” (or words of like import)) a termination of employment by the Recipient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that which exists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 (B)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exists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similar agreement in effect between the Employer and the Recipient on the date on the </w:t>
      </w:r>
      <w:r>
        <w:rPr>
          <w:rFonts w:ascii="Arial" w:cs="Arial" w:eastAsia="Arial" w:hAnsi="Arial"/>
          <w:sz w:val="16"/>
          <w:szCs w:val="16"/>
          <w:i w:val="1"/>
          <w:iCs w:val="1"/>
          <w:color w:val="auto"/>
        </w:rPr>
        <w:t>Notice of Grant of Restricted Stock</w:t>
      </w:r>
      <w:r>
        <w:rPr>
          <w:rFonts w:ascii="Arial" w:cs="Arial" w:eastAsia="Arial" w:hAnsi="Arial"/>
          <w:sz w:val="16"/>
          <w:szCs w:val="16"/>
          <w:color w:val="auto"/>
        </w:rPr>
        <w:t xml:space="preserve"> that defines “good reason” (or words of like import), as defined under such agreement.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left="-20" w:right="180" w:firstLine="458"/>
        <w:spacing w:after="0" w:line="264" w:lineRule="auto"/>
        <w:tabs>
          <w:tab w:leader="none" w:pos="6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Service. Subject to the terms of the Plan and Section 2(b), if the Recipient’s employment or service with the Company is terminated for any reason (other than as set forth in Section 2(b)), the Recipient shall forfeit any or all of the shares of Restricted Stock that have not vested in accordance with Section 2 hereof (the “Unvested Shares”).</w:t>
      </w:r>
    </w:p>
    <w:p>
      <w:pPr>
        <w:spacing w:after="0" w:line="154" w:lineRule="exact"/>
        <w:rPr>
          <w:rFonts w:ascii="Arial" w:cs="Arial" w:eastAsia="Arial" w:hAnsi="Arial"/>
          <w:sz w:val="18"/>
          <w:szCs w:val="18"/>
          <w:color w:val="auto"/>
        </w:rPr>
      </w:pPr>
    </w:p>
    <w:p>
      <w:pPr>
        <w:ind w:left="-20" w:right="300" w:firstLine="458"/>
        <w:spacing w:after="0" w:line="277" w:lineRule="auto"/>
        <w:tabs>
          <w:tab w:leader="none" w:pos="6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Transfer. Unvested Shares may not be transferred or otherwise disposed of by the Recipient including by way of sale, assignment, transfer, pledge, hypothecation or otherwise, except as permitted by the Committee in its sole discretion.</w:t>
      </w:r>
    </w:p>
    <w:p>
      <w:pPr>
        <w:spacing w:after="0" w:line="129" w:lineRule="exact"/>
        <w:rPr>
          <w:rFonts w:ascii="Arial" w:cs="Arial" w:eastAsia="Arial" w:hAnsi="Arial"/>
          <w:sz w:val="18"/>
          <w:szCs w:val="18"/>
          <w:color w:val="auto"/>
        </w:rPr>
      </w:pPr>
    </w:p>
    <w:p>
      <w:pPr>
        <w:ind w:left="-20" w:right="280" w:firstLine="458"/>
        <w:spacing w:after="0" w:line="264" w:lineRule="auto"/>
        <w:tabs>
          <w:tab w:leader="none" w:pos="6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Securities Laws Requirements. The Company shall not be obligated to transfer any Unvested Shares or other shares of Company Stock to the Recipient, if such transfer, in the opinion of counsel for the Company, would violate the Securities Act (or any other federal or state statutes having similar requirements as may be in effect at that time).</w:t>
      </w:r>
    </w:p>
    <w:p>
      <w:pPr>
        <w:spacing w:after="0" w:line="140" w:lineRule="exact"/>
        <w:rPr>
          <w:rFonts w:ascii="Arial" w:cs="Arial" w:eastAsia="Arial" w:hAnsi="Arial"/>
          <w:sz w:val="18"/>
          <w:szCs w:val="18"/>
          <w:color w:val="auto"/>
        </w:rPr>
      </w:pPr>
    </w:p>
    <w:p>
      <w:pPr>
        <w:ind w:left="-20" w:right="20" w:firstLine="458"/>
        <w:spacing w:after="0" w:line="273" w:lineRule="auto"/>
        <w:tabs>
          <w:tab w:leader="none" w:pos="61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Invalid Transfers. No purported sale, assignment, mortgage, hypothecation, transfer, pledge, encumbrance, gift, transfer in trust (voting or other) or other disposition of, or creation of a security interest in or lien on, any of the shares of Restricted Stock by any holder thereof in violation of the provisions of this Restricted Stock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151" w:lineRule="exact"/>
        <w:rPr>
          <w:rFonts w:ascii="Arial" w:cs="Arial" w:eastAsia="Arial" w:hAnsi="Arial"/>
          <w:sz w:val="17"/>
          <w:szCs w:val="17"/>
          <w:color w:val="auto"/>
        </w:rPr>
      </w:pPr>
    </w:p>
    <w:p>
      <w:pPr>
        <w:ind w:left="-20" w:firstLine="458"/>
        <w:spacing w:after="0" w:line="272" w:lineRule="auto"/>
        <w:tabs>
          <w:tab w:leader="none" w:pos="60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Taxes. The Recipient shall pay to the Company promptly upon request, and in any event at the time the Recipient recognizes taxable income in respect to the shares of Restricted Stock (or, if the Recipient makes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The Recipient shall promptly notify the Company of any election made pursuant to Section 83(b) of the Code. The Recipient understands that s/he (and not the Company) shall be responsible for any tax liability that may arise as a result of the transactions contemplated by this Restricted Stock Agreement.</w:t>
      </w:r>
    </w:p>
    <w:p>
      <w:pPr>
        <w:spacing w:after="0" w:line="178" w:lineRule="exact"/>
        <w:rPr>
          <w:sz w:val="20"/>
          <w:szCs w:val="20"/>
          <w:color w:val="auto"/>
        </w:rPr>
      </w:pPr>
    </w:p>
    <w:p>
      <w:pPr>
        <w:jc w:val="both"/>
        <w:ind w:left="540" w:right="560"/>
        <w:spacing w:after="0" w:line="264" w:lineRule="auto"/>
        <w:rPr>
          <w:sz w:val="20"/>
          <w:szCs w:val="20"/>
          <w:color w:val="auto"/>
        </w:rPr>
      </w:pPr>
      <w:r>
        <w:rPr>
          <w:rFonts w:ascii="Arial" w:cs="Arial" w:eastAsia="Arial" w:hAnsi="Arial"/>
          <w:sz w:val="18"/>
          <w:szCs w:val="18"/>
          <w:color w:val="auto"/>
        </w:rPr>
        <w:t>THE RECIPIENT ACKNOWLEDGES THAT IT IS THE RECIPIENT’S SOLE RESPONSIBILITY AND NOT THE COMPANY’S TO FILE TIMELY THE ELECTION UNDER SECTION 83(b) OF THE CODE, IN THE EVENT THAT THE RECIPIENT DESIRES TO MAKE THE ELECTION.</w:t>
      </w:r>
    </w:p>
    <w:p>
      <w:pPr>
        <w:spacing w:after="0" w:line="181" w:lineRule="exact"/>
        <w:rPr>
          <w:sz w:val="20"/>
          <w:szCs w:val="20"/>
          <w:color w:val="auto"/>
        </w:rPr>
      </w:pPr>
    </w:p>
    <w:p>
      <w:pPr>
        <w:ind w:left="-20" w:right="80" w:firstLine="458"/>
        <w:spacing w:after="0" w:line="312" w:lineRule="auto"/>
        <w:tabs>
          <w:tab w:leader="none" w:pos="61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Rights as a Stockholder. Pursuant to Section 8(e) of the Plan, the Company shall hold in escrow all dividends, if any, that are paid with 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w:t>
      </w:r>
    </w:p>
    <w:p>
      <w:pPr>
        <w:spacing w:after="0" w:line="106" w:lineRule="exact"/>
        <w:rPr>
          <w:rFonts w:ascii="Arial" w:cs="Arial" w:eastAsia="Arial" w:hAnsi="Arial"/>
          <w:sz w:val="16"/>
          <w:szCs w:val="16"/>
          <w:color w:val="auto"/>
        </w:rPr>
      </w:pPr>
    </w:p>
    <w:p>
      <w:pPr>
        <w:ind w:left="-20" w:right="100" w:firstLine="458"/>
        <w:spacing w:after="0" w:line="255" w:lineRule="auto"/>
        <w:tabs>
          <w:tab w:leader="none" w:pos="6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Law and Regulations. The award and any obligation of the Company hereunder shall be subject to all applicable federal, state and local laws, rules and regulations and to such approvals by any government or regulatory agency as may be required. The Company may require, as a condition of the issuance and delivery of certificates evidencing Restricted Stock pursuant to the terms hereof, that the certificates bear such legends as set forth in the Plan, in addition to any other legends required under federal and state securities laws or as otherwise determined by the Committee. Except to the extent preempted by any federal law, this Restricted Stock Agreement shall be construed and administered in accordance with the laws of the State of New York without reference to its principles of conflicts of law.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3" w:name="page24"/>
    <w:bookmarkEnd w:id="23"/>
    <w:p>
      <w:pPr>
        <w:ind w:left="-40" w:firstLine="458"/>
        <w:spacing w:after="0" w:line="279"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Recipient Bound by Plan. The Recipient acknowledges receipt of a copy of the Plan and this Restricted Stock Agreement and agrees to be bound by all the terms and provisions thereof. The Plan is incorporated by reference, and any capitalized terms used but not defined herein shall have the same meanings as in the Plan. To the extent that this Restricted Stock Agreement is silent with respect to, or in any way inconsistent with, the terms of the Plan, the provisions of the Plan shall govern and this Restricted Stock Agreement shall be deemed to be modified accordingly.</w:t>
      </w:r>
    </w:p>
    <w:p>
      <w:pPr>
        <w:spacing w:after="0" w:line="144" w:lineRule="exact"/>
        <w:rPr>
          <w:rFonts w:ascii="Arial" w:cs="Arial" w:eastAsia="Arial" w:hAnsi="Arial"/>
          <w:sz w:val="17"/>
          <w:szCs w:val="17"/>
          <w:color w:val="auto"/>
        </w:rPr>
      </w:pPr>
    </w:p>
    <w:p>
      <w:pPr>
        <w:ind w:left="-40" w:right="40" w:firstLine="458"/>
        <w:spacing w:after="0" w:line="276" w:lineRule="auto"/>
        <w:tabs>
          <w:tab w:leader="none" w:pos="673"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Notices. Any notice or communication given hereunder shall be in writing and shall be deemed given when delivered in person, or 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360"/>
      </w:cols>
      <w:pgMar w:left="28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lowerLetter"/>
      <w:start w:val="3"/>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lvl w:ilvl="1">
      <w:lvlJc w:val="left"/>
      <w:lvlText w:val="%2."/>
      <w:numFmt w:val="decimal"/>
      <w:start w:val="1"/>
    </w:lvl>
  </w:abstractNum>
  <w:abstractNum w:abstractNumId="5">
    <w:nsid w:val="3F2DBA31"/>
    <w:multiLevelType w:val="hybridMultilevel"/>
    <w:lvl w:ilvl="0">
      <w:lvlJc w:val="left"/>
      <w:lvlText w:val="2"/>
      <w:numFmt w:val="bullet"/>
      <w:start w:val="1"/>
    </w:lvl>
  </w:abstractNum>
  <w:abstractNum w:abstractNumId="6">
    <w:nsid w:val="7C83E458"/>
    <w:multiLevelType w:val="hybridMultilevel"/>
    <w:lvl w:ilvl="0">
      <w:lvlJc w:val="left"/>
      <w:lvlText w:val="(%1)"/>
      <w:numFmt w:val="lowerLetter"/>
      <w:start w:val="2"/>
    </w:lvl>
  </w:abstractNum>
  <w:abstractNum w:abstractNumId="7">
    <w:nsid w:val="257130A3"/>
    <w:multiLevelType w:val="hybridMultilevel"/>
    <w:lvl w:ilvl="0">
      <w:lvlJc w:val="left"/>
      <w:lvlText w:val="3"/>
      <w:numFmt w:val="bullet"/>
      <w:start w:val="1"/>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1)"/>
      <w:numFmt w:val="lowerLetter"/>
      <w:start w:val="2"/>
    </w:lvl>
  </w:abstractNum>
  <w:abstractNum w:abstractNumId="10">
    <w:nsid w:val="628C895D"/>
    <w:multiLevelType w:val="hybridMultilevel"/>
    <w:lvl w:ilvl="0">
      <w:lvlJc w:val="left"/>
      <w:lvlText w:val="%1."/>
      <w:numFmt w:val="decimal"/>
      <w:start w:val="4"/>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1)"/>
      <w:numFmt w:val="lowerLetter"/>
      <w:start w:val="3"/>
    </w:lvl>
  </w:abstractNum>
  <w:abstractNum w:abstractNumId="18">
    <w:nsid w:val="79838CB2"/>
    <w:multiLevelType w:val="hybridMultilevel"/>
    <w:lvl w:ilvl="0">
      <w:lvlJc w:val="left"/>
      <w:lvlText w:val="(%1)"/>
      <w:numFmt w:val="lowerLetter"/>
      <w:start w:val="3"/>
    </w:lvl>
  </w:abstractNum>
  <w:abstractNum w:abstractNumId="19">
    <w:nsid w:val="4353D0CD"/>
    <w:multiLevelType w:val="hybridMultilevel"/>
    <w:lvl w:ilvl="0">
      <w:lvlJc w:val="left"/>
      <w:lvlText w:val="%1"/>
      <w:numFmt w:val="upperLetter"/>
      <w:start w:val="1"/>
    </w:lvl>
    <w:lvl w:ilvl="1">
      <w:lvlJc w:val="left"/>
      <w:lvlText w:val="%2."/>
      <w:numFmt w:val="decimal"/>
      <w:start w:val="3"/>
    </w:lvl>
  </w:abstractNum>
  <w:abstractNum w:abstractNumId="20">
    <w:nsid w:val="B03E0C6"/>
    <w:multiLevelType w:val="hybridMultilevel"/>
    <w:lvl w:ilvl="0">
      <w:lvlJc w:val="left"/>
      <w:lvlText w:val="(%1)"/>
      <w:numFmt w:val="upperLetter"/>
      <w:start w:val="4"/>
    </w:lvl>
    <w:lvl w:ilvl="1">
      <w:lvlJc w:val="left"/>
      <w:lvlText w:val="%2"/>
      <w:numFmt w:val="decimal"/>
      <w:start w:val="1"/>
    </w:lvl>
  </w:abstractNum>
  <w:abstractNum w:abstractNumId="21">
    <w:nsid w:val="189A769B"/>
    <w:multiLevelType w:val="hybridMultilevel"/>
    <w:lvl w:ilvl="0">
      <w:lvlJc w:val="left"/>
      <w:lvlText w:val="(%1)"/>
      <w:numFmt w:val="lowerLetter"/>
      <w:start w:val="4"/>
    </w:lvl>
  </w:abstractNum>
  <w:abstractNum w:abstractNumId="22">
    <w:nsid w:val="54E49EB4"/>
    <w:multiLevelType w:val="hybridMultilevel"/>
    <w:lvl w:ilvl="0">
      <w:lvlJc w:val="left"/>
      <w:lvlText w:val="(%1)"/>
      <w:numFmt w:val="lowerLetter"/>
      <w:start w:val="5"/>
    </w:lvl>
  </w:abstractNum>
  <w:abstractNum w:abstractNumId="23">
    <w:nsid w:val="71F32454"/>
    <w:multiLevelType w:val="hybridMultilevel"/>
    <w:lvl w:ilvl="0">
      <w:lvlJc w:val="left"/>
      <w:lvlText w:val="%1."/>
      <w:numFmt w:val="decimal"/>
      <w:start w:val="4"/>
    </w:lvl>
  </w:abstractNum>
  <w:abstractNum w:abstractNumId="24">
    <w:nsid w:val="2CA88611"/>
    <w:multiLevelType w:val="hybridMultilevel"/>
    <w:lvl w:ilvl="0">
      <w:lvlJc w:val="left"/>
      <w:lvlText w:val="%1."/>
      <w:numFmt w:val="decimal"/>
      <w:start w:val="6"/>
    </w:lvl>
  </w:abstractNum>
  <w:abstractNum w:abstractNumId="25">
    <w:nsid w:val="836C40E"/>
    <w:multiLevelType w:val="hybridMultilevel"/>
    <w:lvl w:ilvl="0">
      <w:lvlJc w:val="left"/>
      <w:lvlText w:val="%1"/>
      <w:numFmt w:val="lowerLetter"/>
      <w:start w:val="1"/>
    </w:lvl>
    <w:lvl w:ilvl="1">
      <w:lvlJc w:val="left"/>
      <w:lvlText w:val="%2."/>
      <w:numFmt w:val="decimal"/>
      <w:start w:val="1"/>
    </w:lvl>
  </w:abstractNum>
  <w:abstractNum w:abstractNumId="26">
    <w:nsid w:val="2901D82"/>
    <w:multiLevelType w:val="hybridMultilevel"/>
    <w:lvl w:ilvl="0">
      <w:lvlJc w:val="left"/>
      <w:lvlText w:val="(%1)"/>
      <w:numFmt w:val="lowerLetter"/>
      <w:start w:val="2"/>
    </w:lvl>
    <w:lvl w:ilvl="1">
      <w:lvlJc w:val="left"/>
      <w:lvlText w:val="%2"/>
      <w:numFmt w:val="decimal"/>
      <w:start w:val="1"/>
    </w:lvl>
  </w:abstractNum>
  <w:abstractNum w:abstractNumId="27">
    <w:nsid w:val="3A95F874"/>
    <w:multiLevelType w:val="hybridMultilevel"/>
    <w:lvl w:ilvl="0">
      <w:lvlJc w:val="left"/>
      <w:lvlText w:val="(%1)"/>
      <w:numFmt w:val="lowerLetter"/>
      <w:start w:val="3"/>
    </w:lvl>
  </w:abstractNum>
  <w:abstractNum w:abstractNumId="28">
    <w:nsid w:val="8138641"/>
    <w:multiLevelType w:val="hybridMultilevel"/>
    <w:lvl w:ilvl="0">
      <w:lvlJc w:val="left"/>
      <w:lvlText w:val="%1."/>
      <w:numFmt w:val="decimal"/>
      <w:start w:val="3"/>
    </w:lvl>
  </w:abstractNum>
  <w:abstractNum w:abstractNumId="29">
    <w:nsid w:val="1E7FF521"/>
    <w:multiLevelType w:val="hybridMultilevel"/>
    <w:lvl w:ilvl="0">
      <w:lvlJc w:val="left"/>
      <w:lvlText w:val="%1."/>
      <w:numFmt w:val="decimal"/>
      <w:start w:val="8"/>
    </w:lvl>
  </w:abstractNum>
  <w:abstractNum w:abstractNumId="30">
    <w:nsid w:val="7C3DBD3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2019-12-20T02:50:29Z</dcterms:created>
  <dcterms:modified xsi:type="dcterms:W3CDTF">2019-12-20T02:50:29Z</dcterms:modified>
</cp:coreProperties>
</file>