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Zoghbi Huda 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REGENERON PHARMACEUTICALS, INC.</w:t>
              </w:r>
            </w:hyperlink>
            <w:r>
              <w:rPr/>
              <w:t xml:space="preserve"> [ </w:t>
            </w:r>
            <w:r>
              <w:rPr>
                <w:rFonts w:ascii="Times;serif" w:hAnsi="Times;serif"/>
                <w:color w:val="0000FF"/>
                <w:sz w:val="24"/>
                <w:shd w:fill="FFFFFF" w:val="clear"/>
              </w:rPr>
              <w:t>REGN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391.92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01/02/2024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4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391.92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888.34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Disposition/acquisition made pursuant to a plan intended to comply with Rule 10b5-1(c) adopted on May 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an acquisition of time-based vesting restricted stock units each representing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becomes exercisable in three equal annual installments, commencing one year after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/s/**Huda Y. Zoghbi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1643" TargetMode="External"/><Relationship Id="rId4" Type="http://schemas.openxmlformats.org/officeDocument/2006/relationships/hyperlink" Target="http://www.sec.gov/cgi-bin/browse-edgar?action=getcompany&amp;CIK=00008725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3893</Characters>
  <CharactersWithSpaces>4525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