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637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63715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Fenimore Christopher R.</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160" w:type="dxa"/>
            <w:vAlign w:val="bottom"/>
            <w:tcBorders>
              <w:top w:val="single" w:sz="8" w:color="0000EE"/>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03/02/2017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REGENERON PHARMACEUTICALS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REGN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87"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080" w:type="dxa"/>
            <w:vAlign w:val="bottom"/>
          </w:tcPr>
          <w:p>
            <w:pPr>
              <w:ind w:left="34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777 OLD SAW MILL RIVER RD</w:t>
            </w:r>
          </w:p>
        </w:tc>
      </w:tr>
      <w:tr>
        <w:trPr>
          <w:trHeight w:val="212"/>
        </w:trPr>
        <w:tc>
          <w:tcPr>
            <w:tcW w:w="20" w:type="dxa"/>
            <w:vAlign w:val="bottom"/>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860" w:type="dxa"/>
            <w:vAlign w:val="bottom"/>
            <w:gridSpan w:val="2"/>
          </w:tcPr>
          <w:p>
            <w:pPr>
              <w:ind w:left="20"/>
              <w:spacing w:after="0"/>
              <w:rPr>
                <w:sz w:val="20"/>
                <w:szCs w:val="20"/>
                <w:color w:val="auto"/>
              </w:rPr>
            </w:pPr>
            <w:r>
              <w:rPr>
                <w:rFonts w:ascii="Arial" w:cs="Arial" w:eastAsia="Arial" w:hAnsi="Arial"/>
                <w:sz w:val="18"/>
                <w:szCs w:val="18"/>
                <w:color w:val="0000FF"/>
              </w:rPr>
              <w:t>TARRYTOWN NY</w:t>
            </w:r>
          </w:p>
        </w:tc>
        <w:tc>
          <w:tcPr>
            <w:tcW w:w="1380" w:type="dxa"/>
            <w:vAlign w:val="bottom"/>
          </w:tcPr>
          <w:p>
            <w:pPr>
              <w:ind w:left="360"/>
              <w:spacing w:after="0"/>
              <w:rPr>
                <w:sz w:val="20"/>
                <w:szCs w:val="20"/>
                <w:color w:val="auto"/>
              </w:rPr>
            </w:pPr>
            <w:r>
              <w:rPr>
                <w:rFonts w:ascii="Arial" w:cs="Arial" w:eastAsia="Arial" w:hAnsi="Arial"/>
                <w:sz w:val="18"/>
                <w:szCs w:val="18"/>
                <w:color w:val="0000FF"/>
              </w:rPr>
              <w:t>10591</w:t>
            </w:r>
          </w:p>
        </w:tc>
      </w:tr>
      <w:tr>
        <w:trPr>
          <w:trHeight w:val="158"/>
        </w:trPr>
        <w:tc>
          <w:tcPr>
            <w:tcW w:w="2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(City)</w:t>
            </w:r>
          </w:p>
        </w:tc>
        <w:tc>
          <w:tcPr>
            <w:tcW w:w="1080" w:type="dxa"/>
            <w:vAlign w:val="bottom"/>
          </w:tcPr>
          <w:p>
            <w:pPr>
              <w:ind w:left="34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26"/>
        <w:spacing w:after="0"/>
        <w:rPr>
          <w:sz w:val="20"/>
          <w:szCs w:val="20"/>
          <w:color w:val="auto"/>
        </w:rPr>
      </w:pPr>
      <w:r>
        <w:rPr>
          <w:rFonts w:ascii="Arial" w:cs="Arial" w:eastAsia="Arial" w:hAnsi="Arial"/>
          <w:sz w:val="18"/>
          <w:szCs w:val="18"/>
          <w:color w:val="0000FF"/>
        </w:rPr>
        <w:t>VP, Controller</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c>
          <w:tcPr>
            <w:tcW w:w="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8"/>
        </w:trPr>
        <w:tc>
          <w:tcPr>
            <w:tcW w:w="20" w:type="dxa"/>
            <w:vAlign w:val="bottom"/>
          </w:tcPr>
          <w:p>
            <w:pPr>
              <w:spacing w:after="0"/>
              <w:rPr>
                <w:sz w:val="4"/>
                <w:szCs w:val="4"/>
                <w:color w:val="auto"/>
              </w:rPr>
            </w:pPr>
          </w:p>
        </w:tc>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r>
      <w:tr>
        <w:trPr>
          <w:trHeight w:val="268"/>
        </w:trPr>
        <w:tc>
          <w:tcPr>
            <w:tcW w:w="20" w:type="dxa"/>
            <w:vAlign w:val="bottom"/>
          </w:tcPr>
          <w:p>
            <w:pPr>
              <w:spacing w:after="0"/>
              <w:rPr>
                <w:sz w:val="23"/>
                <w:szCs w:val="23"/>
                <w:color w:val="auto"/>
              </w:rPr>
            </w:pPr>
          </w:p>
        </w:tc>
        <w:tc>
          <w:tcPr>
            <w:tcW w:w="344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3620" w:type="dxa"/>
            <w:vAlign w:val="bottom"/>
          </w:tcPr>
          <w:p>
            <w:pPr>
              <w:jc w:val="right"/>
              <w:ind w:right="680"/>
              <w:spacing w:after="0"/>
              <w:rPr>
                <w:sz w:val="20"/>
                <w:szCs w:val="20"/>
                <w:color w:val="auto"/>
              </w:rPr>
            </w:pPr>
            <w:r>
              <w:rPr>
                <w:rFonts w:ascii="Arial" w:cs="Arial" w:eastAsia="Arial" w:hAnsi="Arial"/>
                <w:sz w:val="18"/>
                <w:szCs w:val="18"/>
                <w:color w:val="0000FF"/>
              </w:rPr>
              <w:t>1,328</w:t>
            </w:r>
          </w:p>
        </w:tc>
        <w:tc>
          <w:tcPr>
            <w:tcW w:w="1320" w:type="dxa"/>
            <w:vAlign w:val="bottom"/>
          </w:tcPr>
          <w:p>
            <w:pPr>
              <w:ind w:left="720"/>
              <w:spacing w:after="0"/>
              <w:rPr>
                <w:sz w:val="20"/>
                <w:szCs w:val="20"/>
                <w:color w:val="auto"/>
              </w:rPr>
            </w:pPr>
            <w:r>
              <w:rPr>
                <w:rFonts w:ascii="Arial" w:cs="Arial" w:eastAsia="Arial" w:hAnsi="Arial"/>
                <w:sz w:val="18"/>
                <w:szCs w:val="18"/>
                <w:color w:val="0000FF"/>
              </w:rPr>
              <w:t>I</w:t>
            </w:r>
          </w:p>
        </w:tc>
        <w:tc>
          <w:tcPr>
            <w:tcW w:w="3000" w:type="dxa"/>
            <w:vAlign w:val="bottom"/>
          </w:tcPr>
          <w:p>
            <w:pPr>
              <w:ind w:left="120"/>
              <w:spacing w:after="0"/>
              <w:rPr>
                <w:sz w:val="20"/>
                <w:szCs w:val="20"/>
                <w:color w:val="auto"/>
              </w:rPr>
            </w:pPr>
            <w:r>
              <w:rPr>
                <w:rFonts w:ascii="Arial" w:cs="Arial" w:eastAsia="Arial" w:hAnsi="Arial"/>
                <w:sz w:val="18"/>
                <w:szCs w:val="18"/>
                <w:color w:val="0000FF"/>
              </w:rPr>
              <w:t>By 401(k) Plan</w:t>
            </w:r>
          </w:p>
        </w:tc>
        <w:tc>
          <w:tcPr>
            <w:tcW w:w="20" w:type="dxa"/>
            <w:vAlign w:val="bottom"/>
          </w:tcPr>
          <w:p>
            <w:pPr>
              <w:spacing w:after="0"/>
              <w:rPr>
                <w:sz w:val="23"/>
                <w:szCs w:val="23"/>
                <w:color w:val="auto"/>
              </w:rPr>
            </w:pPr>
          </w:p>
        </w:tc>
      </w:tr>
      <w:tr>
        <w:trPr>
          <w:trHeight w:val="63"/>
        </w:trPr>
        <w:tc>
          <w:tcPr>
            <w:tcW w:w="20" w:type="dxa"/>
            <w:vAlign w:val="bottom"/>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r>
      <w:tr>
        <w:trPr>
          <w:trHeight w:val="268"/>
        </w:trPr>
        <w:tc>
          <w:tcPr>
            <w:tcW w:w="20" w:type="dxa"/>
            <w:vAlign w:val="bottom"/>
          </w:tcPr>
          <w:p>
            <w:pPr>
              <w:spacing w:after="0"/>
              <w:rPr>
                <w:sz w:val="23"/>
                <w:szCs w:val="23"/>
                <w:color w:val="auto"/>
              </w:rPr>
            </w:pPr>
          </w:p>
        </w:tc>
        <w:tc>
          <w:tcPr>
            <w:tcW w:w="344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3620" w:type="dxa"/>
            <w:vAlign w:val="bottom"/>
          </w:tcPr>
          <w:p>
            <w:pPr>
              <w:jc w:val="right"/>
              <w:ind w:right="680"/>
              <w:spacing w:after="0"/>
              <w:rPr>
                <w:sz w:val="20"/>
                <w:szCs w:val="20"/>
                <w:color w:val="auto"/>
              </w:rPr>
            </w:pPr>
            <w:r>
              <w:rPr>
                <w:rFonts w:ascii="Arial" w:cs="Arial" w:eastAsia="Arial" w:hAnsi="Arial"/>
                <w:sz w:val="18"/>
                <w:szCs w:val="18"/>
                <w:color w:val="0000FF"/>
              </w:rPr>
              <w:t>2,695</w:t>
            </w:r>
          </w:p>
        </w:tc>
        <w:tc>
          <w:tcPr>
            <w:tcW w:w="1320" w:type="dxa"/>
            <w:vAlign w:val="bottom"/>
          </w:tcPr>
          <w:p>
            <w:pPr>
              <w:ind w:left="720"/>
              <w:spacing w:after="0"/>
              <w:rPr>
                <w:sz w:val="20"/>
                <w:szCs w:val="20"/>
                <w:color w:val="auto"/>
              </w:rPr>
            </w:pPr>
            <w:r>
              <w:rPr>
                <w:rFonts w:ascii="Arial" w:cs="Arial" w:eastAsia="Arial" w:hAnsi="Arial"/>
                <w:sz w:val="18"/>
                <w:szCs w:val="18"/>
                <w:color w:val="0000FF"/>
              </w:rPr>
              <w:t>I</w:t>
            </w:r>
          </w:p>
        </w:tc>
        <w:tc>
          <w:tcPr>
            <w:tcW w:w="3000" w:type="dxa"/>
            <w:vAlign w:val="bottom"/>
          </w:tcPr>
          <w:p>
            <w:pPr>
              <w:ind w:left="120"/>
              <w:spacing w:after="0"/>
              <w:rPr>
                <w:sz w:val="20"/>
                <w:szCs w:val="20"/>
                <w:color w:val="auto"/>
              </w:rPr>
            </w:pPr>
            <w:r>
              <w:rPr>
                <w:rFonts w:ascii="Arial" w:cs="Arial" w:eastAsia="Arial" w:hAnsi="Arial"/>
                <w:sz w:val="18"/>
                <w:szCs w:val="18"/>
                <w:color w:val="0000FF"/>
              </w:rPr>
              <w:t>By GRAT</w:t>
            </w:r>
          </w:p>
        </w:tc>
        <w:tc>
          <w:tcPr>
            <w:tcW w:w="20" w:type="dxa"/>
            <w:vAlign w:val="bottom"/>
          </w:tcPr>
          <w:p>
            <w:pPr>
              <w:spacing w:after="0"/>
              <w:rPr>
                <w:sz w:val="23"/>
                <w:szCs w:val="23"/>
                <w:color w:val="auto"/>
              </w:rPr>
            </w:pPr>
          </w:p>
        </w:tc>
      </w:tr>
      <w:tr>
        <w:trPr>
          <w:trHeight w:val="63"/>
        </w:trPr>
        <w:tc>
          <w:tcPr>
            <w:tcW w:w="20" w:type="dxa"/>
            <w:vAlign w:val="bottom"/>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34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3620" w:type="dxa"/>
            <w:vAlign w:val="bottom"/>
            <w:tcBorders>
              <w:bottom w:val="single" w:sz="8" w:color="2C2C2C"/>
            </w:tcBorders>
          </w:tcPr>
          <w:p>
            <w:pPr>
              <w:jc w:val="right"/>
              <w:ind w:right="680"/>
              <w:spacing w:after="0"/>
              <w:rPr>
                <w:sz w:val="20"/>
                <w:szCs w:val="20"/>
                <w:color w:val="auto"/>
              </w:rPr>
            </w:pPr>
            <w:r>
              <w:rPr>
                <w:rFonts w:ascii="Arial" w:cs="Arial" w:eastAsia="Arial" w:hAnsi="Arial"/>
                <w:sz w:val="18"/>
                <w:szCs w:val="18"/>
                <w:color w:val="0000FF"/>
              </w:rPr>
              <w:t>4,297</w:t>
            </w:r>
          </w:p>
        </w:tc>
        <w:tc>
          <w:tcPr>
            <w:tcW w:w="1320" w:type="dxa"/>
            <w:vAlign w:val="bottom"/>
            <w:tcBorders>
              <w:bottom w:val="single" w:sz="8" w:color="2C2C2C"/>
            </w:tcBorders>
          </w:tcPr>
          <w:p>
            <w:pPr>
              <w:ind w:left="720"/>
              <w:spacing w:after="0"/>
              <w:rPr>
                <w:sz w:val="20"/>
                <w:szCs w:val="20"/>
                <w:color w:val="auto"/>
              </w:rPr>
            </w:pPr>
            <w:r>
              <w:rPr>
                <w:rFonts w:ascii="Arial" w:cs="Arial" w:eastAsia="Arial" w:hAnsi="Arial"/>
                <w:sz w:val="18"/>
                <w:szCs w:val="18"/>
                <w:color w:val="0000FF"/>
              </w:rPr>
              <w:t>I</w:t>
            </w:r>
          </w:p>
        </w:tc>
        <w:tc>
          <w:tcPr>
            <w:tcW w:w="300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By Trust</w:t>
            </w:r>
            <w:r>
              <w:rPr>
                <w:rFonts w:ascii="Arial" w:cs="Arial" w:eastAsia="Arial" w:hAnsi="Arial"/>
                <w:sz w:val="22"/>
                <w:szCs w:val="22"/>
                <w:color w:val="008000"/>
                <w:vertAlign w:val="superscript"/>
              </w:rPr>
              <w:t>(1)</w:t>
            </w:r>
          </w:p>
        </w:tc>
        <w:tc>
          <w:tcPr>
            <w:tcW w:w="20" w:type="dxa"/>
            <w:vAlign w:val="bottom"/>
            <w:tcBorders>
              <w:bottom w:val="single" w:sz="8" w:color="2C2C2C"/>
            </w:tcBorders>
          </w:tcPr>
          <w:p>
            <w:pPr>
              <w:spacing w:after="0"/>
              <w:rPr>
                <w:sz w:val="24"/>
                <w:szCs w:val="2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5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Incentive Stock Option (right to buy)</w:t>
            </w:r>
          </w:p>
        </w:tc>
        <w:tc>
          <w:tcPr>
            <w:tcW w:w="880" w:type="dxa"/>
            <w:vAlign w:val="bottom"/>
          </w:tcPr>
          <w:p>
            <w:pPr>
              <w:jc w:val="right"/>
              <w:ind w:right="320"/>
              <w:spacing w:after="0"/>
              <w:rPr>
                <w:sz w:val="20"/>
                <w:szCs w:val="20"/>
                <w:color w:val="auto"/>
              </w:rPr>
            </w:pPr>
            <w:r>
              <w:rPr>
                <w:rFonts w:ascii="Arial" w:cs="Arial" w:eastAsia="Arial" w:hAnsi="Arial"/>
                <w:sz w:val="11"/>
                <w:szCs w:val="11"/>
                <w:color w:val="008000"/>
              </w:rPr>
              <w:t>(2)</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12/18/2019</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9"/>
              <w:spacing w:after="0"/>
              <w:rPr>
                <w:sz w:val="20"/>
                <w:szCs w:val="20"/>
                <w:color w:val="auto"/>
              </w:rPr>
            </w:pPr>
            <w:r>
              <w:rPr>
                <w:rFonts w:ascii="Arial" w:cs="Arial" w:eastAsia="Arial" w:hAnsi="Arial"/>
                <w:sz w:val="18"/>
                <w:szCs w:val="18"/>
                <w:color w:val="0000FF"/>
                <w:w w:val="88"/>
              </w:rPr>
              <w:t>1,375</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21.25</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Incentive Stock Option (right to buy)</w:t>
            </w:r>
          </w:p>
        </w:tc>
        <w:tc>
          <w:tcPr>
            <w:tcW w:w="880" w:type="dxa"/>
            <w:vAlign w:val="bottom"/>
          </w:tcPr>
          <w:p>
            <w:pPr>
              <w:jc w:val="right"/>
              <w:ind w:right="320"/>
              <w:spacing w:after="0"/>
              <w:rPr>
                <w:sz w:val="20"/>
                <w:szCs w:val="20"/>
                <w:color w:val="auto"/>
              </w:rPr>
            </w:pPr>
            <w:r>
              <w:rPr>
                <w:rFonts w:ascii="Arial" w:cs="Arial" w:eastAsia="Arial" w:hAnsi="Arial"/>
                <w:sz w:val="11"/>
                <w:szCs w:val="11"/>
                <w:color w:val="008000"/>
              </w:rPr>
              <w:t>(2)</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12/14/2020</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9"/>
              <w:spacing w:after="0"/>
              <w:rPr>
                <w:sz w:val="20"/>
                <w:szCs w:val="20"/>
                <w:color w:val="auto"/>
              </w:rPr>
            </w:pPr>
            <w:r>
              <w:rPr>
                <w:rFonts w:ascii="Arial" w:cs="Arial" w:eastAsia="Arial" w:hAnsi="Arial"/>
                <w:sz w:val="18"/>
                <w:szCs w:val="18"/>
                <w:color w:val="0000FF"/>
                <w:w w:val="88"/>
              </w:rPr>
              <w:t>4,280</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30.63</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Incentive Stock Option (right to buy)</w:t>
            </w:r>
          </w:p>
        </w:tc>
        <w:tc>
          <w:tcPr>
            <w:tcW w:w="880" w:type="dxa"/>
            <w:vAlign w:val="bottom"/>
          </w:tcPr>
          <w:p>
            <w:pPr>
              <w:jc w:val="right"/>
              <w:ind w:right="320"/>
              <w:spacing w:after="0"/>
              <w:rPr>
                <w:sz w:val="20"/>
                <w:szCs w:val="20"/>
                <w:color w:val="auto"/>
              </w:rPr>
            </w:pPr>
            <w:r>
              <w:rPr>
                <w:rFonts w:ascii="Arial" w:cs="Arial" w:eastAsia="Arial" w:hAnsi="Arial"/>
                <w:sz w:val="11"/>
                <w:szCs w:val="11"/>
                <w:color w:val="008000"/>
              </w:rPr>
              <w:t>(2)</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12/16/2021</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9"/>
              <w:spacing w:after="0"/>
              <w:rPr>
                <w:sz w:val="20"/>
                <w:szCs w:val="20"/>
                <w:color w:val="auto"/>
              </w:rPr>
            </w:pPr>
            <w:r>
              <w:rPr>
                <w:rFonts w:ascii="Arial" w:cs="Arial" w:eastAsia="Arial" w:hAnsi="Arial"/>
                <w:sz w:val="18"/>
                <w:szCs w:val="18"/>
                <w:color w:val="0000FF"/>
                <w:w w:val="88"/>
              </w:rPr>
              <w:t>2,224</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52.03</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Non-Qualified Stock Option (right to buy)</w:t>
            </w:r>
          </w:p>
        </w:tc>
        <w:tc>
          <w:tcPr>
            <w:tcW w:w="880" w:type="dxa"/>
            <w:vAlign w:val="bottom"/>
          </w:tcPr>
          <w:p>
            <w:pPr>
              <w:jc w:val="right"/>
              <w:ind w:right="320"/>
              <w:spacing w:after="0"/>
              <w:rPr>
                <w:sz w:val="20"/>
                <w:szCs w:val="20"/>
                <w:color w:val="auto"/>
              </w:rPr>
            </w:pPr>
            <w:r>
              <w:rPr>
                <w:rFonts w:ascii="Arial" w:cs="Arial" w:eastAsia="Arial" w:hAnsi="Arial"/>
                <w:sz w:val="11"/>
                <w:szCs w:val="11"/>
                <w:color w:val="008000"/>
              </w:rPr>
              <w:t>(2)</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12/16/2021</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9"/>
              <w:spacing w:after="0"/>
              <w:rPr>
                <w:sz w:val="20"/>
                <w:szCs w:val="20"/>
                <w:color w:val="auto"/>
              </w:rPr>
            </w:pPr>
            <w:r>
              <w:rPr>
                <w:rFonts w:ascii="Arial" w:cs="Arial" w:eastAsia="Arial" w:hAnsi="Arial"/>
                <w:sz w:val="18"/>
                <w:szCs w:val="18"/>
                <w:color w:val="0000FF"/>
                <w:w w:val="87"/>
              </w:rPr>
              <w:t>13,776</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52.03</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Non-Qualified Stock Option (right to buy)</w:t>
            </w:r>
          </w:p>
        </w:tc>
        <w:tc>
          <w:tcPr>
            <w:tcW w:w="880" w:type="dxa"/>
            <w:vAlign w:val="bottom"/>
          </w:tcPr>
          <w:p>
            <w:pPr>
              <w:jc w:val="right"/>
              <w:ind w:right="320"/>
              <w:spacing w:after="0"/>
              <w:rPr>
                <w:sz w:val="20"/>
                <w:szCs w:val="20"/>
                <w:color w:val="auto"/>
              </w:rPr>
            </w:pPr>
            <w:r>
              <w:rPr>
                <w:rFonts w:ascii="Arial" w:cs="Arial" w:eastAsia="Arial" w:hAnsi="Arial"/>
                <w:sz w:val="11"/>
                <w:szCs w:val="11"/>
                <w:color w:val="008000"/>
              </w:rPr>
              <w:t>(3)</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12/14/2022</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9"/>
              <w:spacing w:after="0"/>
              <w:rPr>
                <w:sz w:val="20"/>
                <w:szCs w:val="20"/>
                <w:color w:val="auto"/>
              </w:rPr>
            </w:pPr>
            <w:r>
              <w:rPr>
                <w:rFonts w:ascii="Arial" w:cs="Arial" w:eastAsia="Arial" w:hAnsi="Arial"/>
                <w:sz w:val="18"/>
                <w:szCs w:val="18"/>
                <w:color w:val="0000FF"/>
                <w:w w:val="87"/>
              </w:rPr>
              <w:t>23,500</w:t>
            </w:r>
          </w:p>
        </w:tc>
        <w:tc>
          <w:tcPr>
            <w:tcW w:w="880" w:type="dxa"/>
            <w:vAlign w:val="bottom"/>
          </w:tcPr>
          <w:p>
            <w:pPr>
              <w:jc w:val="center"/>
              <w:spacing w:after="0"/>
              <w:rPr>
                <w:sz w:val="20"/>
                <w:szCs w:val="20"/>
                <w:color w:val="auto"/>
              </w:rPr>
            </w:pPr>
            <w:r>
              <w:rPr>
                <w:rFonts w:ascii="Arial" w:cs="Arial" w:eastAsia="Arial" w:hAnsi="Arial"/>
                <w:sz w:val="18"/>
                <w:szCs w:val="18"/>
                <w:color w:val="0000FF"/>
                <w:w w:val="87"/>
              </w:rPr>
              <w:t>179.13</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Non-Qualified Stock Option (right to buy)</w:t>
            </w:r>
          </w:p>
        </w:tc>
        <w:tc>
          <w:tcPr>
            <w:tcW w:w="880" w:type="dxa"/>
            <w:vAlign w:val="bottom"/>
          </w:tcPr>
          <w:p>
            <w:pPr>
              <w:jc w:val="right"/>
              <w:ind w:right="320"/>
              <w:spacing w:after="0"/>
              <w:rPr>
                <w:sz w:val="20"/>
                <w:szCs w:val="20"/>
                <w:color w:val="auto"/>
              </w:rPr>
            </w:pPr>
            <w:r>
              <w:rPr>
                <w:rFonts w:ascii="Arial" w:cs="Arial" w:eastAsia="Arial" w:hAnsi="Arial"/>
                <w:sz w:val="11"/>
                <w:szCs w:val="11"/>
                <w:color w:val="008000"/>
              </w:rPr>
              <w:t>(3)</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12/13/2023</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9"/>
              <w:spacing w:after="0"/>
              <w:rPr>
                <w:sz w:val="20"/>
                <w:szCs w:val="20"/>
                <w:color w:val="auto"/>
              </w:rPr>
            </w:pPr>
            <w:r>
              <w:rPr>
                <w:rFonts w:ascii="Arial" w:cs="Arial" w:eastAsia="Arial" w:hAnsi="Arial"/>
                <w:sz w:val="18"/>
                <w:szCs w:val="18"/>
                <w:color w:val="0000FF"/>
                <w:w w:val="87"/>
              </w:rPr>
              <w:t>20,000</w:t>
            </w:r>
          </w:p>
        </w:tc>
        <w:tc>
          <w:tcPr>
            <w:tcW w:w="880" w:type="dxa"/>
            <w:vAlign w:val="bottom"/>
          </w:tcPr>
          <w:p>
            <w:pPr>
              <w:jc w:val="center"/>
              <w:spacing w:after="0"/>
              <w:rPr>
                <w:sz w:val="20"/>
                <w:szCs w:val="20"/>
                <w:color w:val="auto"/>
              </w:rPr>
            </w:pPr>
            <w:r>
              <w:rPr>
                <w:rFonts w:ascii="Arial" w:cs="Arial" w:eastAsia="Arial" w:hAnsi="Arial"/>
                <w:sz w:val="18"/>
                <w:szCs w:val="18"/>
                <w:color w:val="0000FF"/>
                <w:w w:val="87"/>
              </w:rPr>
              <w:t>270.43</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Non-Qualified Stock Option (right to buy)</w:t>
            </w:r>
          </w:p>
        </w:tc>
        <w:tc>
          <w:tcPr>
            <w:tcW w:w="880" w:type="dxa"/>
            <w:vAlign w:val="bottom"/>
          </w:tcPr>
          <w:p>
            <w:pPr>
              <w:jc w:val="right"/>
              <w:ind w:right="320"/>
              <w:spacing w:after="0"/>
              <w:rPr>
                <w:sz w:val="20"/>
                <w:szCs w:val="20"/>
                <w:color w:val="auto"/>
              </w:rPr>
            </w:pPr>
            <w:r>
              <w:rPr>
                <w:rFonts w:ascii="Arial" w:cs="Arial" w:eastAsia="Arial" w:hAnsi="Arial"/>
                <w:sz w:val="11"/>
                <w:szCs w:val="11"/>
                <w:color w:val="008000"/>
              </w:rPr>
              <w:t>(3)</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12/16/2026</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9"/>
              <w:spacing w:after="0"/>
              <w:rPr>
                <w:sz w:val="20"/>
                <w:szCs w:val="20"/>
                <w:color w:val="auto"/>
              </w:rPr>
            </w:pPr>
            <w:r>
              <w:rPr>
                <w:rFonts w:ascii="Arial" w:cs="Arial" w:eastAsia="Arial" w:hAnsi="Arial"/>
                <w:sz w:val="18"/>
                <w:szCs w:val="18"/>
                <w:color w:val="0000FF"/>
                <w:w w:val="87"/>
              </w:rPr>
              <w:t>12,283</w:t>
            </w:r>
          </w:p>
        </w:tc>
        <w:tc>
          <w:tcPr>
            <w:tcW w:w="880" w:type="dxa"/>
            <w:vAlign w:val="bottom"/>
          </w:tcPr>
          <w:p>
            <w:pPr>
              <w:jc w:val="center"/>
              <w:spacing w:after="0"/>
              <w:rPr>
                <w:sz w:val="20"/>
                <w:szCs w:val="20"/>
                <w:color w:val="auto"/>
              </w:rPr>
            </w:pPr>
            <w:r>
              <w:rPr>
                <w:rFonts w:ascii="Arial" w:cs="Arial" w:eastAsia="Arial" w:hAnsi="Arial"/>
                <w:sz w:val="18"/>
                <w:szCs w:val="18"/>
                <w:color w:val="0000FF"/>
                <w:w w:val="87"/>
              </w:rPr>
              <w:t>381.92</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Non-Qualified Stock Option (right to buy)</w:t>
            </w:r>
          </w:p>
        </w:tc>
        <w:tc>
          <w:tcPr>
            <w:tcW w:w="880" w:type="dxa"/>
            <w:vAlign w:val="bottom"/>
          </w:tcPr>
          <w:p>
            <w:pPr>
              <w:jc w:val="right"/>
              <w:ind w:right="320"/>
              <w:spacing w:after="0"/>
              <w:rPr>
                <w:sz w:val="20"/>
                <w:szCs w:val="20"/>
                <w:color w:val="auto"/>
              </w:rPr>
            </w:pPr>
            <w:r>
              <w:rPr>
                <w:rFonts w:ascii="Arial" w:cs="Arial" w:eastAsia="Arial" w:hAnsi="Arial"/>
                <w:sz w:val="11"/>
                <w:szCs w:val="11"/>
                <w:color w:val="008000"/>
              </w:rPr>
              <w:t>(3)</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12/16/2024</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9"/>
              <w:spacing w:after="0"/>
              <w:rPr>
                <w:sz w:val="20"/>
                <w:szCs w:val="20"/>
                <w:color w:val="auto"/>
              </w:rPr>
            </w:pPr>
            <w:r>
              <w:rPr>
                <w:rFonts w:ascii="Arial" w:cs="Arial" w:eastAsia="Arial" w:hAnsi="Arial"/>
                <w:sz w:val="18"/>
                <w:szCs w:val="18"/>
                <w:color w:val="0000FF"/>
                <w:w w:val="87"/>
              </w:rPr>
              <w:t>17,000</w:t>
            </w:r>
          </w:p>
        </w:tc>
        <w:tc>
          <w:tcPr>
            <w:tcW w:w="880" w:type="dxa"/>
            <w:vAlign w:val="bottom"/>
          </w:tcPr>
          <w:p>
            <w:pPr>
              <w:jc w:val="center"/>
              <w:spacing w:after="0"/>
              <w:rPr>
                <w:sz w:val="20"/>
                <w:szCs w:val="20"/>
                <w:color w:val="auto"/>
              </w:rPr>
            </w:pPr>
            <w:r>
              <w:rPr>
                <w:rFonts w:ascii="Arial" w:cs="Arial" w:eastAsia="Arial" w:hAnsi="Arial"/>
                <w:sz w:val="18"/>
                <w:szCs w:val="18"/>
                <w:color w:val="0000FF"/>
                <w:w w:val="87"/>
              </w:rPr>
              <w:t>399.66</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Non-Qualified Stock Option (right to buy)</w:t>
            </w:r>
          </w:p>
        </w:tc>
        <w:tc>
          <w:tcPr>
            <w:tcW w:w="880" w:type="dxa"/>
            <w:vAlign w:val="bottom"/>
          </w:tcPr>
          <w:p>
            <w:pPr>
              <w:jc w:val="right"/>
              <w:ind w:right="320"/>
              <w:spacing w:after="0"/>
              <w:rPr>
                <w:sz w:val="20"/>
                <w:szCs w:val="20"/>
                <w:color w:val="auto"/>
              </w:rPr>
            </w:pPr>
            <w:r>
              <w:rPr>
                <w:rFonts w:ascii="Arial" w:cs="Arial" w:eastAsia="Arial" w:hAnsi="Arial"/>
                <w:sz w:val="11"/>
                <w:szCs w:val="11"/>
                <w:color w:val="008000"/>
              </w:rPr>
              <w:t>(3)</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12/16/2025</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9"/>
              <w:spacing w:after="0"/>
              <w:rPr>
                <w:sz w:val="20"/>
                <w:szCs w:val="20"/>
                <w:color w:val="auto"/>
              </w:rPr>
            </w:pPr>
            <w:r>
              <w:rPr>
                <w:rFonts w:ascii="Arial" w:cs="Arial" w:eastAsia="Arial" w:hAnsi="Arial"/>
                <w:sz w:val="18"/>
                <w:szCs w:val="18"/>
                <w:color w:val="0000FF"/>
                <w:w w:val="87"/>
              </w:rPr>
              <w:t>14,450</w:t>
            </w:r>
          </w:p>
        </w:tc>
        <w:tc>
          <w:tcPr>
            <w:tcW w:w="880" w:type="dxa"/>
            <w:vAlign w:val="bottom"/>
          </w:tcPr>
          <w:p>
            <w:pPr>
              <w:jc w:val="center"/>
              <w:spacing w:after="0"/>
              <w:rPr>
                <w:sz w:val="20"/>
                <w:szCs w:val="20"/>
                <w:color w:val="auto"/>
              </w:rPr>
            </w:pPr>
            <w:r>
              <w:rPr>
                <w:rFonts w:ascii="Arial" w:cs="Arial" w:eastAsia="Arial" w:hAnsi="Arial"/>
                <w:sz w:val="18"/>
                <w:szCs w:val="18"/>
                <w:color w:val="0000FF"/>
                <w:w w:val="87"/>
              </w:rPr>
              <w:t>555.67</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6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These shares are held in a trust for the benefit of the reporting person's spouse. The reporting person and the reporting person's spouse are trustees of the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stock option award (combined incentive stock option and non-qualified stock option) vests in four equal annual installments, commencing one year after the date of grant.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stock option award vests in four equal annual installments, commencing one year after the date of grant.</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200" w:type="dxa"/>
            <w:vAlign w:val="bottom"/>
            <w:gridSpan w:val="2"/>
          </w:tcPr>
          <w:p>
            <w:pPr>
              <w:spacing w:after="0"/>
              <w:rPr>
                <w:sz w:val="20"/>
                <w:szCs w:val="20"/>
                <w:color w:val="auto"/>
              </w:rPr>
            </w:pPr>
            <w:r>
              <w:rPr>
                <w:rFonts w:ascii="Arial" w:cs="Arial" w:eastAsia="Arial" w:hAnsi="Arial"/>
                <w:sz w:val="18"/>
                <w:szCs w:val="18"/>
                <w:color w:val="0000FF"/>
                <w:w w:val="94"/>
              </w:rPr>
              <w:t>/s/**Christopher R. Fenimore</w:t>
            </w:r>
          </w:p>
        </w:tc>
        <w:tc>
          <w:tcPr>
            <w:tcW w:w="900" w:type="dxa"/>
            <w:vAlign w:val="bottom"/>
            <w:gridSpan w:val="2"/>
          </w:tcPr>
          <w:p>
            <w:pPr>
              <w:ind w:left="100"/>
              <w:spacing w:after="0"/>
              <w:rPr>
                <w:sz w:val="20"/>
                <w:szCs w:val="20"/>
                <w:color w:val="auto"/>
              </w:rPr>
            </w:pPr>
            <w:r>
              <w:rPr>
                <w:rFonts w:ascii="Arial" w:cs="Arial" w:eastAsia="Arial" w:hAnsi="Arial"/>
                <w:sz w:val="18"/>
                <w:szCs w:val="18"/>
                <w:color w:val="0000FF"/>
                <w:w w:val="86"/>
              </w:rPr>
              <w:t>03/02/2017</w:t>
            </w:r>
          </w:p>
        </w:tc>
      </w:tr>
      <w:tr>
        <w:trPr>
          <w:trHeight w:val="20"/>
        </w:trPr>
        <w:tc>
          <w:tcPr>
            <w:tcW w:w="2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00" w:type="dxa"/>
            <w:vAlign w:val="bottom"/>
          </w:tcPr>
          <w:p>
            <w:pPr>
              <w:spacing w:after="0"/>
              <w:rPr>
                <w:sz w:val="20"/>
                <w:szCs w:val="20"/>
                <w:color w:val="auto"/>
              </w:rPr>
            </w:pPr>
            <w:r>
              <w:rPr>
                <w:rFonts w:ascii="Arial" w:cs="Arial" w:eastAsia="Arial" w:hAnsi="Arial"/>
                <w:sz w:val="14"/>
                <w:szCs w:val="14"/>
                <w:color w:val="auto"/>
              </w:rPr>
              <w:t>** Signature of Reporting Person</w:t>
            </w:r>
          </w:p>
        </w:tc>
        <w:tc>
          <w:tcPr>
            <w:tcW w:w="10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Exhibit 24</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Know all by these presents that the undersigned hereby constitutes and appoints each of Leonard S. Schleifer, Robert E. Landry, Joseph J. LaRosa, Richard Gluckselig, and Beverly Dubs, signing singly, the undersigned’s true and lawful attorney-in-fact to:</w:t>
      </w:r>
    </w:p>
    <w:p>
      <w:pPr>
        <w:spacing w:after="0" w:line="170" w:lineRule="exact"/>
        <w:rPr>
          <w:sz w:val="20"/>
          <w:szCs w:val="20"/>
          <w:color w:val="auto"/>
        </w:rPr>
      </w:pPr>
    </w:p>
    <w:p>
      <w:pPr>
        <w:ind w:left="1300" w:right="100" w:hanging="644"/>
        <w:spacing w:after="0" w:line="291" w:lineRule="auto"/>
        <w:tabs>
          <w:tab w:leader="none" w:pos="1307" w:val="left"/>
        </w:tabs>
        <w:numPr>
          <w:ilvl w:val="0"/>
          <w:numId w:val="6"/>
        </w:numPr>
        <w:rPr>
          <w:rFonts w:ascii="Arial" w:cs="Arial" w:eastAsia="Arial" w:hAnsi="Arial"/>
          <w:sz w:val="16"/>
          <w:szCs w:val="16"/>
          <w:color w:val="auto"/>
        </w:rPr>
      </w:pPr>
      <w:r>
        <w:rPr>
          <w:rFonts w:ascii="Arial" w:cs="Arial" w:eastAsia="Arial" w:hAnsi="Arial"/>
          <w:sz w:val="16"/>
          <w:szCs w:val="16"/>
          <w:color w:val="auto"/>
        </w:rPr>
        <w:t>execute for and on behalf of the undersigned, in the undersigned’s capacity as a director or officer of Regeneron Pharmaceuticals, Inc. (the “Company”), Forms 3, 4, and 5 in accordance with Section 16(a) of the Securities Exchange Act of 1934, as amended, and the</w:t>
      </w:r>
    </w:p>
    <w:p>
      <w:pPr>
        <w:ind w:left="1300"/>
        <w:spacing w:after="0"/>
        <w:rPr>
          <w:rFonts w:ascii="Arial" w:cs="Arial" w:eastAsia="Arial" w:hAnsi="Arial"/>
          <w:sz w:val="16"/>
          <w:szCs w:val="16"/>
          <w:color w:val="auto"/>
        </w:rPr>
      </w:pPr>
      <w:r>
        <w:rPr>
          <w:rFonts w:ascii="Arial" w:cs="Arial" w:eastAsia="Arial" w:hAnsi="Arial"/>
          <w:sz w:val="18"/>
          <w:szCs w:val="18"/>
          <w:color w:val="auto"/>
        </w:rPr>
        <w:t>rules thereunder;</w:t>
      </w:r>
    </w:p>
    <w:p>
      <w:pPr>
        <w:spacing w:after="0" w:line="210" w:lineRule="exact"/>
        <w:rPr>
          <w:rFonts w:ascii="Arial" w:cs="Arial" w:eastAsia="Arial" w:hAnsi="Arial"/>
          <w:sz w:val="16"/>
          <w:szCs w:val="16"/>
          <w:color w:val="auto"/>
        </w:rPr>
      </w:pPr>
    </w:p>
    <w:p>
      <w:pPr>
        <w:ind w:left="1300" w:right="20" w:hanging="644"/>
        <w:spacing w:after="0" w:line="264" w:lineRule="auto"/>
        <w:tabs>
          <w:tab w:leader="none" w:pos="1307" w:val="left"/>
        </w:tabs>
        <w:numPr>
          <w:ilvl w:val="0"/>
          <w:numId w:val="6"/>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181" w:lineRule="exact"/>
        <w:rPr>
          <w:rFonts w:ascii="Arial" w:cs="Arial" w:eastAsia="Arial" w:hAnsi="Arial"/>
          <w:sz w:val="18"/>
          <w:szCs w:val="18"/>
          <w:color w:val="auto"/>
        </w:rPr>
      </w:pPr>
    </w:p>
    <w:p>
      <w:pPr>
        <w:ind w:left="1300" w:right="120" w:hanging="644"/>
        <w:spacing w:after="0" w:line="259" w:lineRule="auto"/>
        <w:tabs>
          <w:tab w:leader="none" w:pos="1307" w:val="left"/>
        </w:tabs>
        <w:numPr>
          <w:ilvl w:val="0"/>
          <w:numId w:val="6"/>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attorney-in-act on behalf of the undersigned pursuant to this Power of Attorney shall be in such form and shall contain such terms and conditions as such attorney-in-fact may approve in such attorney-in-fact’s discretion.</w:t>
      </w:r>
    </w:p>
    <w:p>
      <w:pPr>
        <w:spacing w:after="0" w:line="187"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6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2nd day of March, 2017.</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Christopher Fenimore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Christopher Fenimore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1" Type="http://schemas.openxmlformats.org/officeDocument/2006/relationships/hyperlink" Target="http://www.sec.gov/cgi-bin/browse-edgar?action=getcompany&amp;CIK=0001697422" TargetMode="External"/><Relationship Id="rId12"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2019-12-23T20:18:51Z</dcterms:created>
  <dcterms:modified xsi:type="dcterms:W3CDTF">2019-12-23T20:18:51Z</dcterms:modified>
</cp:coreProperties>
</file>