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 (Amendment No.  )</w:t>
      </w:r>
    </w:p>
    <w:p>
      <w:pPr>
        <w:spacing w:after="0" w:line="18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b w:val="1"/>
          <w:bCs w:val="1"/>
          <w:color w:val="auto"/>
        </w:rPr>
        <w:t>x</w:t>
      </w:r>
    </w:p>
    <w:p>
      <w:pPr>
        <w:spacing w:after="0" w:line="212"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Preliminary Proxy Statement</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Confidential, for Use of the Commission Only</w:t>
      </w:r>
    </w:p>
    <w:p>
      <w:pPr>
        <w:spacing w:after="0" w:line="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 permitted by Rule 14a-6(e)(2))</w:t>
      </w:r>
    </w:p>
    <w:p>
      <w:pPr>
        <w:ind w:left="580" w:hanging="572"/>
        <w:spacing w:after="0" w:line="20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Proxy Statement</w:t>
      </w:r>
    </w:p>
    <w:p>
      <w:pPr>
        <w:ind w:left="580" w:hanging="572"/>
        <w:spacing w:after="0" w:line="231"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Definitive Additional Materials</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Soliciting Material Pursuant to Rule 14a-12</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70485</wp:posOffset>
            </wp:positionV>
            <wp:extent cx="54495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437515</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No fee required.</w:t>
      </w:r>
    </w:p>
    <w:p>
      <w:pPr>
        <w:spacing w:after="0" w:line="233" w:lineRule="exact"/>
        <w:rPr>
          <w:sz w:val="24"/>
          <w:szCs w:val="24"/>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computed on table below per Exchange Act Rules 14a-6(i)(1) and 0-11.</w:t>
      </w:r>
    </w:p>
    <w:p>
      <w:pPr>
        <w:spacing w:after="0" w:line="263" w:lineRule="exact"/>
        <w:rPr>
          <w:rFonts w:ascii="Arial" w:cs="Arial" w:eastAsia="Arial" w:hAnsi="Arial"/>
          <w:sz w:val="22"/>
          <w:szCs w:val="22"/>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paid previously with preliminary materials.</w:t>
      </w:r>
    </w:p>
    <w:p>
      <w:pPr>
        <w:spacing w:after="0" w:line="263" w:lineRule="exact"/>
        <w:rPr>
          <w:rFonts w:ascii="Arial" w:cs="Arial" w:eastAsia="Arial" w:hAnsi="Arial"/>
          <w:sz w:val="22"/>
          <w:szCs w:val="22"/>
          <w:b w:val="1"/>
          <w:bCs w:val="1"/>
          <w:color w:val="auto"/>
        </w:rPr>
      </w:pPr>
    </w:p>
    <w:p>
      <w:pPr>
        <w:ind w:left="580" w:right="560" w:hanging="572"/>
        <w:spacing w:after="0" w:line="241" w:lineRule="auto"/>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6" w:lineRule="exact"/>
        <w:rPr>
          <w:rFonts w:ascii="Arial" w:cs="Arial" w:eastAsia="Arial" w:hAnsi="Arial"/>
          <w:sz w:val="21"/>
          <w:szCs w:val="21"/>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-3695065</wp:posOffset>
            </wp:positionV>
            <wp:extent cx="65214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-3077845</wp:posOffset>
            </wp:positionV>
            <wp:extent cx="652145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-2339975</wp:posOffset>
            </wp:positionV>
            <wp:extent cx="65214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-1722755</wp:posOffset>
            </wp:positionV>
            <wp:extent cx="65214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-1104900</wp:posOffset>
            </wp:positionV>
            <wp:extent cx="65214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38" w:orient="portrait"/>
          <w:cols w:equalWidth="0" w:num="1">
            <w:col w:w="11400"/>
          </w:cols>
          <w:pgMar w:left="240" w:top="436" w:right="259" w:bottom="202" w:gutter="0" w:footer="0" w:header="0"/>
        </w:sectPr>
      </w:pPr>
    </w:p>
    <w:bookmarkStart w:id="1" w:name="page2"/>
    <w:bookmarkEnd w:id="1"/>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-984885</wp:posOffset>
            </wp:positionV>
            <wp:extent cx="65214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-367665</wp:posOffset>
            </wp:positionV>
            <wp:extent cx="65214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1186180</wp:posOffset>
            </wp:positionV>
            <wp:extent cx="185229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Tarrytown, New York 10591-6707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is my pleasure to invite you to attend a Special Meeting of Shareholders of Regeneron Pharmaceuticals, Inc. to be held on Friday, December 17, 2004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10:30 in the morning at the Westchester Marriott Hotel, 670 White Plains Road, Tarrytown, New York 10591.</w:t>
      </w:r>
    </w:p>
    <w:p>
      <w:pPr>
        <w:spacing w:after="0" w:line="21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Notice of Special Meeting and proxy statement in this mailing describes an option exchange program and related amendment to our 2000 Long-Term Incentive Plan expressly authorizing the program. Your board of directors recommends that you vote in favor of the amendment expressly authorizing the option exchange program.</w:t>
      </w:r>
    </w:p>
    <w:p>
      <w:pPr>
        <w:spacing w:after="0" w:line="194" w:lineRule="exact"/>
        <w:rPr>
          <w:sz w:val="20"/>
          <w:szCs w:val="20"/>
          <w:color w:val="auto"/>
        </w:rPr>
      </w:pPr>
    </w:p>
    <w:p>
      <w:pPr>
        <w:ind w:right="20" w:firstLine="270"/>
        <w:spacing w:after="0" w:line="306" w:lineRule="auto"/>
        <w:rPr>
          <w:sz w:val="20"/>
          <w:szCs w:val="20"/>
          <w:color w:val="auto"/>
        </w:rPr>
      </w:pPr>
      <w:r>
        <w:rPr>
          <w:rFonts w:ascii="Arial" w:cs="Arial" w:eastAsia="Arial" w:hAnsi="Arial"/>
          <w:sz w:val="16"/>
          <w:szCs w:val="16"/>
          <w:color w:val="auto"/>
        </w:rPr>
        <w:t>Your vote is important. Whether or not you plan to attend the Special Meeting, you can cast your vote by completing the accompanying proxy card and returning it in the enclosed prepaid envelope, or by voting through the Internet or by phone using the procedures described in the accompanying proxy statement and proxy card. If you attend the Special Meeting, you may vote in person if you wish, even if you previously submitted a proxy.</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look forward to seeing you on December 17, 2004.</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wp:posOffset>
            </wp:positionV>
            <wp:extent cx="100330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 Roy Vagelos, M.D.</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144145</wp:posOffset>
            </wp:positionV>
            <wp:extent cx="840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152400</wp:posOffset>
            </wp:positionV>
            <wp:extent cx="840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 Special Meeting of Shareholders of Regeneron Pharmaceuticals, Inc., a New York corporation, will be held on Friday, December 17, 2004, commencing at 10:30 a.m., at the Westchester Marriot Hotel, 670 White Plains Road, Tarrytown, New York, for the following purposes:</w:t>
      </w:r>
    </w:p>
    <w:p>
      <w:pPr>
        <w:spacing w:after="0" w:line="186" w:lineRule="exact"/>
        <w:rPr>
          <w:sz w:val="20"/>
          <w:szCs w:val="20"/>
          <w:color w:val="auto"/>
        </w:rPr>
      </w:pPr>
    </w:p>
    <w:p>
      <w:pPr>
        <w:ind w:left="720" w:hanging="442"/>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amend the 2000 Long-Term Incentive Plan to expressly authorize the Option Exchange Program described in this proxy statement; and</w:t>
      </w:r>
    </w:p>
    <w:p>
      <w:pPr>
        <w:spacing w:after="0" w:line="302" w:lineRule="exact"/>
        <w:rPr>
          <w:rFonts w:ascii="Arial" w:cs="Arial" w:eastAsia="Arial" w:hAnsi="Arial"/>
          <w:sz w:val="16"/>
          <w:szCs w:val="16"/>
          <w:color w:val="auto"/>
        </w:rPr>
      </w:pPr>
    </w:p>
    <w:p>
      <w:pPr>
        <w:ind w:left="720" w:hanging="44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and any adjournment or postponement thereof.</w:t>
      </w:r>
    </w:p>
    <w:p>
      <w:pPr>
        <w:spacing w:after="0" w:line="200" w:lineRule="exact"/>
        <w:rPr>
          <w:sz w:val="20"/>
          <w:szCs w:val="20"/>
          <w:color w:val="auto"/>
        </w:rPr>
      </w:pPr>
    </w:p>
    <w:p>
      <w:pPr>
        <w:spacing w:after="0" w:line="29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board of directors has fixed the close of business on November 18, 2004 as the record date for determining shareholders entitled to notice of, and to vote at, the Special Meeting and at any adjournment or postponement thereof.</w:t>
      </w:r>
    </w:p>
    <w:p>
      <w:pPr>
        <w:sectPr>
          <w:pgSz w:w="11900" w:h="16838" w:orient="portrait"/>
          <w:cols w:equalWidth="0" w:num="1">
            <w:col w:w="11320"/>
          </w:cols>
          <w:pgMar w:left="240" w:top="374" w:right="339" w:bottom="0" w:gutter="0" w:footer="0" w:header="0"/>
        </w:sectPr>
      </w:pPr>
    </w:p>
    <w:bookmarkStart w:id="2" w:name="page3"/>
    <w:bookmarkEnd w:id="2"/>
    <w:p>
      <w:pPr>
        <w:ind w:left="5420"/>
        <w:spacing w:after="0"/>
        <w:rPr>
          <w:sz w:val="20"/>
          <w:szCs w:val="20"/>
          <w:color w:val="auto"/>
        </w:rPr>
      </w:pPr>
      <w:r>
        <w:rPr>
          <w:rFonts w:ascii="Arial" w:cs="Arial" w:eastAsia="Arial" w:hAnsi="Arial"/>
          <w:sz w:val="18"/>
          <w:szCs w:val="18"/>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148590</wp:posOffset>
            </wp:positionV>
            <wp:extent cx="107188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300" w:firstLine="270"/>
        <w:spacing w:after="0" w:line="258" w:lineRule="auto"/>
        <w:rPr>
          <w:sz w:val="20"/>
          <w:szCs w:val="20"/>
          <w:color w:val="auto"/>
        </w:rPr>
      </w:pPr>
      <w:r>
        <w:rPr>
          <w:rFonts w:ascii="Arial" w:cs="Arial" w:eastAsia="Arial" w:hAnsi="Arial"/>
          <w:sz w:val="18"/>
          <w:szCs w:val="18"/>
          <w:b w:val="1"/>
          <w:bCs w:val="1"/>
          <w:color w:val="auto"/>
        </w:rPr>
        <w:t>Your vote is important. Whether or not you plan to attend the Special Meeting, please complete, sign, and date the accompanying proxy card and return it promptly in the enclosed postage-prepaid envelope, or vote through the Internet or by phone using the procedures described in the accompanying proxy statement and proxy card. If you attend the Special Meeting, you may vote in person if you wish, even if you have previously submitted a proxy.</w:t>
      </w:r>
    </w:p>
    <w:p>
      <w:pPr>
        <w:spacing w:after="0" w:line="19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 * * * *</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Option Exchange Program and Where to Find It</w:t>
      </w:r>
    </w:p>
    <w:p>
      <w:pPr>
        <w:spacing w:after="0" w:line="219"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b w:val="1"/>
          <w:bCs w:val="1"/>
          <w:color w:val="auto"/>
        </w:rPr>
        <w:t>The accompanying proxy statement does not constitute an offer to holders of options to exchange their options pursuant to the Option Exchange Program and the Offer to Exchange described in this proxy statement. At the time the Offer to Exchange is commenced, we will provide eligible employees with written materials explaining the precise terms, conditions and timing of, and procedures for accepting, such offer, and will file those materials with the Securities and Exchange Commission. Eligible employees should carefully read those materials, when they become available, because they will contain important information about the Option Exchange Program. These materials, when they are filed with the Securities and Exchange Commission, will be, and other materials filed by Regeneron Pharmaceuticals, Inc. with the Securities and Exchange Commission are, available free of charge at www.sec.gov and on our internet website (www.regeneron.com) or by contacting our Investor Relations Department at 777 Old Saw Mill River Road, 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148590</wp:posOffset>
            </wp:positionV>
            <wp:extent cx="6343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152400</wp:posOffset>
            </wp:positionV>
            <wp:extent cx="6343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receiving these proxy materials?</w:t>
      </w:r>
    </w:p>
    <w:p>
      <w:pPr>
        <w:spacing w:after="0" w:line="231" w:lineRule="exact"/>
        <w:rPr>
          <w:sz w:val="20"/>
          <w:szCs w:val="20"/>
          <w:color w:val="auto"/>
        </w:rPr>
      </w:pPr>
    </w:p>
    <w:p>
      <w:pPr>
        <w:ind w:right="260" w:firstLine="270"/>
        <w:spacing w:after="0" w:line="294" w:lineRule="auto"/>
        <w:rPr>
          <w:sz w:val="20"/>
          <w:szCs w:val="20"/>
          <w:color w:val="auto"/>
        </w:rPr>
      </w:pPr>
      <w:r>
        <w:rPr>
          <w:rFonts w:ascii="Arial" w:cs="Arial" w:eastAsia="Arial" w:hAnsi="Arial"/>
          <w:sz w:val="16"/>
          <w:szCs w:val="16"/>
          <w:color w:val="auto"/>
        </w:rPr>
        <w:t>We are providing these proxy materials to you because Regeneron’s board of directors is asking (technically called soliciting) holders of the Company’s Common Stock and Class A Stock to provide proxies to be voted at our Special Meeting of Shareholders. The Special Meeting is scheduled for December 17, 2004, commencing at 10:30 a.m., at the Westchester Marriott Hotel, 670 White Plains Road, Tarrytown, New York 10591, and your proxy will be used at the Special Meeting or at any adjournment or postponement of the meeting. The Notice of Special Meeting of Shareholders, this proxy statement and the enclosed proxy card are first being mailed to shareholders on or about December 1,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Special Meeting?</w:t>
      </w:r>
    </w:p>
    <w:p>
      <w:pPr>
        <w:spacing w:after="0" w:line="23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Only shareholders of record at the close of business on the record date, November 18, 2004, are entitled to vote at the Special Meeting shares of Common Stock and/or Class A Stock held on that date. As of November 18, 2004, 53,384,123 shares of Common Stock and 2,358,373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you being asked to vote on?</w:t>
      </w:r>
    </w:p>
    <w:p>
      <w:pPr>
        <w:spacing w:after="0" w:line="231" w:lineRule="exact"/>
        <w:rPr>
          <w:sz w:val="20"/>
          <w:szCs w:val="20"/>
          <w:color w:val="auto"/>
        </w:rPr>
      </w:pPr>
    </w:p>
    <w:p>
      <w:pPr>
        <w:jc w:val="both"/>
        <w:ind w:right="260" w:firstLine="270"/>
        <w:spacing w:after="0" w:line="259" w:lineRule="auto"/>
        <w:rPr>
          <w:sz w:val="20"/>
          <w:szCs w:val="20"/>
          <w:color w:val="auto"/>
        </w:rPr>
      </w:pPr>
      <w:r>
        <w:rPr>
          <w:rFonts w:ascii="Arial" w:cs="Arial" w:eastAsia="Arial" w:hAnsi="Arial"/>
          <w:sz w:val="18"/>
          <w:szCs w:val="18"/>
          <w:color w:val="auto"/>
        </w:rPr>
        <w:t>We are asking you to vote to approve an amendment to the Company’s 2000 Long-Term Incentive Plan (the “2000 Plan”) expressly authorizing the option exchange program described in this proxy statement (the “Option Exchange Program”). The text of the proposed amendment is set forth as Appendix A to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you vote?</w:t>
      </w:r>
    </w:p>
    <w:p>
      <w:pPr>
        <w:spacing w:after="0" w:line="231"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You may vote in person at the Special Meeting or by proxy. We recommend you vote by proxy even if you plan to attend the meeting. You can always change your vote at the meeting.</w:t>
      </w:r>
    </w:p>
    <w:p>
      <w:pPr>
        <w:spacing w:after="0" w:line="186"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 xml:space="preserve">If you vote by proxy in time for it to be voted at the Special Meeting, one of the individuals named as your proxy, each of whom is a director of the Company, will vote your shares as you have directed in your proxy. If you sign and timely return a proxy card, but no indication is given as to how to vote your shares as to the proposal,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If any other matter properly comes before the Special Meeting, the persons named in the proxy card will use their discretion as to how to vote the shares.</w:t>
      </w:r>
    </w:p>
    <w:p>
      <w:pPr>
        <w:sectPr>
          <w:pgSz w:w="11900" w:h="16838" w:orient="portrait"/>
          <w:cols w:equalWidth="0" w:num="1">
            <w:col w:w="11420"/>
          </w:cols>
          <w:pgMar w:left="240" w:top="131" w:right="239" w:bottom="133" w:gutter="0" w:footer="0" w:header="0"/>
        </w:sectPr>
      </w:pPr>
    </w:p>
    <w:bookmarkStart w:id="3" w:name="page4"/>
    <w:bookmarkEnd w:id="3"/>
    <w:p>
      <w:pPr>
        <w:ind w:right="80" w:firstLine="270"/>
        <w:spacing w:after="0" w:line="259" w:lineRule="auto"/>
        <w:rPr>
          <w:sz w:val="20"/>
          <w:szCs w:val="20"/>
          <w:color w:val="auto"/>
        </w:rPr>
      </w:pPr>
      <w:r>
        <w:rPr>
          <w:rFonts w:ascii="Arial" w:cs="Arial" w:eastAsia="Arial" w:hAnsi="Arial"/>
          <w:sz w:val="18"/>
          <w:szCs w:val="18"/>
          <w:color w:val="auto"/>
        </w:rPr>
        <w:t>If you plan to attend the Special Meeting and wish to vote in person, we will give you a ballot at the meeting. However, if your shares are held in the name of your broker, bank or other nominee, you must obtain from your nominee and bring to the Special Meeting a “legal proxy” authorizing you to vote your “street name” shares held as of the record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vote by proxy?</w:t>
      </w:r>
    </w:p>
    <w:p>
      <w:pPr>
        <w:spacing w:after="0" w:line="23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 xml:space="preserve">You may vote by proxy (1) by completing, signing, dating and returning your proxy card in the enclosed envelope, (2) through the Internet at www.proxyvote.com by 11:59 p.m., Eastern Time, on December 16, 2004, or (3) by calling 1-800-690-6903 by 11:59 p.m., Eastern Time, on December 16, 2004. If your shares are held in “street name” through a broker, bank or other nominee, you must provide written instructions on how to vote your shares. In that case, as noted below under </w:t>
      </w:r>
      <w:r>
        <w:rPr>
          <w:rFonts w:ascii="Arial" w:cs="Arial" w:eastAsia="Arial" w:hAnsi="Arial"/>
          <w:sz w:val="16"/>
          <w:szCs w:val="16"/>
          <w:b w:val="1"/>
          <w:bCs w:val="1"/>
          <w:color w:val="auto"/>
        </w:rPr>
        <w:t>“What vote is required to approve the proposal?”</w:t>
      </w:r>
      <w:r>
        <w:rPr>
          <w:rFonts w:ascii="Arial" w:cs="Arial" w:eastAsia="Arial" w:hAnsi="Arial"/>
          <w:sz w:val="16"/>
          <w:szCs w:val="16"/>
          <w:color w:val="auto"/>
        </w:rPr>
        <w:t>, if you do not properly provide such instructions how to vote your shares, your shares will not be voted on the proposal. To ensure that your instructions are received in a timely manner, you should promptly complete, sign and send in the envelope enclosed with this proxy statement the voting instruction form which is also enclosed. You may also wish to check the voting form used by the firm that holds your shares to see if it offers telephone or internet voting.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you change your vote or revoke your proxy?</w:t>
      </w:r>
    </w:p>
    <w:p>
      <w:pPr>
        <w:spacing w:after="0" w:line="23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Special Meeting, a written notice of revocation bearing a later date than the proxy you previously submitted or (ii) duly execute a later dated proxy relating to the same shares and deliver it to the Secretary of the Company or other designee before the taking of the vote at the Special Meeting. If you voted by proxy electronically through the Internet or by telephone as described above, you may simply vote again at a later date using the same procedures, in which case the later submitted proxy will be recorded and the earlier vote revoked. Attendance at the Special Meeting will not have the effect of revoking a proxy unless you give written notice of revocation to the Secretary before the proxy is exercised or you vote by written ballot at the Special Meeting. If you hold your shares through a broker, bank or other nominee in “street name,” you will need to contact them or follow the instructions in the enclosed voting instruction form to revoke your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A majority of the votes of the shares of Common Stock and Class A Stock issued and outstanding and entitled to vote on the record date, taken together as a single class, present in person or by proxy at the Special Meeting, will constitute a quorum for the transaction of business at the Special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proposal?</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affirmative vote of a majority of the votes cast in person or by proxy at the Special Meeting is required to approve the proposal to amend the 2000 Plan to expressly authorize the Option Exchange Program. Broker non-votes, if any, and abstentions will have no effect on the outcome of the vote. Broker non-votes occur when shares held by a shareholder in “street name” are not voted with respect to a proposal because the broker has not received voting instructions from the shareholder, and the broker lacks the discretionary voting power to vote the shares. Brokers holding shares in their name will not be permitted to vote on the proposal at the Special Meeting without instruction from the beneficial owner of the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board’s recommendation?</w:t>
      </w:r>
    </w:p>
    <w:p>
      <w:pPr>
        <w:spacing w:after="0" w:line="225" w:lineRule="exact"/>
        <w:rPr>
          <w:sz w:val="20"/>
          <w:szCs w:val="20"/>
          <w:color w:val="auto"/>
        </w:rPr>
      </w:pPr>
    </w:p>
    <w:p>
      <w:pPr>
        <w:ind w:right="300" w:firstLine="270"/>
        <w:spacing w:after="0" w:line="275"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proposed amendment to the 2000 Plan to expressly authorize the Option Exchange Program.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AMENDMENT TO THE 2000 LONG-TERM INCENTIVE PLAN TO</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EXPRESSLY AUTHORIZE THE OPTION EXCHANGE PROGRAM</w:t>
      </w:r>
    </w:p>
    <w:p>
      <w:pPr>
        <w:spacing w:after="0" w:line="219"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After careful consideration, our board of directors determined, upon the recommendation of its Compensation Committee, that it is in the best interest of the Company and its shareholders to implement, and accordingly the board approved, the Option Exchange Program, subject to shareholder approval. To assure compliance with the rules of The Nasdaq National Market and to afford shareholders the opportunity to vote on this important matter, our board of directors determined to submit for shareholder approval an amendment to the 2000 Plan expressly authorizing the Option Exchange Program. The text of the proposed amendment is set forth as Appendix A to this proxy statement.</w:t>
      </w:r>
    </w:p>
    <w:p>
      <w:pPr>
        <w:spacing w:after="0" w:line="197" w:lineRule="exact"/>
        <w:rPr>
          <w:sz w:val="20"/>
          <w:szCs w:val="20"/>
          <w:color w:val="auto"/>
        </w:rPr>
      </w:pPr>
    </w:p>
    <w:p>
      <w:pPr>
        <w:ind w:right="40" w:firstLine="270"/>
        <w:spacing w:after="0" w:line="306" w:lineRule="auto"/>
        <w:rPr>
          <w:sz w:val="20"/>
          <w:szCs w:val="20"/>
          <w:color w:val="auto"/>
        </w:rPr>
      </w:pPr>
      <w:r>
        <w:rPr>
          <w:rFonts w:ascii="Arial" w:cs="Arial" w:eastAsia="Arial" w:hAnsi="Arial"/>
          <w:sz w:val="15"/>
          <w:szCs w:val="15"/>
          <w:color w:val="auto"/>
        </w:rPr>
        <w:t xml:space="preserve">In order to implement the Option Exchange Program, shortly after the date of the mailing of this proxy statement, we will commence an offer to eligible employees whereby, upon the terms and subject to the conditions set forth in an Offer to Exchange and related materials to be filed with the Securities and Exchange Commission (such offer, upon such terms and conditions, being referred to as the “Offer to Exchange”), eligible employees will be offered a one-time opportunity to exchange their stock options granted under the 2000 Plan and the Company’s 1990 Long-Term Incentive Plan (together with the 2000 Plan, the “Stock Incentive Plans”) that have an exercise price of at least $18.00 per share for a lesser number of replacement options based on exchange ratios described below. Each replacement option will have an exercise price equal to the fair market value (as determined under the 2000 Plan) of the Common Stock on the replacement option grant date, which is expected to be the expiration date of the Offer to Exchange. The ratios of surrendered options to replacement options are 1.5-to-1, 2-to-1, and 3-to-1, depending upon the original exercise price of the surrendered options. Each replacement option will have a term equal to the greater of (1) the remaining term of the surrendered option it replaces and (2) six years from the date of grant of the replacement option. Each replacement option granted to an employee other than our executive vice president and senior vice presidents will ordinarily become vested and exercisable in equal annual installments on the first, second, third and fourth anniversaries of the grant date of the replacement option. Each replacement option granted to our executive vice president and senior vice presidents will ordinarily vest with respect to all the shares underlying such option if </w:t>
      </w:r>
      <w:r>
        <w:rPr>
          <w:rFonts w:ascii="Arial" w:cs="Arial" w:eastAsia="Arial" w:hAnsi="Arial"/>
          <w:sz w:val="15"/>
          <w:szCs w:val="15"/>
          <w:i w:val="1"/>
          <w:iCs w:val="1"/>
          <w:color w:val="auto"/>
        </w:rPr>
        <w:t>both</w:t>
      </w:r>
      <w:r>
        <w:rPr>
          <w:rFonts w:ascii="Arial" w:cs="Arial" w:eastAsia="Arial" w:hAnsi="Arial"/>
          <w:sz w:val="15"/>
          <w:szCs w:val="15"/>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5"/>
          <w:szCs w:val="15"/>
          <w:i w:val="1"/>
          <w:iCs w:val="1"/>
          <w:color w:val="auto"/>
        </w:rPr>
        <w:t>and</w:t>
      </w:r>
      <w:r>
        <w:rPr>
          <w:rFonts w:ascii="Arial" w:cs="Arial" w:eastAsia="Arial" w:hAnsi="Arial"/>
          <w:sz w:val="15"/>
          <w:szCs w:val="15"/>
          <w:color w:val="auto"/>
        </w:rPr>
        <w:t xml:space="preserve"> (2) the specific senior or executive</w:t>
      </w:r>
    </w:p>
    <w:p>
      <w:pPr>
        <w:sectPr>
          <w:pgSz w:w="11900" w:h="16838" w:orient="portrait"/>
          <w:cols w:equalWidth="0" w:num="1">
            <w:col w:w="11420"/>
          </w:cols>
          <w:pgMar w:left="240" w:top="131" w:right="239" w:bottom="0" w:gutter="0" w:footer="0" w:header="0"/>
        </w:sectPr>
      </w:pPr>
    </w:p>
    <w:bookmarkStart w:id="4" w:name="page5"/>
    <w:bookmarkEnd w:id="4"/>
    <w:p>
      <w:pPr>
        <w:ind w:right="60"/>
        <w:spacing w:after="0" w:line="294" w:lineRule="auto"/>
        <w:rPr>
          <w:sz w:val="20"/>
          <w:szCs w:val="20"/>
          <w:color w:val="auto"/>
        </w:rPr>
      </w:pPr>
      <w:r>
        <w:rPr>
          <w:rFonts w:ascii="Arial" w:cs="Arial" w:eastAsia="Arial" w:hAnsi="Arial"/>
          <w:sz w:val="16"/>
          <w:szCs w:val="16"/>
          <w:color w:val="auto"/>
        </w:rPr>
        <w:t>vice president has remained employed by the Company for at least three years from the date of grant. For all replacement options, the recipient’s vesting and exercise rights will be contingent on the recipient’s continued employment through the applicable vesting dates and subject to the provisions of the 2000 Plan and the applicable option agreement. Consummation of the Offer to Exchange will be, and accordingly the exchange of options pursuant to the Option Exchange Program is, subject to shareholder approval of Proposal No. 1 and certain other conditions that will be set forth in the Offer to Exchange. Our non-executive directors and our president and chief executive officer will not be eligible to participate in the Option Exchange Program.</w:t>
      </w:r>
    </w:p>
    <w:p>
      <w:pPr>
        <w:spacing w:after="0" w:line="164" w:lineRule="exact"/>
        <w:rPr>
          <w:sz w:val="20"/>
          <w:szCs w:val="20"/>
          <w:color w:val="auto"/>
        </w:rPr>
      </w:pPr>
    </w:p>
    <w:p>
      <w:pPr>
        <w:ind w:right="520" w:firstLine="270"/>
        <w:spacing w:after="0" w:line="275" w:lineRule="auto"/>
        <w:rPr>
          <w:sz w:val="20"/>
          <w:szCs w:val="20"/>
          <w:color w:val="auto"/>
        </w:rPr>
      </w:pPr>
      <w:r>
        <w:rPr>
          <w:rFonts w:ascii="Arial" w:cs="Arial" w:eastAsia="Arial" w:hAnsi="Arial"/>
          <w:sz w:val="18"/>
          <w:szCs w:val="18"/>
          <w:color w:val="auto"/>
        </w:rPr>
        <w:t xml:space="preserve">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AMENDMENT TO THE 2000 PLAN TO EXPRESSLY AUTHORIZE THE OPTION EXCHANGE PROGRAM.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Exchange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Stock options are generally intended to help align the interests of a company’s employees with the interests of the company’s shareholders. Accordingly, a key objective of the Stock Incentive Plans is to encourage ownership of the Company by personnel whose long-term employment and efforts are considered essential to the Company’s continued progress. The Compensation Committee of the board of directors, and the board, believe that the Stock Incentive Plans have proven to be effective tools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encourage stock option recipients to act in the shareholders’ interest by enabling the option recipients to have an economic stake in the Company’s success.</w:t>
      </w:r>
    </w:p>
    <w:p>
      <w:pPr>
        <w:spacing w:after="0" w:line="248"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The price of our Common Stock has declined sharply since 2000. As of November 3, 2004, approximately 54% of the outstanding options granted under the Stock Incentive Plans had an exercise price above $18 per share. The per share exercise prices for the annual stock option grants for employees in the past four years have been $37.78 (in December 2000), $28.01 (in December 2001), $19.43 (in December 2002), and $13.00 (in December 2003). On November 3, 2004, the date as of which option values and exchange ratios were determined for purposes of the Option Exchange Program, the closing price per share of Common Stock on the Nasdaq National Market was $7.88. On November 24, 2004, the closing price per share of Common Stock on the Nasdaq National Market was $8.60. The exercise prices noted above, as compared to current market values for the Common Stock, illustrate that a substantial number of the outstanding options granted pursuant to the Stock Incentive Plans no longer serve as effective incentives to retain and motivate employees. In today’s competitive market for top talent in the pharmaceutical and biotechnology industries, the Compensation Committee of the board of directors and the board believe that it is important for the future success of the Company, and thus for the enhancement of long-term shareholder value, to revitalize the incentive value of our stock option program as part of our overall compensation program to retain, motivate and reward employees.</w:t>
      </w:r>
    </w:p>
    <w:p>
      <w:pPr>
        <w:spacing w:after="0" w:line="177"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addition, although these “out of the money” options will, in all likelihood, not be exercised as long as the stock price for the Common Stock is lower than the applicable exercise price, they will remain on the Company’s books with the potential to dilute shareholders’ interests for up to 10 years from the grant date unless they are cancelled. The Option Exchange Program is designed to reduce the number of outstanding options. As of November 3, 2004, there were 12,758,297 shares of Common Stock underlying options outstanding under the Stock Incentive Plans and 9,253,339 shares available for future grant of awards under the 2000 Plan. Of the outstanding options as of November 3, 2004, options to purchase 4,847,581 shares of Common Stock will be eligible for exchange under the proposed Option Exchange Program. If 100% of eligible options were to be exchanged and grants of replacement options were made in accordance with the exchange ratios provided for in the Option Exchange Program, the number of shares of Common Stock underlying options outstanding would be reduced by approximately 2,271,216 shares. The actual net reduction in shares of Common Stock underlying options outstanding will depend on the level of participation in the Option Exchange Program. However, the shares underlying options which are surrendered pursuant to the Option Exchange Program will be returned to the 2000 Plan and will be available for future grants of options or other awards under the 2000 Plan.</w:t>
      </w:r>
    </w:p>
    <w:p>
      <w:pPr>
        <w:spacing w:after="0" w:line="17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Compensation Committee of the board of directors and the board believe that, by realigning the exercise prices of employee options with current market values for the Common Stock, the Option Exchange Program, if approved by shareholders, will enable the 2000 Plan to again become an important tool to help motivate the Company’s employees to create shareholder value, and by renewing vesting requirements on the replacement options, should result in increased incentives for employees to remain with the Company and also reward employees for their continued dedication and loyalty. In addition, we believe that establishing the performance vesting criterion for replacement options granted to our executive vice president and senior vice presidents under the Option Exchange Program will serve as an important additional incentive to create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Option Exchange Program</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b w:val="1"/>
          <w:bCs w:val="1"/>
          <w:i w:val="1"/>
          <w:iCs w:val="1"/>
          <w:color w:val="auto"/>
        </w:rPr>
        <w:t xml:space="preserve">Implementing the Option Exchange Program. </w:t>
      </w:r>
      <w:r>
        <w:rPr>
          <w:rFonts w:ascii="Arial" w:cs="Arial" w:eastAsia="Arial" w:hAnsi="Arial"/>
          <w:sz w:val="16"/>
          <w:szCs w:val="16"/>
          <w:color w:val="auto"/>
        </w:rPr>
        <w:t>Upon the recommendation of the Compensation Committee of the board of directors, on November 15, 2004,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approved an amendment to the 2000 Plan to expressly authorize the Option Exchange Program, subject to shareholder approval. The text of the amendment is set forth as Appendix A to this proxy statement. Shortly after the mailing of this proxy statement, the Company will commence, and will distribute to all eligible employees appropriate materials in order to consider and accept, the Offer to Exchange. Eligible employees will have until the close of business on the expiration date of the Offer to Exchange, which will be at least 20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days after commencement of the Offer to Exchange (such expiration date, as it may be extended, the “Expiration Date”), to accept, and surrender eligible options in exchange for replacement options in accordance with the terms, conditions and procedures set forth in, the Offer to Exchange. The Offer to Exchange will not be consummated, and accordingly there will be no exchange of options under the Option Exchange Program and the Option Exchange Program will automatically terminate, if the amendment to the 2000 Plan to expressly authorize the Option Exchange Program does not receive the requisite affirmative vote of shareholders at the Special Meeting or any adjournment or postponement thereof. As of the Expiration Date, eligible options which have been properly surrendered pursuant to the Offer to Exchange will be cancelled and replacement options will be granted having an exercise price equal to the fair market value of the Common Stock as of the Expiration Date as determined under the 2000 Plan.</w:t>
      </w:r>
    </w:p>
    <w:p>
      <w:pPr>
        <w:sectPr>
          <w:pgSz w:w="11900" w:h="16838" w:orient="portrait"/>
          <w:cols w:equalWidth="0" w:num="1">
            <w:col w:w="11420"/>
          </w:cols>
          <w:pgMar w:left="240" w:top="131" w:right="239" w:bottom="0" w:gutter="0" w:footer="0" w:header="0"/>
        </w:sectPr>
      </w:pPr>
    </w:p>
    <w:bookmarkStart w:id="5" w:name="page6"/>
    <w:bookmarkEnd w:id="5"/>
    <w:p>
      <w:pPr>
        <w:ind w:left="280"/>
        <w:spacing w:after="0"/>
        <w:rPr>
          <w:sz w:val="20"/>
          <w:szCs w:val="20"/>
          <w:color w:val="auto"/>
        </w:rPr>
      </w:pPr>
      <w:r>
        <w:rPr>
          <w:rFonts w:ascii="Arial" w:cs="Arial" w:eastAsia="Arial" w:hAnsi="Arial"/>
          <w:sz w:val="18"/>
          <w:szCs w:val="18"/>
          <w:i w:val="1"/>
          <w:iCs w:val="1"/>
          <w:color w:val="auto"/>
        </w:rPr>
        <w:t>Voting in favor of this proposal at the Special Meeting does not constitute an election to participate in the Option Exchange Program.</w:t>
      </w:r>
    </w:p>
    <w:p>
      <w:pPr>
        <w:spacing w:after="0" w:line="22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b w:val="1"/>
          <w:bCs w:val="1"/>
          <w:i w:val="1"/>
          <w:iCs w:val="1"/>
          <w:color w:val="auto"/>
        </w:rPr>
        <w:t xml:space="preserve">Eligibility; Election to Participate. </w:t>
      </w:r>
      <w:r>
        <w:rPr>
          <w:rFonts w:ascii="Arial" w:cs="Arial" w:eastAsia="Arial" w:hAnsi="Arial"/>
          <w:sz w:val="16"/>
          <w:szCs w:val="16"/>
          <w:color w:val="auto"/>
        </w:rPr>
        <w:t>The Option Exchange Program is open to Company regular employees who work an average of at least 20 hours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 other than our non-executive employee director and our president and chief executive officer. Non-employee directors, consultants, former employees and retirees will also not be eligible to participate in the Option Exchange Program. If on the Expiration Date, an optionee who was a Company regular employee on the date the Offer to Exchange is commenced is no longer a Company regular employee for any reason, including retirement, termination, voluntary resignation, layoff, death or disability, that optionee will not be eligible to participate in the Option Exchange Program. There are approximately 517 employees who currently are eligible to participate in the Option Exchange Program.</w:t>
      </w:r>
    </w:p>
    <w:p>
      <w:pPr>
        <w:spacing w:after="0" w:line="174"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The Option Exchange Program will afford eligible employees the opportunity to make a one-time election to surrender options granted under the Stock Incentive Plans that have an exercise price per share of at least $18.00 and exchange them for replacement options granted under the 2000 Plan, in accordance with the exchange ratios set forth below and the other terms and conditions set forth in the Offer to Exchange. Participation in the Option Exchange Program is voluntary.</w:t>
      </w:r>
    </w:p>
    <w:p>
      <w:pPr>
        <w:spacing w:after="0" w:line="197"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b w:val="1"/>
          <w:bCs w:val="1"/>
          <w:i w:val="1"/>
          <w:iCs w:val="1"/>
          <w:color w:val="auto"/>
        </w:rPr>
        <w:t xml:space="preserve">Exchange Ratios. </w:t>
      </w:r>
      <w:r>
        <w:rPr>
          <w:rFonts w:ascii="Arial" w:cs="Arial" w:eastAsia="Arial" w:hAnsi="Arial"/>
          <w:sz w:val="16"/>
          <w:szCs w:val="16"/>
          <w:color w:val="auto"/>
        </w:rPr>
        <w:t>The exchange ratios under the Option Exchange Program (that is, how many current options an employee must surrender in order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 replacement option) were determined in a manner intended to provide for an exchange based approximately on fair values of options surrendered and replacement options granted, using Black-Scholes models, with aggregate values favorable to shareholders. The Black-Scholes valuation methodology, a widely recognized and accepted valuation model to determine the value of stock options, takes into account a number of variables, including current stock price, stock volatility, risk-free rate of return, and the remaining term of the options being valued. In determining the exchange ratios, the Compensation Committee and the board of directors considered the advice of Pearl Meyer &amp; Partners, a nationally recognized compensation consulting firm, including advice with respect to option values and exchange ratios, and used information available as of the close of business on November 3, 2004 in determining the respective values and amounts of the variables utilized in the Black-Scholes model.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related to the options eligible for exchange in the Option Exchange Program:</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Eligible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28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as</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Life of Eligible</w:t>
            </w: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Exercise Price of Eligible Options</w:t>
            </w:r>
          </w:p>
        </w:tc>
        <w:tc>
          <w:tcPr>
            <w:tcW w:w="2480" w:type="dxa"/>
            <w:vAlign w:val="bottom"/>
            <w:gridSpan w:val="2"/>
          </w:tcPr>
          <w:p>
            <w:pPr>
              <w:jc w:val="center"/>
              <w:ind w:left="1176"/>
              <w:spacing w:after="0"/>
              <w:rPr>
                <w:sz w:val="20"/>
                <w:szCs w:val="20"/>
                <w:color w:val="auto"/>
              </w:rPr>
            </w:pPr>
            <w:r>
              <w:rPr>
                <w:rFonts w:ascii="Arial" w:cs="Arial" w:eastAsia="Arial" w:hAnsi="Arial"/>
                <w:sz w:val="14"/>
                <w:szCs w:val="14"/>
                <w:b w:val="1"/>
                <w:bCs w:val="1"/>
                <w:color w:val="auto"/>
                <w:w w:val="86"/>
              </w:rPr>
              <w:t>of November 3, 2004</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of Eligible Options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(Years)</w:t>
            </w:r>
          </w:p>
        </w:tc>
      </w:tr>
      <w:tr>
        <w:trPr>
          <w:trHeight w:val="55"/>
        </w:trPr>
        <w:tc>
          <w:tcPr>
            <w:tcW w:w="2560" w:type="dxa"/>
            <w:vAlign w:val="bottom"/>
            <w:tcBorders>
              <w:bottom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61"/>
        </w:trPr>
        <w:tc>
          <w:tcPr>
            <w:tcW w:w="25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43"/>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$18.00 – $28.00</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2,188,294</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$21.28</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7.46</w:t>
            </w:r>
          </w:p>
        </w:tc>
      </w:tr>
      <w:tr>
        <w:trPr>
          <w:trHeight w:val="242"/>
        </w:trPr>
        <w:tc>
          <w:tcPr>
            <w:tcW w:w="5220" w:type="dxa"/>
            <w:vAlign w:val="bottom"/>
            <w:gridSpan w:val="2"/>
          </w:tcPr>
          <w:p>
            <w:pPr>
              <w:spacing w:after="0"/>
              <w:rPr>
                <w:sz w:val="20"/>
                <w:szCs w:val="20"/>
                <w:color w:val="auto"/>
              </w:rPr>
            </w:pPr>
            <w:r>
              <w:rPr>
                <w:rFonts w:ascii="Arial" w:cs="Arial" w:eastAsia="Arial" w:hAnsi="Arial"/>
                <w:sz w:val="18"/>
                <w:szCs w:val="18"/>
                <w:color w:val="auto"/>
              </w:rPr>
              <w:t>$28.01 – $37.00</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1,386,437</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$28.78</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6.97</w:t>
            </w:r>
          </w:p>
        </w:tc>
      </w:tr>
      <w:tr>
        <w:trPr>
          <w:trHeight w:val="244"/>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$37.01 and up</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1,272,850</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$40.43</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5.96</w:t>
            </w: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Number of Shares Underlying Options Eligible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 Exchange</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4,847,581</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$28.46</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6.93</w:t>
            </w:r>
          </w:p>
        </w:tc>
      </w:tr>
    </w:tbl>
    <w:p>
      <w:pPr>
        <w:spacing w:after="0" w:line="200" w:lineRule="exact"/>
        <w:rPr>
          <w:sz w:val="20"/>
          <w:szCs w:val="20"/>
          <w:color w:val="auto"/>
        </w:rPr>
      </w:pPr>
    </w:p>
    <w:p>
      <w:pPr>
        <w:spacing w:after="0" w:line="253"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Replacement option grants calculated according to the exchange ratios will be rounded down to the nearest whole share on a grant-by-grant basis. Options will not be issued for fractional shares. The exchange ratios are set forth below:</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5"/>
              </w:rPr>
              <w:t>Exchange Ratio</w:t>
            </w:r>
          </w:p>
        </w:tc>
      </w:tr>
      <w:tr>
        <w:trPr>
          <w:trHeight w:val="149"/>
        </w:trPr>
        <w:tc>
          <w:tcPr>
            <w:tcW w:w="2060" w:type="dxa"/>
            <w:vAlign w:val="bottom"/>
          </w:tcPr>
          <w:p>
            <w:pPr>
              <w:spacing w:after="0"/>
              <w:rPr>
                <w:sz w:val="12"/>
                <w:szCs w:val="12"/>
                <w:color w:val="auto"/>
              </w:rPr>
            </w:pPr>
          </w:p>
        </w:tc>
        <w:tc>
          <w:tcPr>
            <w:tcW w:w="8220" w:type="dxa"/>
            <w:vAlign w:val="bottom"/>
            <w:gridSpan w:val="2"/>
          </w:tcPr>
          <w:p>
            <w:pPr>
              <w:jc w:val="center"/>
              <w:ind w:left="6237"/>
              <w:spacing w:after="0" w:line="149" w:lineRule="exact"/>
              <w:rPr>
                <w:sz w:val="20"/>
                <w:szCs w:val="20"/>
                <w:color w:val="auto"/>
              </w:rPr>
            </w:pPr>
            <w:r>
              <w:rPr>
                <w:rFonts w:ascii="Arial" w:cs="Arial" w:eastAsia="Arial" w:hAnsi="Arial"/>
                <w:sz w:val="14"/>
                <w:szCs w:val="14"/>
                <w:b w:val="1"/>
                <w:bCs w:val="1"/>
                <w:color w:val="auto"/>
                <w:w w:val="85"/>
              </w:rPr>
              <w:t>(number of eligible options to be</w:t>
            </w:r>
          </w:p>
        </w:tc>
      </w:tr>
      <w:tr>
        <w:trPr>
          <w:trHeight w:val="149"/>
        </w:trPr>
        <w:tc>
          <w:tcPr>
            <w:tcW w:w="20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surrendered and cancelled</w:t>
            </w:r>
          </w:p>
        </w:tc>
      </w:tr>
      <w:tr>
        <w:trPr>
          <w:trHeight w:val="174"/>
        </w:trPr>
        <w:tc>
          <w:tcPr>
            <w:tcW w:w="2060" w:type="dxa"/>
            <w:vAlign w:val="bottom"/>
          </w:tcPr>
          <w:p>
            <w:pPr>
              <w:spacing w:after="0"/>
              <w:rPr>
                <w:sz w:val="20"/>
                <w:szCs w:val="20"/>
                <w:color w:val="auto"/>
              </w:rPr>
            </w:pPr>
            <w:r>
              <w:rPr>
                <w:rFonts w:ascii="Arial" w:cs="Arial" w:eastAsia="Arial" w:hAnsi="Arial"/>
                <w:sz w:val="14"/>
                <w:szCs w:val="14"/>
                <w:b w:val="1"/>
                <w:bCs w:val="1"/>
                <w:color w:val="auto"/>
                <w:w w:val="91"/>
              </w:rPr>
              <w:t>Exercise Price of Eligible Options</w:t>
            </w:r>
          </w:p>
        </w:tc>
        <w:tc>
          <w:tcPr>
            <w:tcW w:w="63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6"/>
              </w:rPr>
              <w:t>for each replacement option)</w:t>
            </w:r>
          </w:p>
        </w:tc>
      </w:tr>
      <w:tr>
        <w:trPr>
          <w:trHeight w:val="55"/>
        </w:trPr>
        <w:tc>
          <w:tcPr>
            <w:tcW w:w="2060" w:type="dxa"/>
            <w:vAlign w:val="bottom"/>
            <w:tcBorders>
              <w:bottom w:val="single" w:sz="8" w:color="auto"/>
            </w:tcBorders>
          </w:tcPr>
          <w:p>
            <w:pPr>
              <w:spacing w:after="0"/>
              <w:rPr>
                <w:sz w:val="4"/>
                <w:szCs w:val="4"/>
                <w:color w:val="auto"/>
              </w:rPr>
            </w:pPr>
          </w:p>
        </w:tc>
        <w:tc>
          <w:tcPr>
            <w:tcW w:w="634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61"/>
        </w:trPr>
        <w:tc>
          <w:tcPr>
            <w:tcW w:w="2060" w:type="dxa"/>
            <w:vAlign w:val="bottom"/>
          </w:tcPr>
          <w:p>
            <w:pPr>
              <w:spacing w:after="0"/>
              <w:rPr>
                <w:sz w:val="5"/>
                <w:szCs w:val="5"/>
                <w:color w:val="auto"/>
              </w:rPr>
            </w:pPr>
          </w:p>
        </w:tc>
        <w:tc>
          <w:tcPr>
            <w:tcW w:w="634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243"/>
        </w:trPr>
        <w:tc>
          <w:tcPr>
            <w:tcW w:w="2060" w:type="dxa"/>
            <w:vAlign w:val="bottom"/>
            <w:shd w:val="clear" w:color="auto" w:fill="FFF3CE"/>
          </w:tcPr>
          <w:p>
            <w:pPr>
              <w:spacing w:after="0"/>
              <w:rPr>
                <w:sz w:val="20"/>
                <w:szCs w:val="20"/>
                <w:color w:val="auto"/>
              </w:rPr>
            </w:pPr>
            <w:r>
              <w:rPr>
                <w:rFonts w:ascii="Arial" w:cs="Arial" w:eastAsia="Arial" w:hAnsi="Arial"/>
                <w:sz w:val="18"/>
                <w:szCs w:val="18"/>
                <w:color w:val="auto"/>
              </w:rPr>
              <w:t>$18.00 – $28.00</w:t>
            </w:r>
          </w:p>
        </w:tc>
        <w:tc>
          <w:tcPr>
            <w:tcW w:w="82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1.50</w:t>
            </w:r>
          </w:p>
        </w:tc>
      </w:tr>
      <w:tr>
        <w:trPr>
          <w:trHeight w:val="242"/>
        </w:trPr>
        <w:tc>
          <w:tcPr>
            <w:tcW w:w="2060" w:type="dxa"/>
            <w:vAlign w:val="bottom"/>
          </w:tcPr>
          <w:p>
            <w:pPr>
              <w:spacing w:after="0"/>
              <w:rPr>
                <w:sz w:val="20"/>
                <w:szCs w:val="20"/>
                <w:color w:val="auto"/>
              </w:rPr>
            </w:pPr>
            <w:r>
              <w:rPr>
                <w:rFonts w:ascii="Arial" w:cs="Arial" w:eastAsia="Arial" w:hAnsi="Arial"/>
                <w:sz w:val="18"/>
                <w:szCs w:val="18"/>
                <w:color w:val="auto"/>
              </w:rPr>
              <w:t>$28.01 – $37.00</w:t>
            </w:r>
          </w:p>
        </w:tc>
        <w:tc>
          <w:tcPr>
            <w:tcW w:w="8220" w:type="dxa"/>
            <w:vAlign w:val="bottom"/>
            <w:gridSpan w:val="2"/>
          </w:tcPr>
          <w:p>
            <w:pPr>
              <w:jc w:val="right"/>
              <w:ind w:right="612"/>
              <w:spacing w:after="0"/>
              <w:rPr>
                <w:sz w:val="20"/>
                <w:szCs w:val="20"/>
                <w:color w:val="auto"/>
              </w:rPr>
            </w:pPr>
            <w:r>
              <w:rPr>
                <w:rFonts w:ascii="Arial" w:cs="Arial" w:eastAsia="Arial" w:hAnsi="Arial"/>
                <w:sz w:val="18"/>
                <w:szCs w:val="18"/>
                <w:color w:val="auto"/>
              </w:rPr>
              <w:t>2.00</w:t>
            </w:r>
          </w:p>
        </w:tc>
      </w:tr>
      <w:tr>
        <w:trPr>
          <w:trHeight w:val="244"/>
        </w:trPr>
        <w:tc>
          <w:tcPr>
            <w:tcW w:w="2060" w:type="dxa"/>
            <w:vAlign w:val="bottom"/>
            <w:shd w:val="clear" w:color="auto" w:fill="FFF3CE"/>
          </w:tcPr>
          <w:p>
            <w:pPr>
              <w:spacing w:after="0"/>
              <w:rPr>
                <w:sz w:val="20"/>
                <w:szCs w:val="20"/>
                <w:color w:val="auto"/>
              </w:rPr>
            </w:pPr>
            <w:r>
              <w:rPr>
                <w:rFonts w:ascii="Arial" w:cs="Arial" w:eastAsia="Arial" w:hAnsi="Arial"/>
                <w:sz w:val="18"/>
                <w:szCs w:val="18"/>
                <w:color w:val="auto"/>
              </w:rPr>
              <w:t>$37.01 and up</w:t>
            </w:r>
          </w:p>
        </w:tc>
        <w:tc>
          <w:tcPr>
            <w:tcW w:w="82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3.00</w:t>
            </w:r>
          </w:p>
        </w:tc>
      </w:tr>
    </w:tbl>
    <w:p>
      <w:pPr>
        <w:spacing w:after="0" w:line="200" w:lineRule="exact"/>
        <w:rPr>
          <w:sz w:val="20"/>
          <w:szCs w:val="20"/>
          <w:color w:val="auto"/>
        </w:rPr>
      </w:pPr>
    </w:p>
    <w:p>
      <w:pPr>
        <w:spacing w:after="0" w:line="251"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b w:val="1"/>
          <w:bCs w:val="1"/>
          <w:i w:val="1"/>
          <w:iCs w:val="1"/>
          <w:color w:val="auto"/>
        </w:rPr>
        <w:t xml:space="preserve">Exercise Price of Replacement Options. </w:t>
      </w:r>
      <w:r>
        <w:rPr>
          <w:rFonts w:ascii="Arial" w:cs="Arial" w:eastAsia="Arial" w:hAnsi="Arial"/>
          <w:sz w:val="18"/>
          <w:szCs w:val="18"/>
          <w:color w:val="auto"/>
        </w:rPr>
        <w:t>Each replacement option will be granted with an exercise price equal to the fair market value of the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of grant of the replacement option (which will be the Expiration Date), as determined under the 2000 Plan.</w:t>
      </w:r>
    </w:p>
    <w:p>
      <w:pPr>
        <w:spacing w:after="0" w:line="186" w:lineRule="exact"/>
        <w:rPr>
          <w:sz w:val="20"/>
          <w:szCs w:val="20"/>
          <w:color w:val="auto"/>
        </w:rPr>
      </w:pPr>
    </w:p>
    <w:p>
      <w:pPr>
        <w:ind w:firstLine="270"/>
        <w:spacing w:after="0" w:line="274" w:lineRule="auto"/>
        <w:rPr>
          <w:sz w:val="20"/>
          <w:szCs w:val="20"/>
          <w:color w:val="auto"/>
        </w:rPr>
      </w:pPr>
      <w:r>
        <w:rPr>
          <w:rFonts w:ascii="Arial" w:cs="Arial" w:eastAsia="Arial" w:hAnsi="Arial"/>
          <w:sz w:val="16"/>
          <w:szCs w:val="16"/>
          <w:b w:val="1"/>
          <w:bCs w:val="1"/>
          <w:i w:val="1"/>
          <w:iCs w:val="1"/>
          <w:color w:val="auto"/>
        </w:rPr>
        <w:t xml:space="preserve">Vesting and Term of Replacement Options. </w:t>
      </w:r>
      <w:r>
        <w:rPr>
          <w:rFonts w:ascii="Arial" w:cs="Arial" w:eastAsia="Arial" w:hAnsi="Arial"/>
          <w:sz w:val="16"/>
          <w:szCs w:val="16"/>
          <w:color w:val="auto"/>
        </w:rPr>
        <w:t>Each replacement option will be completely unvested upon grant. Each replacement option granted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other than our executive vice president and senior vice presidents will ordinarily become vested and exercisable with respect to one-fourth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initially underlying such option on each of the first, second, third and fourth anniversaries of the grant date so that such replacement option will be fully vested and exercisable four years after it is granted.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For all replacement options, the recipient’s vesting and exercise rights will be contingent upon the recipient’s continued employment through the applicable vesting date and subject to the other terms of the 2000 Plan and the applicable option award agreement. As is generally the case with respect to the option award agreements for options eligible for exchange pursuant to the Option Exchange Program, the option award agreements for replacement options will include provisions whereby the replacement options may become fully vested in connection with a “Change in Control” of the Company, as defined in the 2000 Plan.</w:t>
      </w:r>
    </w:p>
    <w:p>
      <w:pPr>
        <w:spacing w:after="0" w:line="192"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The term of an option is the maximum length of time during which it may be exercised. Under the Option Exchange Program, each replacement option will have a term equal to the greater of (1) the remaining term of the surrendered option it replaces and (2) six years from the date of grant of the replacement option. This is intended to ensure that the employees who participate in the Option Exchange Program will not derive any additional benefit from an extended option term unless the surrendered option has a remaining term of less than six years.</w:t>
      </w:r>
    </w:p>
    <w:p>
      <w:pPr>
        <w:spacing w:after="0" w:line="197"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b w:val="1"/>
          <w:bCs w:val="1"/>
          <w:i w:val="1"/>
          <w:iCs w:val="1"/>
          <w:color w:val="auto"/>
        </w:rPr>
        <w:t xml:space="preserve">Other Terms and Conditions of Replacement Options. </w:t>
      </w:r>
      <w:r>
        <w:rPr>
          <w:rFonts w:ascii="Arial" w:cs="Arial" w:eastAsia="Arial" w:hAnsi="Arial"/>
          <w:sz w:val="18"/>
          <w:szCs w:val="18"/>
          <w:color w:val="auto"/>
        </w:rPr>
        <w:t>The other terms and conditions of the replacement options will be set forth in an option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entered into as of the grant date of the</w:t>
      </w:r>
    </w:p>
    <w:p>
      <w:pPr>
        <w:sectPr>
          <w:pgSz w:w="11900" w:h="16838" w:orient="portrait"/>
          <w:cols w:equalWidth="0" w:num="1">
            <w:col w:w="11400"/>
          </w:cols>
          <w:pgMar w:left="240" w:top="131" w:right="259" w:bottom="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replacement options, substantially in the form of the standard option agreement to be filed with the Securities and Exchange Commission along with the Offer to Exchange, and will be governed by the 2000 Plan. If options surrendered under the Option Exchange Program qualified as incentive stock options under U.S. tax laws, then the replacement options will also be incentive stock options to the fullest extent permitted under Section 422 of the Internal Revenue Code of 1986, as amended. Otherwise, replacement options will be non-qualified stock options. The shares of Common Stock for which the replacement options will be exercisable have already been registered under the Securities Act of 1933, as amended, as part of the Company’s registration statements for the 2000 Plan.</w:t>
      </w:r>
    </w:p>
    <w:p>
      <w:pPr>
        <w:spacing w:after="0" w:line="170" w:lineRule="exact"/>
        <w:rPr>
          <w:sz w:val="20"/>
          <w:szCs w:val="20"/>
          <w:color w:val="auto"/>
        </w:rPr>
      </w:pPr>
    </w:p>
    <w:p>
      <w:pPr>
        <w:ind w:right="40" w:firstLine="270"/>
        <w:spacing w:after="0" w:line="303" w:lineRule="auto"/>
        <w:rPr>
          <w:sz w:val="20"/>
          <w:szCs w:val="20"/>
          <w:color w:val="auto"/>
        </w:rPr>
      </w:pPr>
      <w:r>
        <w:rPr>
          <w:rFonts w:ascii="Arial" w:cs="Arial" w:eastAsia="Arial" w:hAnsi="Arial"/>
          <w:sz w:val="15"/>
          <w:szCs w:val="15"/>
          <w:b w:val="1"/>
          <w:bCs w:val="1"/>
          <w:i w:val="1"/>
          <w:iCs w:val="1"/>
          <w:color w:val="auto"/>
        </w:rPr>
        <w:t xml:space="preserve">Accounting Treatment. </w:t>
      </w:r>
      <w:r>
        <w:rPr>
          <w:rFonts w:ascii="Arial" w:cs="Arial" w:eastAsia="Arial" w:hAnsi="Arial"/>
          <w:sz w:val="15"/>
          <w:szCs w:val="15"/>
          <w:color w:val="auto"/>
        </w:rPr>
        <w:t>In connection with the Option Exchange Program, the Company intends to adopt, effective January 1, 2005, the fair value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method of accounting for stock-based employee compensation under the provisions of Statement of Financial Accounting Standards No. 123, </w:t>
      </w:r>
      <w:r>
        <w:rPr>
          <w:rFonts w:ascii="Arial" w:cs="Arial" w:eastAsia="Arial" w:hAnsi="Arial"/>
          <w:sz w:val="15"/>
          <w:szCs w:val="15"/>
          <w:i w:val="1"/>
          <w:iCs w:val="1"/>
          <w:color w:val="auto"/>
        </w:rPr>
        <w:t>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(“SFAS No. 123”), as modified by Statement of Financial Accounting Standards No. 148,</w:t>
      </w:r>
      <w:r>
        <w:rPr>
          <w:rFonts w:ascii="Arial" w:cs="Arial" w:eastAsia="Arial" w:hAnsi="Arial"/>
          <w:sz w:val="15"/>
          <w:szCs w:val="15"/>
          <w:i w:val="1"/>
          <w:iCs w:val="1"/>
          <w:color w:val="auto"/>
        </w:rPr>
        <w:t xml:space="preserve"> Accounting for Stock Based Compensation</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 Transition and Disclosure </w:t>
      </w:r>
      <w:r>
        <w:rPr>
          <w:rFonts w:ascii="Arial" w:cs="Arial" w:eastAsia="Arial" w:hAnsi="Arial"/>
          <w:sz w:val="16"/>
          <w:szCs w:val="16"/>
          <w:color w:val="auto"/>
        </w:rPr>
        <w:t>(“SFAS No. 148”), using the modified prospective method. In accordance with SFAS Nos. 123/148, upon the grant of a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pursuant to the Option Exchange Program, the Company will incur compensation cost that will be recognized over the vesting period of the replacement option. The compensation cost will equal the sum of (i) the unamortized fair value of the surrendered options on the date of the exchange and (ii) the incremental value of the replacement option measured as the difference between (a) the fair value of the replacement option on the date of the exchange and (b) the fair value of the surrendered options immediately prior to the exchange. Due to a number of factors, including but not limited to our inability to predict how many option holders will exchange their options, which options will be exchanged, the vesting date of any replacement option granted to our executive vice president and senior vice presidents, or what the future market price of our Common Stock will be on the date of the grant of the replacement option or thereafter, we cannot predict the precise compensation cost that will be recorded by the Company as a result of the Option Exchange Program.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 from the date of grant, under SFAS Nos. 123/148 the Company would incur compensation cost totaling approximately $13 million related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79"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color w:val="auto"/>
        </w:rPr>
        <w:t>The adoption of SFAS Nos. 123/148 using the modified prospective method does not require restatement of prior period data. The financial statement impact of SFAS No. 123 has been presented by the Company in footnote disclosures in prior filings on Forms 10-K and 10-Q with the Securities and Exchange Commission. In addition, the Financial Accounting Standards Boards (“FASB”) has proposed to modify SFAS No. 123, and issuance of the final standard is expected by the end of 2004. Therefore, the Company may be required to adopt the FASB modification of SFAS No. 123 effective January 1, 2005 which could change the Company’s compensation cost of the Option Exchange Program calculated as described above.</w:t>
      </w:r>
    </w:p>
    <w:p>
      <w:pPr>
        <w:spacing w:after="0" w:line="170"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exchange of options pursuant to the Option Exchange Program should be treated as a non-taxable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and the Company’s shareholders and employees should recognize no income for U.S. federal income tax purposes upon the surrender of eligible options and the grant of replacement options. Due to certain limitations on the extent to which options which become exercisable in a given calendar year may be treated as incentive stock options, certain incentive stock options that are surrendered in the Option Exchange Program may be replaced with non-qualified stock options. To the extent that this occurs, the Company may be entitled to a tax deduction upon the exercise of the non-qualified stock options issued as replacement options which would not have been available to it to the extent the replacement option was an incentive stock option. Additional tax information with respect to the replacement options will be provided to optionees in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Offer to Exchange and, with respect to options granted under the 2000 Plan, is provided in the summary plan description below. This information is a brief summary only and reference is made to the Internal Revenue Code of 1986, as amended, and the regulations and interpretations issued thereunder, for a complete statement of all relevant federal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Option Exchange Program</w:t>
      </w:r>
    </w:p>
    <w:p>
      <w:pPr>
        <w:spacing w:after="0" w:line="231" w:lineRule="exact"/>
        <w:rPr>
          <w:sz w:val="20"/>
          <w:szCs w:val="20"/>
          <w:color w:val="auto"/>
        </w:rPr>
      </w:pPr>
    </w:p>
    <w:p>
      <w:pPr>
        <w:ind w:right="220" w:firstLine="270"/>
        <w:spacing w:after="0" w:line="289" w:lineRule="auto"/>
        <w:rPr>
          <w:sz w:val="20"/>
          <w:szCs w:val="20"/>
          <w:color w:val="auto"/>
        </w:rPr>
      </w:pPr>
      <w:r>
        <w:rPr>
          <w:rFonts w:ascii="Arial" w:cs="Arial" w:eastAsia="Arial" w:hAnsi="Arial"/>
          <w:sz w:val="16"/>
          <w:szCs w:val="16"/>
          <w:color w:val="auto"/>
        </w:rPr>
        <w:t>Because the decision whether to participate in the Option Exchange Program is completely voluntary, we cannot predict which employees, if any, will participate, how many options any particular group of employees will elect to exchange, nor the number of replacement options that may be granted. As noted above, our non-executive directors, our president and chief executive officer, and non-employee service providers are not eligible to participate in the Option Exchange Program. Executive officers who are eligible to participate hold collectively as a group 2,085,000 options which, if exchanged in full, would entitle them to 1,063,500 replacement options. Of the outstanding options held by eligible employees as of November 3, 2004, the maximum number of shares of Common Stock underlying options which could be exchanged is 4,847,581 and the maximum number of shares of Common Stock underlying the replacement options which could be issued in accordance with the exchange ratios described above under “Option Exchange Program—Details of the Option Exchange Program—Exchange Ratios,” would be approximately 2,576,365.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Shareholders</w:t>
      </w:r>
    </w:p>
    <w:p>
      <w:pPr>
        <w:spacing w:after="0" w:line="231" w:lineRule="exact"/>
        <w:rPr>
          <w:sz w:val="20"/>
          <w:szCs w:val="20"/>
          <w:color w:val="auto"/>
        </w:rPr>
      </w:pPr>
    </w:p>
    <w:p>
      <w:pPr>
        <w:ind w:right="140" w:firstLine="270"/>
        <w:spacing w:after="0" w:line="289" w:lineRule="auto"/>
        <w:rPr>
          <w:sz w:val="20"/>
          <w:szCs w:val="20"/>
          <w:color w:val="auto"/>
        </w:rPr>
      </w:pPr>
      <w:r>
        <w:rPr>
          <w:rFonts w:ascii="Arial" w:cs="Arial" w:eastAsia="Arial" w:hAnsi="Arial"/>
          <w:sz w:val="16"/>
          <w:szCs w:val="16"/>
          <w:color w:val="auto"/>
        </w:rPr>
        <w:t>To enhance long-term shareholder value we must implement and maintain competitive employee compensation, incentive and retention programs. Stock options continue to be an important component of these programs. The terms of the Option Exchange Program are intended to strike a balance between shareholder and employee interests. Using the Black-Scholes model to calculate the value of the options that could be surrendered and the expected value of the replacement options, the exchange ratios for the exchange of currently outstanding options for replacement options were established so that, on an aggregate basis, the value of the surrendered options is expected to be greater than the value of the replacement options. The board of directors believes that the Option Exchange Program should, on balance, be beneficial to shareholders because, if the Offer to Exchange is accepted with respect to a significant number of currently outstanding options, the value of our stock option program as a means of rewarding, retaining and motivating our employees will be substantially revitalized which, in turn, should result in increased shareholder value.</w:t>
      </w:r>
    </w:p>
    <w:p>
      <w:pPr>
        <w:sectPr>
          <w:pgSz w:w="11900" w:h="16838" w:orient="portrait"/>
          <w:cols w:equalWidth="0" w:num="1">
            <w:col w:w="11380"/>
          </w:cols>
          <w:pgMar w:left="240" w:top="131" w:right="279" w:bottom="135" w:gutter="0" w:footer="0" w:header="0"/>
        </w:sectPr>
      </w:pPr>
    </w:p>
    <w:bookmarkStart w:id="7" w:name="page8"/>
    <w:bookmarkEnd w:id="7"/>
    <w:p>
      <w:pPr>
        <w:ind w:right="60" w:firstLine="270"/>
        <w:spacing w:after="0" w:line="254" w:lineRule="auto"/>
        <w:rPr>
          <w:sz w:val="20"/>
          <w:szCs w:val="20"/>
          <w:color w:val="auto"/>
        </w:rPr>
      </w:pPr>
      <w:r>
        <w:rPr>
          <w:rFonts w:ascii="Arial" w:cs="Arial" w:eastAsia="Arial" w:hAnsi="Arial"/>
          <w:sz w:val="18"/>
          <w:szCs w:val="18"/>
          <w:color w:val="auto"/>
        </w:rPr>
        <w:t>In addition, to the extent option holders accept the Offer to Exchange, there will be fewer shares of Common Stock subject to outstanding options held by such participants, and the potential dilution to shareholders will be reduced. However, the shares underlying options originally granted under the Stock Incentive Plans which are surrendered pursuant to the Option Exchange Program will be returned to the 2000 Plan and will be available for future grants of options and other awards under the 2000 Plan. In addition, while our non-executive directors and our president and chief executive officer are not eligible to participate in the Option Exchange Program, these individuals and many employees eligible to participate in the Option Exchange Program are expected to receive year-end stock option grants.</w:t>
      </w:r>
    </w:p>
    <w:p>
      <w:pPr>
        <w:spacing w:after="0" w:line="19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Notwithstanding the view of the Compensation Committee and the board of directors that the Option Exchange Program should, on balance, be beneficial to shareholders, we cannot predict the precise economic impact the Option Exchange Program will have on shareholders because we cannot predict how many option holders will exchange their options, which options will be exchanged, what the future market price of the Common Stock will be on the date of the grant of replacement options or thereafter or the precise compensation cost that will be recorded by the Company as a result of the Option Exchange Program. If all options eligible for exchange are exchanged under the Option Exchange Program, a total of approximately 2,576,365 replacement options will be issued.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from the date of grant, under SFAS Nos. 123/148 the Company would incur compensation cost totaling approximately $13 million relating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2000 Long-Term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2000 Plan</w:t>
      </w:r>
    </w:p>
    <w:p>
      <w:pPr>
        <w:spacing w:after="0" w:line="23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adopted the 2000 Plan effective June 9, 2000 and the 2000 Plan has been subsequently amended to increase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available for issuance under the plan to an aggregate of (i) 18,500,000 plus (ii) shares previously reserved for issuance under the Company’s 1990 Long-Term Incentive Plan but which remained unissued as of June 14, 2002 and any shares of Common Stock underlying awards granted under such plan which are forfeited, expire or cancelled without delivery of shares of Common Stock. In addition, the 2000 Plan was amended to adjust the date of award of the automatic grants of options made to non-employee directors.</w:t>
      </w:r>
    </w:p>
    <w:p>
      <w:pPr>
        <w:spacing w:after="0" w:line="19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As of November 3, 2004, 9,253,339 shares remained available for issuance under the 2000 Plan and 9,390,229 of shares were subject to outstanding awards (including options eligible to participate in the Option Exchange Program). The 2000 Plan is scheduled to remain in effect until the close of business on April 24, 2010, unless earlier terminated by the board of directors. Awards granted under the 2000 Plan (including awards that are issued under the Option Exchange Program) may remain in effect following the expiration of the term of the plan in accordance with the award terms. Currently, all regular employees and directors are eligible to receive grants under the 2000 Plan.</w:t>
      </w:r>
    </w:p>
    <w:p>
      <w:pPr>
        <w:spacing w:after="0" w:line="197"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2000 Plan is administered by the Compensation Committee of the Board of Directors. Each member of the Compensation Committee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“non-employee director” (within the meaning of Rule 16b-3 promulgated under Section 16 of the Securities Exchange Act of 1934, as amended) and an “outside director” (within the meaning of Section 162(m) of the Internal Revenue Code of 1986, as amended). In general, awards granted under the 2000 Plan become exercisable or otherwise vest at the times and upon the conditions that the Compensation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Awards under the 2000 Plan (other than annual grants to non-employee directors described under “Non-employee Director Awards” below) are generally made in the discretion of the Compensation Committee. Consequently, except as described in the New Plan Benefits table set forth below (which contains information regarding replacement options that are anticipated to be awarded in connection with the Option Exchange Program), the recipients and size of future awards under the 2000 Plan are not presently determinable.</w:t>
      </w:r>
    </w:p>
    <w:p>
      <w:pPr>
        <w:spacing w:after="0" w:line="177"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b w:val="1"/>
          <w:bCs w:val="1"/>
          <w:i w:val="1"/>
          <w:iCs w:val="1"/>
          <w:color w:val="auto"/>
        </w:rPr>
        <w:t xml:space="preserve">Types of Awards. </w:t>
      </w:r>
      <w:r>
        <w:rPr>
          <w:rFonts w:ascii="Arial" w:cs="Arial" w:eastAsia="Arial" w:hAnsi="Arial"/>
          <w:sz w:val="16"/>
          <w:szCs w:val="16"/>
          <w:color w:val="auto"/>
        </w:rPr>
        <w:t>There are generally four types of awards that may be granted under the 2000 Plan: Stock options (including both incentive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as ISOs) within the meaning of Section 422 of the Internal Revenue Code of 1986, as amended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Common Stock.</w:t>
      </w:r>
    </w:p>
    <w:p>
      <w:pPr>
        <w:spacing w:after="0" w:line="167"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b w:val="1"/>
          <w:bCs w:val="1"/>
          <w:i w:val="1"/>
          <w:iCs w:val="1"/>
          <w:color w:val="auto"/>
        </w:rPr>
        <w:t xml:space="preserve">Adjustment of Shares; Certain Restrictions. </w:t>
      </w:r>
      <w:r>
        <w:rPr>
          <w:rFonts w:ascii="Arial" w:cs="Arial" w:eastAsia="Arial" w:hAnsi="Arial"/>
          <w:sz w:val="16"/>
          <w:szCs w:val="16"/>
          <w:color w:val="auto"/>
        </w:rPr>
        <w:t>All of the shares reserved for issuance under the 2000 Plan are generally subject to equitable adjustment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occurrence of any stock dividend or other distribution, recapitalization, stock split,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270"/>
        <w:spacing w:after="0" w:line="310"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Options entitle the holder to purchase shares of Common Stock during a specified period at a purchase price specified by the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(but in the case of an ISO, at a price not less than 100% of the fair market value of the Common Stock on the day the ISO is granted). Each option granted under the 2000 Plan may be exercisable for a maximum period of 10 years from the date of grant. Options may be exercised, in whole or in part, by the payment of cash of the full option price of 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 20% on each of the next four anniversaries thereof. In 2001, the Compensation Committee determined that, beginning in 2001, options granted under the 2000 Plan would vest ratably over four years, with 25% of the option vesting on each of the first four anniversaries of the date of grant. Options which are granted</w:t>
      </w:r>
    </w:p>
    <w:p>
      <w:pPr>
        <w:sectPr>
          <w:pgSz w:w="11900" w:h="16838" w:orient="portrait"/>
          <w:cols w:equalWidth="0" w:num="1">
            <w:col w:w="11420"/>
          </w:cols>
          <w:pgMar w:left="240" w:top="131" w:right="239" w:bottom="0" w:gutter="0" w:footer="0" w:header="0"/>
        </w:sectPr>
      </w:pPr>
    </w:p>
    <w:bookmarkStart w:id="8" w:name="page9"/>
    <w:bookmarkEnd w:id="8"/>
    <w:p>
      <w:pPr>
        <w:ind w:right="20"/>
        <w:spacing w:after="0" w:line="286" w:lineRule="auto"/>
        <w:rPr>
          <w:sz w:val="20"/>
          <w:szCs w:val="20"/>
          <w:color w:val="auto"/>
        </w:rPr>
      </w:pPr>
      <w:r>
        <w:rPr>
          <w:rFonts w:ascii="Arial" w:cs="Arial" w:eastAsia="Arial" w:hAnsi="Arial"/>
          <w:sz w:val="16"/>
          <w:szCs w:val="16"/>
          <w:color w:val="auto"/>
        </w:rPr>
        <w:t xml:space="preserve">pursuant to the Option Exchange Program, other than options granted to our executive vice president and senior vice presidents, ordinarily will also vest ratably over a four year period, with 25% of the option vesting on each of the first four anniversaries of the date of grant.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unexercised options held by such participant are exercisable in accordance with their terms by the participant’s heirs or personal representatives. Options held by a participant upon termination from the Company’s service for cause immediately expire (whether or not then exercisable). The Compensation Committee may provide that a participant who delivers shares of Common Stock to exercise an option will automatically be granted new options for the number of shares delivered to exercise the option (referred to as Reload Options). Reload Options will be subject to the same terms and conditions as the related option (except that the exercise price generally will be the fair market value of the Common Stock on the date the Reload Option is granted). Options with reload rights that are surrendered in the Option Exchange Program will be replaced with options which also have such reload rights.</w:t>
      </w:r>
    </w:p>
    <w:p>
      <w:pPr>
        <w:spacing w:after="0" w:line="175" w:lineRule="exact"/>
        <w:rPr>
          <w:sz w:val="20"/>
          <w:szCs w:val="20"/>
          <w:color w:val="auto"/>
        </w:rPr>
      </w:pPr>
    </w:p>
    <w:p>
      <w:pPr>
        <w:ind w:right="60" w:firstLine="270"/>
        <w:spacing w:after="0" w:line="310"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Restricted Stock awards under the 2000 Plan consist of a grant of shares of restricted Common Stock. The Compensation Committee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the price, if any, to be paid by a participant for each share of Restricted Stock subject to an award. A holder of Restricted Stock may vote and, if the participant remains in the service of the Company throughout the “Restricted Period” as defined in the 2000 Plan,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Internal Revenue Code, the 2000 Plan provides that (i) restrictions on Restricted Stock may, in the sole discretion of the Compensation Committee, lapse upon the achievement of certain pre-established performance goals and (ii) the maximum number of such performance-based Restricted Stock awards that may be granted to an employee in any year is 200,000.</w:t>
      </w:r>
    </w:p>
    <w:p>
      <w:pPr>
        <w:spacing w:after="0" w:line="162"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2000 Plan provides that performance goals will be based on one or more of the following criteria: (1) return on total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of 1986, as amended (including, without limitation, compliance with any requirements for shareholder approval), the Compensation Committee may designate additional business criteria on which the performance goals may be based or adjust, modify, or amend the aforementioned business criteria.</w:t>
      </w:r>
    </w:p>
    <w:p>
      <w:pPr>
        <w:spacing w:after="0" w:line="167"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b w:val="1"/>
          <w:bCs w:val="1"/>
          <w:i w:val="1"/>
          <w:iCs w:val="1"/>
          <w:color w:val="auto"/>
        </w:rPr>
        <w:t xml:space="preserve">Phantom Stock. </w:t>
      </w:r>
      <w:r>
        <w:rPr>
          <w:rFonts w:ascii="Arial" w:cs="Arial" w:eastAsia="Arial" w:hAnsi="Arial"/>
          <w:sz w:val="16"/>
          <w:szCs w:val="16"/>
          <w:color w:val="auto"/>
        </w:rPr>
        <w:t>A Phantom Stock award is an award of the right to receive cash or Common Stock at a future date, subject to such restrictions, if any,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payable solely in cash shall not reduce the number of shares of Common Stock with respect to which awards may be granted under the 2000 Plan.</w:t>
      </w:r>
    </w:p>
    <w:p>
      <w:pPr>
        <w:spacing w:after="0" w:line="170"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b w:val="1"/>
          <w:bCs w:val="1"/>
          <w:i w:val="1"/>
          <w:iCs w:val="1"/>
          <w:color w:val="auto"/>
        </w:rPr>
        <w:t xml:space="preserve">Stock Bonus. </w:t>
      </w:r>
      <w:r>
        <w:rPr>
          <w:rFonts w:ascii="Arial" w:cs="Arial" w:eastAsia="Arial" w:hAnsi="Arial"/>
          <w:sz w:val="18"/>
          <w:szCs w:val="18"/>
          <w:color w:val="auto"/>
        </w:rPr>
        <w:t>If the Compensation Committee grants a Stock Bonus award, a certificate for the shares of Common Stock constituting such Stock Bonus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in the name of the participant to whom such grant was made.</w:t>
      </w:r>
    </w:p>
    <w:p>
      <w:pPr>
        <w:spacing w:after="0" w:line="186" w:lineRule="exact"/>
        <w:rPr>
          <w:sz w:val="20"/>
          <w:szCs w:val="20"/>
          <w:color w:val="auto"/>
        </w:rPr>
      </w:pPr>
    </w:p>
    <w:p>
      <w:pPr>
        <w:jc w:val="both"/>
        <w:ind w:right="80" w:firstLine="270"/>
        <w:spacing w:after="0" w:line="323" w:lineRule="auto"/>
        <w:rPr>
          <w:sz w:val="20"/>
          <w:szCs w:val="20"/>
          <w:color w:val="auto"/>
        </w:rPr>
      </w:pPr>
      <w:r>
        <w:rPr>
          <w:rFonts w:ascii="Arial" w:cs="Arial" w:eastAsia="Arial" w:hAnsi="Arial"/>
          <w:sz w:val="15"/>
          <w:szCs w:val="15"/>
          <w:b w:val="1"/>
          <w:bCs w:val="1"/>
          <w:i w:val="1"/>
          <w:iCs w:val="1"/>
          <w:color w:val="auto"/>
        </w:rPr>
        <w:t xml:space="preserve">Non-employee Director Awards. </w:t>
      </w:r>
      <w:r>
        <w:rPr>
          <w:rFonts w:ascii="Arial" w:cs="Arial" w:eastAsia="Arial" w:hAnsi="Arial"/>
          <w:sz w:val="15"/>
          <w:szCs w:val="15"/>
          <w:color w:val="auto"/>
        </w:rPr>
        <w:t>On the first business day after January 1 of each calendar year, each then serving non-employee director of the Company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granted a NQSO to purchase 15,000 shares of Common Stock at the fair market value of such shares at the time of grant; such NQSOs become exercisable as to 33-1/3% of the shares covered thereby on each of the first, second, and third anniversaries of the date of grant, and expire (if not earlier terminated) on the tenth anniversary of the date of grant. In addition, a non-employee director may receive such other awards as are approved by a majority of the Board.</w:t>
      </w:r>
    </w:p>
    <w:p>
      <w:pPr>
        <w:spacing w:after="0" w:line="152"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b w:val="1"/>
          <w:bCs w:val="1"/>
          <w:i w:val="1"/>
          <w:iCs w:val="1"/>
          <w:color w:val="auto"/>
        </w:rPr>
        <w:t xml:space="preserve">Other Information. </w:t>
      </w:r>
      <w:r>
        <w:rPr>
          <w:rFonts w:ascii="Arial" w:cs="Arial" w:eastAsia="Arial" w:hAnsi="Arial"/>
          <w:sz w:val="16"/>
          <w:szCs w:val="16"/>
          <w:color w:val="auto"/>
        </w:rPr>
        <w:t>The 2000 Plan may be amended by the Board of Directors, subject to shareholder approval where necessary to satisfy certain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requirements. The closing price of the Common Stock on November 3, 2004 as quoted by the Nasdaq National Market was $7.88.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31" w:lineRule="exact"/>
        <w:rPr>
          <w:sz w:val="20"/>
          <w:szCs w:val="20"/>
          <w:color w:val="auto"/>
        </w:rPr>
      </w:pPr>
    </w:p>
    <w:p>
      <w:pPr>
        <w:ind w:right="240" w:firstLine="270"/>
        <w:spacing w:after="0" w:line="298" w:lineRule="auto"/>
        <w:rPr>
          <w:sz w:val="20"/>
          <w:szCs w:val="20"/>
          <w:color w:val="auto"/>
        </w:rPr>
      </w:pPr>
      <w:r>
        <w:rPr>
          <w:rFonts w:ascii="Arial" w:cs="Arial" w:eastAsia="Arial" w:hAnsi="Arial"/>
          <w:sz w:val="16"/>
          <w:szCs w:val="16"/>
          <w:color w:val="auto"/>
        </w:rPr>
        <w:t>Set forth below is a discussion of certain federal income tax consequences with respect to Options that may be granted pursuant to the 2000 Plan. The following discussion is a brief summary only, and reference is made to the Internal Revenue Code of 1986, as amended and the regulations and interpretations issued thereunder for a complete statement of all relevant federal tax consequences. This summary is not intended to be exhaustive and does not describe state, local, or foreign tax consequences of participation in the 2000 Plan or in the Option Exchange Program.</w:t>
      </w:r>
    </w:p>
    <w:p>
      <w:pPr>
        <w:spacing w:after="0" w:line="167" w:lineRule="exact"/>
        <w:rPr>
          <w:sz w:val="20"/>
          <w:szCs w:val="20"/>
          <w:color w:val="auto"/>
        </w:rPr>
      </w:pPr>
    </w:p>
    <w:p>
      <w:pPr>
        <w:ind w:right="60" w:firstLine="270"/>
        <w:spacing w:after="0" w:line="303" w:lineRule="auto"/>
        <w:rPr>
          <w:sz w:val="20"/>
          <w:szCs w:val="20"/>
          <w:color w:val="auto"/>
        </w:rPr>
      </w:pPr>
      <w:r>
        <w:rPr>
          <w:rFonts w:ascii="Arial" w:cs="Arial" w:eastAsia="Arial" w:hAnsi="Arial"/>
          <w:sz w:val="15"/>
          <w:szCs w:val="15"/>
          <w:b w:val="1"/>
          <w:bCs w:val="1"/>
          <w:i w:val="1"/>
          <w:iCs w:val="1"/>
          <w:color w:val="auto"/>
        </w:rPr>
        <w:t xml:space="preserve">Incentive Stock Options. </w:t>
      </w:r>
      <w:r>
        <w:rPr>
          <w:rFonts w:ascii="Arial" w:cs="Arial" w:eastAsia="Arial" w:hAnsi="Arial"/>
          <w:sz w:val="15"/>
          <w:szCs w:val="15"/>
          <w:color w:val="auto"/>
        </w:rPr>
        <w:t>In general, no taxable income is realized by a participant upon the grant of an ISO. If shares of Common Stock are issued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w:t>
      </w:r>
    </w:p>
    <w:p>
      <w:pPr>
        <w:spacing w:after="0" w:line="1" w:lineRule="exact"/>
        <w:rPr>
          <w:sz w:val="20"/>
          <w:szCs w:val="20"/>
          <w:color w:val="auto"/>
        </w:rPr>
      </w:pPr>
    </w:p>
    <w:p>
      <w:pPr>
        <w:ind w:firstLine="8"/>
        <w:spacing w:after="0" w:line="287" w:lineRule="auto"/>
        <w:tabs>
          <w:tab w:leader="none" w:pos="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for tax purposes as an NQSO as discussed below.</w:t>
      </w:r>
    </w:p>
    <w:p>
      <w:pPr>
        <w:sectPr>
          <w:pgSz w:w="11900" w:h="16838" w:orient="portrait"/>
          <w:cols w:equalWidth="0" w:num="1">
            <w:col w:w="11400"/>
          </w:cols>
          <w:pgMar w:left="240" w:top="131" w:right="259" w:bottom="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b w:val="1"/>
          <w:bCs w:val="1"/>
          <w:i w:val="1"/>
          <w:iCs w:val="1"/>
          <w:color w:val="auto"/>
        </w:rPr>
        <w:t xml:space="preserve">Nonqualified Stock Options. </w:t>
      </w:r>
      <w:r>
        <w:rPr>
          <w:rFonts w:ascii="Arial" w:cs="Arial" w:eastAsia="Arial" w:hAnsi="Arial"/>
          <w:sz w:val="16"/>
          <w:szCs w:val="16"/>
          <w:color w:val="auto"/>
        </w:rPr>
        <w:t>In general, no taxable income is realized by a participant upon the grant of an NQSO. Upon exercise of an NQSO,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described in the immediately preceding paragraph.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The following table sets forth information regarding the benefits with respect to the options which certain participants and classes of participants in the 2000 Plan are expected to receive under the 2000 Plan pursuant to their participation in the Option Exchange Program. As noted above, awards under the 2000 Plan are made at the discretion of the Compensation Committee and thus are not generally determinable in advance.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Subject to Replacement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Expected to Be Granted Pursuant to Option</w:t>
            </w:r>
          </w:p>
        </w:tc>
        <w:tc>
          <w:tcPr>
            <w:tcW w:w="0" w:type="dxa"/>
            <w:vAlign w:val="bottom"/>
          </w:tcPr>
          <w:p>
            <w:pPr>
              <w:spacing w:after="0"/>
              <w:rPr>
                <w:sz w:val="1"/>
                <w:szCs w:val="1"/>
                <w:color w:val="auto"/>
              </w:rPr>
            </w:pPr>
          </w:p>
        </w:tc>
      </w:tr>
      <w:tr>
        <w:trPr>
          <w:trHeight w:val="174"/>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87"/>
              </w:rPr>
              <w:t>Exchange Program (1)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2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4900" w:type="dxa"/>
            <w:vAlign w:val="bottom"/>
          </w:tcPr>
          <w:p>
            <w:pPr>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Scientific Officer and President,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Regeneron Research Laboratories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8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78,333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w:t>
            </w:r>
          </w:p>
        </w:tc>
        <w:tc>
          <w:tcPr>
            <w:tcW w:w="490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Treasurer and Assistant Secretary</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Randall G. Rupp, Ph.D.</w:t>
            </w:r>
          </w:p>
        </w:tc>
        <w:tc>
          <w:tcPr>
            <w:tcW w:w="4900" w:type="dxa"/>
            <w:vAlign w:val="bottom"/>
          </w:tcPr>
          <w:p>
            <w:pPr>
              <w:spacing w:after="0"/>
              <w:rPr>
                <w:sz w:val="20"/>
                <w:szCs w:val="20"/>
                <w:color w:val="auto"/>
              </w:rPr>
            </w:pPr>
            <w:r>
              <w:rPr>
                <w:rFonts w:ascii="Arial" w:cs="Arial" w:eastAsia="Arial" w:hAnsi="Arial"/>
                <w:sz w:val="18"/>
                <w:szCs w:val="18"/>
                <w:color w:val="auto"/>
              </w:rPr>
              <w:t>58,333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Manufacturing and</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Process Sciences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133,334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Executive Group (7 persons)</w:t>
            </w:r>
          </w:p>
        </w:tc>
        <w:tc>
          <w:tcPr>
            <w:tcW w:w="4900" w:type="dxa"/>
            <w:vAlign w:val="bottom"/>
          </w:tcPr>
          <w:p>
            <w:pPr>
              <w:spacing w:after="0"/>
              <w:rPr>
                <w:sz w:val="20"/>
                <w:szCs w:val="20"/>
                <w:color w:val="auto"/>
              </w:rPr>
            </w:pPr>
            <w:r>
              <w:rPr>
                <w:rFonts w:ascii="Arial" w:cs="Arial" w:eastAsia="Arial" w:hAnsi="Arial"/>
                <w:sz w:val="18"/>
                <w:szCs w:val="18"/>
                <w:color w:val="auto"/>
              </w:rPr>
              <w:t>1,063,500 (6 persons eligible to participate)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0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Non-Executive Director Group</w:t>
            </w:r>
          </w:p>
        </w:tc>
        <w:tc>
          <w:tcPr>
            <w:tcW w:w="490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Non-Executive Officer Employee Group</w:t>
            </w:r>
          </w:p>
        </w:tc>
        <w:tc>
          <w:tcPr>
            <w:tcW w:w="4900" w:type="dxa"/>
            <w:vAlign w:val="bottom"/>
          </w:tcPr>
          <w:p>
            <w:pPr>
              <w:spacing w:after="0"/>
              <w:rPr>
                <w:sz w:val="20"/>
                <w:szCs w:val="20"/>
                <w:color w:val="auto"/>
              </w:rPr>
            </w:pPr>
            <w:r>
              <w:rPr>
                <w:rFonts w:ascii="Arial" w:cs="Arial" w:eastAsia="Arial" w:hAnsi="Arial"/>
                <w:sz w:val="18"/>
                <w:szCs w:val="18"/>
                <w:color w:val="auto"/>
              </w:rPr>
              <w:t>1,512,864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(511 persons)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right="60" w:hanging="292"/>
        <w:spacing w:after="0" w:line="306"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Assumes all eligible employees participate in the Option Exchange Program with respect to all of their eligible options. The aggregate number of options that will be required to be surrendered in order for the above-noted groups to receive the number of replacement options pursuant to the Option Exchange Program as set forth in the table are as follows: Executive Group—2,085,000; Non-Executive Officer Employee Group—2,762,581.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color w:val="auto"/>
        </w:rPr>
        <w:t>As the table above indicates, Leonard S. Schleifer, M.D., Ph.D., our president and chief executive officer, and our non-executive directors, are not eligible to participate in the Option Exchange Program. However, these individuals and the other executive officers named in that table are expected to receive new annual grants of options in December 2004 or January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Previously Received Under the 2000 Plan</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following table sets forth information regarding options that have been granted to the participants and classes of participants set forth in the table pursuant to the 2000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Options Previously Granted</w:t>
            </w:r>
          </w:p>
        </w:tc>
        <w:tc>
          <w:tcPr>
            <w:tcW w:w="0" w:type="dxa"/>
            <w:vAlign w:val="bottom"/>
          </w:tcPr>
          <w:p>
            <w:pPr>
              <w:spacing w:after="0"/>
              <w:rPr>
                <w:sz w:val="1"/>
                <w:szCs w:val="1"/>
                <w:color w:val="auto"/>
              </w:rPr>
            </w:pPr>
          </w:p>
        </w:tc>
      </w:tr>
      <w:tr>
        <w:trPr>
          <w:trHeight w:val="174"/>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Pursuant to the 2000 Plan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950,000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1,337,000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Scientific Officer and President, Regeneron Research Laboratories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225,000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 Treasurer and Assistant Secretary</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Randall G. Rupp,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Manufacturing and Process Sciences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8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350,000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3,317,000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shd w:val="clear" w:color="auto" w:fill="FFF3CE"/>
          </w:tcPr>
          <w:p>
            <w:pPr>
              <w:spacing w:after="0"/>
              <w:rPr>
                <w:sz w:val="6"/>
                <w:szCs w:val="6"/>
                <w:color w:val="auto"/>
              </w:rPr>
            </w:pPr>
          </w:p>
        </w:tc>
        <w:tc>
          <w:tcPr>
            <w:tcW w:w="1280" w:type="dxa"/>
            <w:vAlign w:val="bottom"/>
            <w:shd w:val="clear" w:color="auto" w:fill="FFF3CE"/>
          </w:tcPr>
          <w:p>
            <w:pPr>
              <w:spacing w:after="0"/>
              <w:rPr>
                <w:sz w:val="6"/>
                <w:szCs w:val="6"/>
                <w:color w:val="auto"/>
              </w:rPr>
            </w:pPr>
          </w:p>
        </w:tc>
        <w:tc>
          <w:tcPr>
            <w:tcW w:w="8360" w:type="dxa"/>
            <w:vAlign w:val="bottom"/>
            <w:shd w:val="clear" w:color="auto" w:fill="FFF3CE"/>
          </w:tcPr>
          <w:p>
            <w:pPr>
              <w:spacing w:after="0"/>
              <w:rPr>
                <w:sz w:val="6"/>
                <w:szCs w:val="6"/>
                <w:color w:val="auto"/>
              </w:rPr>
            </w:pPr>
          </w:p>
        </w:tc>
        <w:tc>
          <w:tcPr>
            <w:tcW w:w="1760" w:type="dxa"/>
            <w:vAlign w:val="bottom"/>
            <w:shd w:val="clear" w:color="auto" w:fill="FFF3CE"/>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120" w:type="dxa"/>
            <w:vAlign w:val="bottom"/>
            <w:shd w:val="clear" w:color="auto" w:fill="FFF3CE"/>
          </w:tcPr>
          <w:p>
            <w:pPr>
              <w:spacing w:after="0"/>
              <w:rPr>
                <w:sz w:val="20"/>
                <w:szCs w:val="20"/>
                <w:color w:val="auto"/>
              </w:rPr>
            </w:pPr>
            <w:r>
              <w:rPr>
                <w:rFonts w:ascii="Arial" w:cs="Arial" w:eastAsia="Arial" w:hAnsi="Arial"/>
                <w:sz w:val="18"/>
                <w:szCs w:val="18"/>
                <w:color w:val="auto"/>
              </w:rPr>
              <w:t>All Current Directors who are not Executive Officers</w:t>
            </w:r>
          </w:p>
        </w:tc>
        <w:tc>
          <w:tcPr>
            <w:tcW w:w="3280" w:type="dxa"/>
            <w:vAlign w:val="bottom"/>
            <w:shd w:val="clear" w:color="auto" w:fill="FFF3CE"/>
          </w:tcPr>
          <w:p>
            <w:pPr>
              <w:jc w:val="center"/>
              <w:ind w:left="1412"/>
              <w:spacing w:after="0"/>
              <w:rPr>
                <w:sz w:val="20"/>
                <w:szCs w:val="20"/>
                <w:color w:val="auto"/>
              </w:rPr>
            </w:pPr>
            <w:r>
              <w:rPr>
                <w:rFonts w:ascii="Arial" w:cs="Arial" w:eastAsia="Arial" w:hAnsi="Arial"/>
                <w:sz w:val="18"/>
                <w:szCs w:val="18"/>
                <w:color w:val="auto"/>
                <w:w w:val="87"/>
              </w:rPr>
              <w:t>1,617,500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20" w:type="dxa"/>
            <w:vAlign w:val="bottom"/>
            <w:shd w:val="clear" w:color="auto" w:fill="FFF3CE"/>
          </w:tcPr>
          <w:p>
            <w:pPr>
              <w:jc w:val="right"/>
              <w:ind w:right="7152"/>
              <w:spacing w:after="0"/>
              <w:rPr>
                <w:sz w:val="20"/>
                <w:szCs w:val="20"/>
                <w:color w:val="auto"/>
              </w:rPr>
            </w:pPr>
            <w:r>
              <w:rPr>
                <w:rFonts w:ascii="Arial" w:cs="Arial" w:eastAsia="Arial" w:hAnsi="Arial"/>
                <w:sz w:val="18"/>
                <w:szCs w:val="18"/>
                <w:color w:val="auto"/>
                <w:w w:val="96"/>
              </w:rPr>
              <w:t>as a Group</w:t>
            </w:r>
          </w:p>
        </w:tc>
        <w:tc>
          <w:tcPr>
            <w:tcW w:w="328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Each Associate of any Director or Executive Officer</w:t>
            </w:r>
          </w:p>
        </w:tc>
        <w:tc>
          <w:tcPr>
            <w:tcW w:w="3280" w:type="dxa"/>
            <w:vAlign w:val="bottom"/>
          </w:tcPr>
          <w:p>
            <w:pPr>
              <w:jc w:val="center"/>
              <w:ind w:left="1432"/>
              <w:spacing w:after="0"/>
              <w:rPr>
                <w:sz w:val="20"/>
                <w:szCs w:val="20"/>
                <w:color w:val="auto"/>
              </w:rPr>
            </w:pPr>
            <w:r>
              <w:rPr>
                <w:rFonts w:ascii="Arial" w:cs="Arial" w:eastAsia="Arial" w:hAnsi="Arial"/>
                <w:sz w:val="18"/>
                <w:szCs w:val="18"/>
                <w:color w:val="auto"/>
                <w:w w:val="86"/>
              </w:rPr>
              <w:t>100,000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2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Each Person who has Received 5% or more of the Options Issued Under the 2000 Plan</w:t>
            </w:r>
          </w:p>
        </w:tc>
        <w:tc>
          <w:tcPr>
            <w:tcW w:w="3280" w:type="dxa"/>
            <w:vAlign w:val="bottom"/>
            <w:tcBorders>
              <w:bottom w:val="single" w:sz="8" w:color="FFF3CE"/>
            </w:tcBorders>
            <w:shd w:val="clear" w:color="auto" w:fill="FFF3CE"/>
          </w:tcPr>
          <w:p>
            <w:pPr>
              <w:jc w:val="center"/>
              <w:ind w:left="1412"/>
              <w:spacing w:after="0"/>
              <w:rPr>
                <w:sz w:val="20"/>
                <w:szCs w:val="20"/>
                <w:color w:val="auto"/>
              </w:rPr>
            </w:pPr>
            <w:r>
              <w:rPr>
                <w:rFonts w:ascii="Arial" w:cs="Arial" w:eastAsia="Arial" w:hAnsi="Arial"/>
                <w:sz w:val="18"/>
                <w:szCs w:val="18"/>
                <w:color w:val="auto"/>
                <w:w w:val="87"/>
              </w:rPr>
              <w:t>3,474,500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All Employees (including Non-Executive Officers) as a Group</w:t>
            </w:r>
          </w:p>
        </w:tc>
        <w:tc>
          <w:tcPr>
            <w:tcW w:w="3280" w:type="dxa"/>
            <w:vAlign w:val="bottom"/>
          </w:tcPr>
          <w:p>
            <w:pPr>
              <w:jc w:val="center"/>
              <w:ind w:left="1412"/>
              <w:spacing w:after="0"/>
              <w:rPr>
                <w:sz w:val="20"/>
                <w:szCs w:val="20"/>
                <w:color w:val="auto"/>
              </w:rPr>
            </w:pPr>
            <w:r>
              <w:rPr>
                <w:rFonts w:ascii="Arial" w:cs="Arial" w:eastAsia="Arial" w:hAnsi="Arial"/>
                <w:sz w:val="18"/>
                <w:szCs w:val="18"/>
                <w:color w:val="auto"/>
                <w:w w:val="87"/>
              </w:rPr>
              <w:t>4,455,729</w:t>
            </w:r>
          </w:p>
        </w:tc>
        <w:tc>
          <w:tcPr>
            <w:tcW w:w="0" w:type="dxa"/>
            <w:vAlign w:val="bottom"/>
          </w:tcPr>
          <w:p>
            <w:pPr>
              <w:spacing w:after="0"/>
              <w:rPr>
                <w:sz w:val="1"/>
                <w:szCs w:val="1"/>
                <w:color w:val="auto"/>
              </w:rPr>
            </w:pPr>
          </w:p>
        </w:tc>
      </w:tr>
      <w:tr>
        <w:trPr>
          <w:trHeight w:val="694"/>
        </w:trPr>
        <w:tc>
          <w:tcPr>
            <w:tcW w:w="8140" w:type="dxa"/>
            <w:vAlign w:val="bottom"/>
            <w:gridSpan w:val="2"/>
          </w:tcPr>
          <w:p>
            <w:pPr>
              <w:jc w:val="right"/>
              <w:ind w:right="2252"/>
              <w:spacing w:after="0"/>
              <w:rPr>
                <w:sz w:val="20"/>
                <w:szCs w:val="20"/>
                <w:color w:val="auto"/>
              </w:rPr>
            </w:pPr>
            <w:r>
              <w:rPr>
                <w:rFonts w:ascii="Arial" w:cs="Arial" w:eastAsia="Arial" w:hAnsi="Arial"/>
                <w:sz w:val="18"/>
                <w:szCs w:val="18"/>
                <w:color w:val="auto"/>
              </w:rPr>
              <w:t>13</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8120" w:type="dxa"/>
            <w:vAlign w:val="bottom"/>
            <w:shd w:val="clear" w:color="auto" w:fill="808080"/>
          </w:tcPr>
          <w:p>
            <w:pPr>
              <w:spacing w:after="0"/>
              <w:rPr>
                <w:sz w:val="6"/>
                <w:szCs w:val="6"/>
                <w:color w:val="auto"/>
              </w:rPr>
            </w:pPr>
          </w:p>
        </w:tc>
        <w:tc>
          <w:tcPr>
            <w:tcW w:w="328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center"/>
              <w:ind w:right="337"/>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74"/>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59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7"/>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5"/>
              </w:rPr>
              <w:t>1,653,642 shares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FFF3CE"/>
          </w:tcPr>
          <w:p>
            <w:pPr>
              <w:spacing w:after="0"/>
              <w:rPr>
                <w:sz w:val="19"/>
                <w:szCs w:val="19"/>
                <w:color w:val="auto"/>
              </w:rPr>
            </w:pPr>
          </w:p>
        </w:tc>
        <w:tc>
          <w:tcPr>
            <w:tcW w:w="5980" w:type="dxa"/>
            <w:vAlign w:val="bottom"/>
            <w:shd w:val="clear" w:color="auto" w:fill="FFF3CE"/>
          </w:tcPr>
          <w:p>
            <w:pPr>
              <w:spacing w:after="0"/>
              <w:rPr>
                <w:sz w:val="19"/>
                <w:szCs w:val="19"/>
                <w:color w:val="auto"/>
              </w:rPr>
            </w:pP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rPr>
              <w:t>Common Stock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7"/>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44,246 shares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Class A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7"/>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5"/>
              </w:rPr>
              <w:t>1,697,888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FFF3CE"/>
          </w:tcPr>
          <w:p>
            <w:pPr>
              <w:spacing w:after="0"/>
              <w:rPr>
                <w:sz w:val="18"/>
                <w:szCs w:val="18"/>
                <w:color w:val="auto"/>
              </w:rPr>
            </w:pPr>
          </w:p>
        </w:tc>
        <w:tc>
          <w:tcPr>
            <w:tcW w:w="5980" w:type="dxa"/>
            <w:vAlign w:val="bottom"/>
            <w:shd w:val="clear" w:color="auto" w:fill="FFF3CE"/>
          </w:tcPr>
          <w:p>
            <w:pPr>
              <w:spacing w:after="0"/>
              <w:rPr>
                <w:sz w:val="18"/>
                <w:szCs w:val="18"/>
                <w:color w:val="auto"/>
              </w:rPr>
            </w:pP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8"/>
                <w:szCs w:val="18"/>
                <w:color w:val="auto"/>
              </w:rPr>
            </w:pPr>
          </w:p>
        </w:tc>
        <w:tc>
          <w:tcPr>
            <w:tcW w:w="440" w:type="dxa"/>
            <w:vAlign w:val="bottom"/>
            <w:shd w:val="clear" w:color="auto" w:fill="FFF3CE"/>
          </w:tcPr>
          <w:p>
            <w:pPr>
              <w:spacing w:after="0"/>
              <w:rPr>
                <w:sz w:val="18"/>
                <w:szCs w:val="18"/>
                <w:color w:val="auto"/>
              </w:rPr>
            </w:pPr>
          </w:p>
        </w:tc>
        <w:tc>
          <w:tcPr>
            <w:tcW w:w="74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6"/>
              </w:rPr>
              <w:t>Common Stock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FFF3CE"/>
          </w:tcPr>
          <w:p>
            <w:pPr>
              <w:spacing w:after="0"/>
              <w:rPr>
                <w:sz w:val="19"/>
                <w:szCs w:val="19"/>
                <w:color w:val="auto"/>
              </w:rPr>
            </w:pPr>
          </w:p>
        </w:tc>
        <w:tc>
          <w:tcPr>
            <w:tcW w:w="5980" w:type="dxa"/>
            <w:vAlign w:val="bottom"/>
            <w:shd w:val="clear" w:color="auto" w:fill="FFF3CE"/>
          </w:tcPr>
          <w:p>
            <w:pPr>
              <w:spacing w:after="0"/>
              <w:rPr>
                <w:sz w:val="19"/>
                <w:szCs w:val="19"/>
                <w:color w:val="auto"/>
              </w:rPr>
            </w:pPr>
          </w:p>
        </w:tc>
        <w:tc>
          <w:tcPr>
            <w:tcW w:w="130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rPr>
              <w:t>Class A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plans approved by the security holders are the 2000 Plan and the Company’s 1990 Long-Term Incentive Plan.</w:t>
      </w:r>
    </w:p>
    <w:p>
      <w:pPr>
        <w:spacing w:after="0" w:line="279" w:lineRule="exact"/>
        <w:rPr>
          <w:rFonts w:ascii="Arial" w:cs="Arial" w:eastAsia="Arial" w:hAnsi="Arial"/>
          <w:sz w:val="18"/>
          <w:szCs w:val="18"/>
          <w:color w:val="auto"/>
        </w:rPr>
      </w:pPr>
    </w:p>
    <w:p>
      <w:pPr>
        <w:ind w:left="300" w:right="18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 not approved by the security holders is the Executive Stock Purchase Plan which is described in note 12(b) to the Company’s audited financial statements for the year ended December 31, 2003.</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restriction on the number of shares that may be issued under the 2000 Plan in the form of Restricted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CERTAIN BENEFICIAL OWNERS AS OF NOVEMBER 3, 2004</w:t>
      </w:r>
    </w:p>
    <w:p>
      <w:pPr>
        <w:spacing w:after="0" w:line="231"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 as of November 3,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Shares of</w:t>
            </w:r>
          </w:p>
        </w:tc>
        <w:tc>
          <w:tcPr>
            <w:tcW w:w="22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7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Class A Stock</w:t>
            </w:r>
          </w:p>
        </w:tc>
        <w:tc>
          <w:tcPr>
            <w:tcW w:w="220" w:type="dxa"/>
            <w:vAlign w:val="bottom"/>
          </w:tcPr>
          <w:p>
            <w:pPr>
              <w:spacing w:after="0"/>
              <w:rPr>
                <w:sz w:val="12"/>
                <w:szCs w:val="12"/>
                <w:color w:val="auto"/>
              </w:rPr>
            </w:pP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6"/>
              </w:rPr>
              <w:t>of Common Stock</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 and Class A</w:t>
            </w: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Stock Beneficially Owned (2)</w:t>
            </w:r>
          </w:p>
        </w:tc>
      </w:tr>
      <w:tr>
        <w:trPr>
          <w:trHeight w:val="55"/>
        </w:trPr>
        <w:tc>
          <w:tcPr>
            <w:tcW w:w="270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61"/>
        </w:trPr>
        <w:tc>
          <w:tcPr>
            <w:tcW w:w="27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08"/>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w w:val="99"/>
              </w:rPr>
              <w:t>Leonard S. Schleifer, M.D., Ph.D.</w:t>
            </w:r>
          </w:p>
        </w:tc>
        <w:tc>
          <w:tcPr>
            <w:tcW w:w="52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1,769,340(3)</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1,138,877(4)</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5.1%</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c/o Regeneron, Inc.</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777 Old Saw Mill River Road</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Tarrytown, NY 10591</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Novartis Pharma AG</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7,527,050(5)</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13.5%</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Lichstrasse 35</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CH-4002 Basel, Switzerland</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FMR Corp.</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6,381,228(6)</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11.4%</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82 Devonshire Street</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Boston, Massachusetts 02109</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Kedge Capital Funds</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4,000,000(7)</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7.2%</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1"/>
              </w:rPr>
              <w:t>Limited, Special Situations 1 Fund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Lord Coutanche House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66-68 Esplanade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St. Helier</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Jersey (Channel Islands)</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JE4 5YQ</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Amgen Inc.</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3,181,309(8)</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5.7%</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One Amgen Center Drive</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w w:val="93"/>
              </w:rPr>
              <w:t>Thousand Oaks, California 91320</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Aventis Pharmaceuticals Inc.</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2,799,552(9)</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5.0%</w:t>
            </w:r>
          </w:p>
        </w:tc>
      </w:tr>
      <w:tr>
        <w:trPr>
          <w:trHeight w:val="222"/>
        </w:trPr>
        <w:tc>
          <w:tcPr>
            <w:tcW w:w="2700" w:type="dxa"/>
            <w:vAlign w:val="bottom"/>
          </w:tcPr>
          <w:p>
            <w:pPr>
              <w:ind w:left="180"/>
              <w:spacing w:after="0"/>
              <w:rPr>
                <w:sz w:val="20"/>
                <w:szCs w:val="20"/>
                <w:color w:val="auto"/>
              </w:rPr>
            </w:pPr>
            <w:r>
              <w:rPr>
                <w:rFonts w:ascii="Arial" w:cs="Arial" w:eastAsia="Arial" w:hAnsi="Arial"/>
                <w:sz w:val="18"/>
                <w:szCs w:val="18"/>
                <w:color w:val="auto"/>
                <w:w w:val="88"/>
              </w:rPr>
              <w:t>300 Somerset Corporate Boulevard</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1420"/>
          </w:cols>
          <w:pgMar w:left="240" w:top="140" w:right="239" w:bottom="0" w:gutter="0" w:footer="0" w:header="0"/>
        </w:sectPr>
      </w:pPr>
    </w:p>
    <w:bookmarkStart w:id="11" w:name="page12"/>
    <w:bookmarkEnd w:id="11"/>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Bridgewater, New Jersey 08807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314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 w:hanging="292"/>
        <w:spacing w:after="0" w:line="268"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calculated beneficial ownership in accordance with the rules of the Security and Exchange Commission. The calculation includes shares subject to options held by the person or entity in question that are exercisable currently or with in sixty days of November 3, 2004.</w:t>
      </w:r>
    </w:p>
    <w:p>
      <w:pPr>
        <w:spacing w:after="0" w:line="212" w:lineRule="exact"/>
        <w:rPr>
          <w:rFonts w:ascii="Arial" w:cs="Arial" w:eastAsia="Arial" w:hAnsi="Arial"/>
          <w:sz w:val="18"/>
          <w:szCs w:val="18"/>
          <w:color w:val="auto"/>
        </w:rPr>
      </w:pPr>
    </w:p>
    <w:p>
      <w:pPr>
        <w:ind w:left="300" w:right="280" w:hanging="292"/>
        <w:spacing w:after="0" w:line="33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of Common Stock outstanding as of November 3, 2004, plus any shares subject to options held by the person or entity in question that are currently exercisable or exercisable within sixty days after November 3, 2004.</w:t>
      </w:r>
    </w:p>
    <w:p>
      <w:pPr>
        <w:spacing w:after="0" w:line="166" w:lineRule="exact"/>
        <w:rPr>
          <w:rFonts w:ascii="Arial" w:cs="Arial" w:eastAsia="Arial" w:hAnsi="Arial"/>
          <w:sz w:val="16"/>
          <w:szCs w:val="16"/>
          <w:color w:val="auto"/>
        </w:rPr>
      </w:pPr>
    </w:p>
    <w:p>
      <w:pPr>
        <w:ind w:left="300" w:right="300" w:hanging="292"/>
        <w:spacing w:after="0" w:line="259"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221" w:lineRule="exact"/>
        <w:rPr>
          <w:rFonts w:ascii="Arial" w:cs="Arial" w:eastAsia="Arial" w:hAnsi="Arial"/>
          <w:sz w:val="18"/>
          <w:szCs w:val="18"/>
          <w:color w:val="auto"/>
        </w:rPr>
      </w:pPr>
    </w:p>
    <w:p>
      <w:pPr>
        <w:ind w:left="300" w:right="80" w:hanging="292"/>
        <w:spacing w:after="0" w:line="256"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10,000 shares of Common Stock held by the Schleifer Family Foundation, a charitable foundation, of which Dr. Schleifer disclaims beneficial ownership.</w:t>
      </w:r>
    </w:p>
    <w:p>
      <w:pPr>
        <w:spacing w:after="0" w:line="302"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 filed by Novartis Pharma AG with the Securities and Exchange Commission on April 8, 2003.</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FMR Corp. with the Securities and Exchange Commission on February 14, 2004.</w:t>
      </w:r>
    </w:p>
    <w:p>
      <w:pPr>
        <w:spacing w:after="0" w:line="279" w:lineRule="exact"/>
        <w:rPr>
          <w:rFonts w:ascii="Arial" w:cs="Arial" w:eastAsia="Arial" w:hAnsi="Arial"/>
          <w:sz w:val="18"/>
          <w:szCs w:val="18"/>
          <w:color w:val="auto"/>
        </w:rPr>
      </w:pPr>
    </w:p>
    <w:p>
      <w:pPr>
        <w:ind w:left="300" w:right="240" w:hanging="292"/>
        <w:spacing w:after="0" w:line="268"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Kedge Capital Funds Limited Special Situations 1 Fund with the Securities and Exchange Commission on February 13, 2004.</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Amgen Inc. with the Securities and Exchange Commission on May 5, 2004.</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 filed by Aventis Pharmaceuticals Inc. with the Securities and Exchange Commission on September 12, 2003.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31"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The following table sets forth, as of November 3, 2004, the number of shares of Common Stock and Class A Stock beneficially owned by each of our directors, each of our named executive officers, who include our Chief Executive Officer, Leonard S. Schleifer, and the four most highly compensated executive officers other than our Chief Executive Officer, and all directors and executive officers as a group, and the percentage that such shares represent of the total combined number of shares of outstanding Common Stock and Class A Stock, based upon information obtained from such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Directors Stock Ownership Table as of November 3,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Common</w:t>
            </w:r>
          </w:p>
        </w:tc>
      </w:tr>
      <w:tr>
        <w:trPr>
          <w:trHeight w:val="149"/>
        </w:trPr>
        <w:tc>
          <w:tcPr>
            <w:tcW w:w="3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Class A Stock</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and Class A Stock</w:t>
            </w:r>
          </w:p>
        </w:tc>
      </w:tr>
      <w:tr>
        <w:trPr>
          <w:trHeight w:val="174"/>
        </w:trPr>
        <w:tc>
          <w:tcPr>
            <w:tcW w:w="30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6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 Owned (2, 3)</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(2, 3)</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(4)</w:t>
            </w:r>
          </w:p>
        </w:tc>
      </w:tr>
      <w:tr>
        <w:trPr>
          <w:trHeight w:val="55"/>
        </w:trPr>
        <w:tc>
          <w:tcPr>
            <w:tcW w:w="3000" w:type="dxa"/>
            <w:vAlign w:val="bottom"/>
            <w:tcBorders>
              <w:bottom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61"/>
        </w:trPr>
        <w:tc>
          <w:tcPr>
            <w:tcW w:w="30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43"/>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1,769,340(5)</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1,138,877(10)</w:t>
            </w:r>
          </w:p>
        </w:tc>
        <w:tc>
          <w:tcPr>
            <w:tcW w:w="162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5.1%</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P. Roy Vagelos,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2,499,509(11)</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Charles A. Baker</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62,384(6)</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110,590(12)</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Michael S. Brown, M.D.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58,049(7)</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148,258(13)</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Alfred G. Gilman, M.D.,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76,237</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168,975(14)</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Joseph L. Goldstein,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52,000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135,000(15)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Arthur F. Ryan</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13,334(15)</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Eric M. Shooter,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79,911(8)</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100,000(15)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George L. Sing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172,772(16)</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42,750(9)</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1,319,084(17)</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276,108(18)</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Randall G. Rupp, Ph.D.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215,391(19)</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355,482(20)</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as a Group (15 persons)</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2,140,671</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6,900,692</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  Unless otherwise stated, the address for each beneficial owner is c/o Regeneron Pharmaceuticals, Inc., 777 Old Saw Mill River Road, Tarrytown, NY 10591.</w:t>
      </w:r>
    </w:p>
    <w:p>
      <w:pPr>
        <w:sectPr>
          <w:pgSz w:w="11900" w:h="16857" w:orient="portrait"/>
          <w:cols w:equalWidth="0" w:num="1">
            <w:col w:w="11420"/>
          </w:cols>
          <w:pgMar w:left="240" w:top="131" w:right="239" w:bottom="0" w:gutter="0" w:footer="0" w:header="0"/>
        </w:sectPr>
      </w:pPr>
    </w:p>
    <w:bookmarkStart w:id="12" w:name="page13"/>
    <w:bookmarkEnd w:id="12"/>
    <w:p>
      <w:pPr>
        <w:jc w:val="both"/>
        <w:ind w:left="340" w:right="140" w:hanging="332"/>
        <w:spacing w:after="0" w:line="284"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calculated beneficial ownership in accordance with the rules of the Securities and Exchange Commission. 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 w:lineRule="exact"/>
        <w:rPr>
          <w:rFonts w:ascii="Arial" w:cs="Arial" w:eastAsia="Arial" w:hAnsi="Arial"/>
          <w:sz w:val="16"/>
          <w:szCs w:val="16"/>
          <w:color w:val="auto"/>
        </w:rPr>
      </w:pPr>
    </w:p>
    <w:p>
      <w:pPr>
        <w:ind w:left="340" w:right="6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includes number of options held by the person or entity in question that are currently exercisable or excisable within 60 days after November 3, 2004.</w:t>
      </w:r>
    </w:p>
    <w:p>
      <w:pPr>
        <w:ind w:left="340" w:right="300" w:hanging="332"/>
        <w:spacing w:after="0" w:line="28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outstanding as of November 3, 2004 plus any shares subject to options held by the person or entity in question that are currently exercisable or exercisable within sixty days after November 3, 2004.</w:t>
      </w:r>
    </w:p>
    <w:p>
      <w:pPr>
        <w:spacing w:after="0" w:line="1" w:lineRule="exact"/>
        <w:rPr>
          <w:rFonts w:ascii="Arial" w:cs="Arial" w:eastAsia="Arial" w:hAnsi="Arial"/>
          <w:sz w:val="16"/>
          <w:szCs w:val="16"/>
          <w:color w:val="auto"/>
        </w:rPr>
      </w:pPr>
    </w:p>
    <w:p>
      <w:pPr>
        <w:ind w:left="340" w:right="22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shares of Class A Stock are held by a limited partnership.</w:t>
      </w:r>
    </w:p>
    <w:p>
      <w:pPr>
        <w:spacing w:after="0" w:line="2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2,700 shares of Class A stock held in trust for the benefit of Dr. Brown’s daughter.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shares of Class A Stock are held in trust for the benefit of Dr. Shooter’s children (the Shooter Family Trust).</w:t>
      </w:r>
    </w:p>
    <w:p>
      <w:pPr>
        <w:spacing w:after="0" w:line="36" w:lineRule="exact"/>
        <w:rPr>
          <w:rFonts w:ascii="Arial" w:cs="Arial" w:eastAsia="Arial" w:hAnsi="Arial"/>
          <w:sz w:val="18"/>
          <w:szCs w:val="18"/>
          <w:color w:val="auto"/>
        </w:rPr>
      </w:pPr>
    </w:p>
    <w:p>
      <w:pPr>
        <w:ind w:left="340" w:right="120" w:hanging="332"/>
        <w:spacing w:after="0" w:line="25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ind w:left="36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 10,000 shares of Common Stock held by the Schleifer Family Foundation, a charitable foundation, of which Dr. Schleifer disclaims beneficial ownership.</w:t>
      </w:r>
    </w:p>
    <w:p>
      <w:pPr>
        <w:spacing w:after="0" w:line="2" w:lineRule="exact"/>
        <w:rPr>
          <w:rFonts w:ascii="Arial" w:cs="Arial" w:eastAsia="Arial" w:hAnsi="Arial"/>
          <w:sz w:val="18"/>
          <w:szCs w:val="18"/>
          <w:color w:val="auto"/>
        </w:rPr>
      </w:pPr>
    </w:p>
    <w:p>
      <w:pPr>
        <w:ind w:left="360" w:right="20" w:hanging="352"/>
        <w:spacing w:after="0" w:line="281"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1,514,999 shares of Common Stock purchasable upon exercise of options granted pursuant to the Stock Incentive Plans which are exercisable or become so within sixty days from November 3, 2004 and 851 shares of Common Stock held in an account under the Company’s 401(k) Savings Plan. Includes 527,322 shares of Common Stock held in a charitable trust and 456,337 shares of Common Stock held in three separate grantor trusts. Excludes 203,199 shares of Common Stock held by the Marianthi Foundation, and 161,443 shares of Common Stock held by the Pindaros Foundation, both charitable foundations, of which Dr. Vagelos disclaims beneficial ownership.</w:t>
      </w:r>
    </w:p>
    <w:p>
      <w:pPr>
        <w:spacing w:after="0" w:line="3" w:lineRule="exact"/>
        <w:rPr>
          <w:rFonts w:ascii="Arial" w:cs="Arial" w:eastAsia="Arial" w:hAnsi="Arial"/>
          <w:sz w:val="16"/>
          <w:szCs w:val="16"/>
          <w:color w:val="auto"/>
        </w:rPr>
      </w:pPr>
    </w:p>
    <w:p>
      <w:pPr>
        <w:ind w:left="360" w:right="40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110,000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143,000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145,000 shares of Common Stock purchasable upon exercise of options granted pursuant to the Stock Incentive Plans which are exercisable or become so within sixty days from November 3, 2004.</w:t>
      </w:r>
    </w:p>
    <w:p>
      <w:pPr>
        <w:ind w:left="360" w:right="10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shares of Common Stock beneficially owned represent shares of Common Stock purchasable upon the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100,000 shares of Common Stock purchasable upon exercise of options granted pursuant to the Stock Incentive Plans which are exercisable or become so within sixty days from November 3, 2004.</w:t>
      </w:r>
    </w:p>
    <w:p>
      <w:pPr>
        <w:ind w:left="360" w:right="260" w:hanging="352"/>
        <w:spacing w:after="0" w:line="300"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1,255,200 shares of Common Stock purchasable upon exercise of options granted pursuant to the Stock Incentive Plans which are exercisable or become so within sixty days from November 3, 2004 and 2,266 shares of Common Stock held in an account under the Company’s 401(k) Savings Plan.</w:t>
      </w:r>
    </w:p>
    <w:p>
      <w:pPr>
        <w:jc w:val="both"/>
        <w:ind w:left="360" w:right="380" w:hanging="352"/>
        <w:spacing w:after="0" w:line="300"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246,781 shares of Common Stock purchasable upon exercise of options granted pursuant to the Stock Incentive Plans which are exercisable or become so within sixty days from November 3, 2004 and 2,293 shares of Common Stock held in an account under the Company’s 401(k) Savings Plan.</w:t>
      </w:r>
    </w:p>
    <w:p>
      <w:pPr>
        <w:jc w:val="both"/>
        <w:ind w:left="360" w:right="380" w:hanging="352"/>
        <w:spacing w:after="0" w:line="300"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204,000 shares of Common Stock purchasable upon exercise of options granted pursuant to the Stock Incentive Plans which are exercisable or become so within sixty days from November 3, 2004 and 2,248 shares of Common Stock held in an account under the Company’s 401(k) Savings Plan.</w:t>
      </w:r>
    </w:p>
    <w:p>
      <w:pPr>
        <w:jc w:val="both"/>
        <w:ind w:left="360" w:right="380" w:hanging="352"/>
        <w:spacing w:after="0" w:line="361"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340,000 shares of Common Stock purchasable upon exercise of options granted pursuant to the Stock Incentive Plans which are exercisable or become so within sixty days from November 3, 2004 and 2,211 shares of Common Stock held in an account under the Company’s 401(k) Savings Plan.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shareholder proposals due for the 2005 Annual Meeting of Shareholders?</w:t>
      </w:r>
    </w:p>
    <w:p>
      <w:pPr>
        <w:spacing w:after="0" w:line="231"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Pursuant to the rules of the Securities and Exchange Commission, a shareholder wishing to present a proposal at the 2005 Annual Meeting of Shareholders must submit the proposal in writing and be received by the Company at its principal executive offices at 777 Old Saw Mill River Road, Tarrytown, New York 10591 by January 6, 2005 in order for such proposal to be considered for inclusion in the Company’s proxy statement and form of proxy relating to that meeting.</w:t>
      </w:r>
    </w:p>
    <w:p>
      <w:pPr>
        <w:spacing w:after="0" w:line="161" w:lineRule="exact"/>
        <w:rPr>
          <w:sz w:val="20"/>
          <w:szCs w:val="20"/>
          <w:color w:val="auto"/>
        </w:rPr>
      </w:pPr>
    </w:p>
    <w:p>
      <w:pPr>
        <w:ind w:right="40" w:firstLine="270"/>
        <w:spacing w:after="0" w:line="302"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annual meeting of shareholders to be held in 2005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annual meeting is given or made to shareholders, notice by the shareholder in order to be timely must be received not less than</w:t>
      </w:r>
    </w:p>
    <w:p>
      <w:pPr>
        <w:spacing w:after="0" w:line="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close of business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such notice of the annual meeting was first mailed or such public disclosure of the annual meeting was made, whichever first occurs. The notice must contain certain information as specified in our By-Laws. Assuming our 2005 Annual Meeting will be held on June 10, 2005 in accordance with the Company’s past practice, notice of such proposals would need to be given no earlier than March 12, 2005 and no later than April 11, 2005. Any proposal received outside of such dates will not be considered “timely” under the federal proxy rules for purposes of determining whether we may use discretionary authority to vote on such proposal.</w:t>
      </w:r>
    </w:p>
    <w:p>
      <w:pPr>
        <w:sectPr>
          <w:pgSz w:w="11900" w:h="16838" w:orient="portrait"/>
          <w:cols w:equalWidth="0" w:num="1">
            <w:col w:w="11400"/>
          </w:cols>
          <w:pgMar w:left="240" w:top="374" w:right="259" w:bottom="0" w:gutter="0" w:footer="0" w:header="0"/>
        </w:sectPr>
      </w:pPr>
    </w:p>
    <w:bookmarkStart w:id="13" w:name="page14"/>
    <w:bookmarkEnd w:id="13"/>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multiple shareholders share an address?</w:t>
      </w:r>
    </w:p>
    <w:p>
      <w:pPr>
        <w:spacing w:after="0" w:line="231"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Applicable rules permit brokerage firms and the Company to send one Notice of Special Meeting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Notice of Special Meeting and proxy statement to multiple shareholders sharing the same address. If you wish to receive a separate proxy statement for the Special Meeting,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914-345-7741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matters to be addressed at the Special Meeting?</w:t>
      </w:r>
    </w:p>
    <w:p>
      <w:pPr>
        <w:spacing w:after="0" w:line="231"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We know of no matters, other than the proposal to amend the 2000 Plan to expressly authorize the Option Exchange Program, that may be properly presented at the Special Meeting. If any other matter is properly presented at the Special Meeting upon which a vote may properly be taken, shares represented by duly executed and timely submitted proxies will be voted on any such matter in accordance with the judgment of the named proxies.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the costs related to this proxy statement and the Special Meeting?</w:t>
      </w:r>
    </w:p>
    <w:p>
      <w:pPr>
        <w:spacing w:after="0" w:line="231" w:lineRule="exact"/>
        <w:rPr>
          <w:sz w:val="20"/>
          <w:szCs w:val="20"/>
          <w:color w:val="auto"/>
        </w:rPr>
      </w:pPr>
    </w:p>
    <w:p>
      <w:pPr>
        <w:ind w:right="240" w:firstLine="270"/>
        <w:spacing w:after="0" w:line="318" w:lineRule="auto"/>
        <w:rPr>
          <w:sz w:val="20"/>
          <w:szCs w:val="20"/>
          <w:color w:val="auto"/>
        </w:rPr>
      </w:pPr>
      <w:r>
        <w:rPr>
          <w:rFonts w:ascii="Arial" w:cs="Arial" w:eastAsia="Arial" w:hAnsi="Arial"/>
          <w:sz w:val="15"/>
          <w:szCs w:val="15"/>
          <w:color w:val="auto"/>
        </w:rPr>
        <w:t>The solicitation of proxies is being made on behalf of the Company and we will bear the costs of the solicitation. We have engaged Innisfree M&amp;A Incorporated to assist in soliciting proxies for a fee of approximately $10,000. In addition to the solicitation by use of the mails and by Innisfree M&amp;A Incorporated, our officers, directors, and employees may, without additional compensation, solicit the return of proxies by telephone, telegram, or personal interviews.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219" w:lineRule="exact"/>
        <w:rPr>
          <w:sz w:val="20"/>
          <w:szCs w:val="20"/>
          <w:color w:val="auto"/>
        </w:rPr>
      </w:pPr>
    </w:p>
    <w:p>
      <w:pPr>
        <w:ind w:right="660" w:firstLine="270"/>
        <w:spacing w:after="0" w:line="332" w:lineRule="auto"/>
        <w:rPr>
          <w:sz w:val="20"/>
          <w:szCs w:val="20"/>
          <w:color w:val="auto"/>
        </w:rPr>
      </w:pPr>
      <w:r>
        <w:rPr>
          <w:rFonts w:ascii="Arial" w:cs="Arial" w:eastAsia="Arial" w:hAnsi="Arial"/>
          <w:sz w:val="16"/>
          <w:szCs w:val="16"/>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pursuant to Section 19 of the Plan, the Board of Directors of the Company (the “Board”) is authorized to amend the Plan; and</w:t>
      </w:r>
    </w:p>
    <w:p>
      <w:pPr>
        <w:spacing w:after="0" w:line="22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WHEREAS, after considering the recommendation of the Compensation Committee and such other factors as the Board deemed relevant, the Board has determined that an option exchange program upon substantially the terms and conditions described in the preliminary proxy statement to be filed with the Securities and Exchange Commission (such program, with such changes to such terms and conditions as the authorized officers of the Company determine to be necessary or appropriate, as conclusively evidenced by the terms and conditions of such program described in the definitive proxy statement, including any amendment or supplement thereto, to be distributed to the Company’s shareholders in connection with the Special Meeting of Shareholders referred to below, being referred to hereinafter as the “Option Exchange Program”) in connection with a proposed special meeting of the Company’s shareholders to be convened to vote on the amendment to the Plan set forth below (the “Special Meeting of Shareholders”) is in the best interests of the Company and its shareholders; and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WHEREAS, the Board has determined that it is appropriate to amend the Plan in the manner set forth in paragraph 1 below (the “Amendment”).</w:t>
      </w:r>
    </w:p>
    <w:p>
      <w:pPr>
        <w:spacing w:after="0" w:line="248"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NOW THEREFORE, the Plan is hereby amended as set forth immediately below, subject, however, to the approval of this Amendment by the Company’s shareholders at the Special Meeting of Shareholders, or any postponement or adjournment thereof, and provided that if this Amendment is not so approved by the Company’s shareholders, this Amendment shall be void </w:t>
      </w:r>
      <w:r>
        <w:rPr>
          <w:rFonts w:ascii="Arial" w:cs="Arial" w:eastAsia="Arial" w:hAnsi="Arial"/>
          <w:sz w:val="18"/>
          <w:szCs w:val="18"/>
          <w:i w:val="1"/>
          <w:iCs w:val="1"/>
          <w:color w:val="auto"/>
        </w:rPr>
        <w:t>ab initio.</w:t>
      </w:r>
    </w:p>
    <w:p>
      <w:pPr>
        <w:spacing w:after="0" w:line="194" w:lineRule="exact"/>
        <w:rPr>
          <w:sz w:val="20"/>
          <w:szCs w:val="20"/>
          <w:color w:val="auto"/>
        </w:rPr>
      </w:pPr>
    </w:p>
    <w:p>
      <w:pPr>
        <w:ind w:left="560" w:hanging="28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Plan is hereby amended to expressly authorize the Option Exchange Program.</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Plan is hereby ratified and confirmed in all other respects.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WITNESS WHEREOF, this Amendment No. 4 has been duly executed by an authorized officer of the Company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2004.</w:t>
      </w:r>
    </w:p>
    <w:p>
      <w:pPr>
        <w:spacing w:after="0" w:line="17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wp:posOffset>
            </wp:positionV>
            <wp:extent cx="1071880" cy="266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 &amp; General Counsel</w:t>
      </w:r>
    </w:p>
    <w:p>
      <w:pPr>
        <w:sectPr>
          <w:pgSz w:w="11900" w:h="16859" w:orient="portrait"/>
          <w:cols w:equalWidth="0" w:num="1">
            <w:col w:w="11420"/>
          </w:cols>
          <w:pgMar w:left="240" w:top="125"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17,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detach and mail in the envelope provided.</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 ------------------------------------------------------------------------------------</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undersigned hereby appoints Leonard S. Schleifer, M.D., Ph.D. and P. Roy Vagelos, M.D., and each of them individually, as lawful proxies, with full power of substitution, and hereby authorizes them, and each of them individually, to represent and vote, as designated on the reverse side of this card, all shares of Common Stock and Class A Stock of Regeneron Pharmaceuticals, Inc. which the undersigned would possess if personally present, at the Special Meeting of Shareholders of the Company to be held on December 17, 2004, or any adjournments or postponements thereof. This proxy revokes all prior proxies given by the undersigned.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REGENERON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TARRYTOWN, NY 10591-6707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 the Internet to transmit your voting instructions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for electronic delivery of information up until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11:59 P.M. Eastern Time on December 16, 2004. Have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your proxy card in hand when you access the web site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follow the instructions to obtain your records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create an electronic voting instruction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PHONE </w:t>
      </w:r>
      <w:r>
        <w:rPr>
          <w:rFonts w:ascii="Arial" w:cs="Arial" w:eastAsia="Arial" w:hAnsi="Arial"/>
          <w:sz w:val="18"/>
          <w:szCs w:val="18"/>
          <w:color w:val="auto"/>
        </w:rPr>
        <w:t>- 1-800-690-6903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Use any touch-tone telephone to transmit your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instructions up until 11:59 P.M. Eastern Time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16, 2004. Have your proxy card in hand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when you call and then follow the instructions.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Mark, sign and date your proxy card and return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postage-paid envelope we’ve provided 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return to Regeneron Pharmaceuticals, Inc. c/o ADP,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 Mercedes Way, Edgewood, NY 11717.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SIGN, DATE AND RETURN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PROMPTLY IN THE ENCLOSED ENVELOPE</w:t>
      </w:r>
    </w:p>
    <w:p>
      <w:pPr>
        <w:spacing w:after="0" w:line="200" w:lineRule="exact"/>
        <w:rPr>
          <w:sz w:val="20"/>
          <w:szCs w:val="20"/>
          <w:color w:val="auto"/>
        </w:rPr>
      </w:pPr>
    </w:p>
    <w:p>
      <w:pPr>
        <w:sectPr>
          <w:pgSz w:w="11900" w:h="16838" w:orient="portrait"/>
          <w:cols w:equalWidth="0" w:num="2">
            <w:col w:w="6200" w:space="720"/>
            <w:col w:w="4500"/>
          </w:cols>
          <w:pgMar w:left="240" w:top="131" w:right="239" w:bottom="0" w:gutter="0" w:footer="0" w:header="0"/>
          <w:type w:val="continuous"/>
        </w:sectPr>
      </w:pPr>
    </w:p>
    <w:p>
      <w:pPr>
        <w:spacing w:after="0" w:line="43" w:lineRule="exact"/>
        <w:rPr>
          <w:sz w:val="20"/>
          <w:szCs w:val="20"/>
          <w:color w:val="auto"/>
        </w:rPr>
      </w:pPr>
    </w:p>
    <w:p>
      <w:pPr>
        <w:spacing w:after="0"/>
        <w:tabs>
          <w:tab w:leader="none" w:pos="4720" w:val="left"/>
          <w:tab w:leader="none" w:pos="8740" w:val="left"/>
        </w:tabs>
        <w:rPr>
          <w:sz w:val="20"/>
          <w:szCs w:val="20"/>
          <w:color w:val="auto"/>
        </w:rPr>
      </w:pPr>
      <w:r>
        <w:rPr>
          <w:rFonts w:ascii="Arial" w:cs="Arial" w:eastAsia="Arial" w:hAnsi="Arial"/>
          <w:sz w:val="12"/>
          <w:szCs w:val="12"/>
          <w:color w:val="auto"/>
        </w:rPr>
        <w:t>TO VOTE, MARK BLOCKS BELOW IN BLUE OR BLACK INK AS FOLLOWS: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THE PROPOSAL.</w:t>
      </w:r>
    </w:p>
    <w:p>
      <w:pPr>
        <w:spacing w:after="0" w:line="231" w:lineRule="exact"/>
        <w:rPr>
          <w:sz w:val="20"/>
          <w:szCs w:val="20"/>
          <w:color w:val="auto"/>
        </w:rPr>
      </w:pPr>
    </w:p>
    <w:p>
      <w:pPr>
        <w:ind w:left="700" w:right="180" w:hanging="692"/>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Proposal to approve the amendment of the 2000 Long-Term Incentive Plan set forth as Appendix A to the accompanying proxy statement to expressly authorize the Option Exchange Program described in such proxy statement.</w:t>
      </w:r>
    </w:p>
    <w:p>
      <w:pPr>
        <w:spacing w:after="0" w:line="118" w:lineRule="exact"/>
        <w:rPr>
          <w:sz w:val="20"/>
          <w:szCs w:val="20"/>
          <w:color w:val="auto"/>
        </w:rPr>
      </w:pPr>
    </w:p>
    <w:p>
      <w:pPr>
        <w:ind w:left="4120"/>
        <w:spacing w:after="0"/>
        <w:tabs>
          <w:tab w:leader="none" w:pos="5280" w:val="left"/>
          <w:tab w:leader="none" w:pos="6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ind w:left="4240"/>
        <w:spacing w:after="0"/>
        <w:tabs>
          <w:tab w:leader="none" w:pos="5620" w:val="left"/>
          <w:tab w:leader="none" w:pos="72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51" w:lineRule="exact"/>
        <w:rPr>
          <w:sz w:val="20"/>
          <w:szCs w:val="20"/>
          <w:color w:val="auto"/>
        </w:rPr>
      </w:pPr>
    </w:p>
    <w:p>
      <w:pPr>
        <w:ind w:left="700" w:right="520"/>
        <w:spacing w:after="0" w:line="268" w:lineRule="auto"/>
        <w:rPr>
          <w:sz w:val="20"/>
          <w:szCs w:val="20"/>
          <w:color w:val="auto"/>
        </w:rPr>
      </w:pPr>
      <w:r>
        <w:rPr>
          <w:rFonts w:ascii="Arial" w:cs="Arial" w:eastAsia="Arial" w:hAnsi="Arial"/>
          <w:sz w:val="18"/>
          <w:szCs w:val="18"/>
          <w:color w:val="auto"/>
        </w:rPr>
        <w:t>In their discretion, the named proxies may vote on such other business as may properly come before the Special Meeting, or any adjournments or postponements thereof.</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SHARES REPRESENTED BY THIS PROXY WILL BE VOTED AT THE MEETING IN ACCORDANCE WITH THE SHAREHOLDER’S SPECIFICATIONS ABOVE. IF YOU SIGN AND TIMELY RETURN YOUR PROXY CARD BUT DO NOT INDICATE HOW YOUR SHARES ARE TO BE VOTED, THIS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THIS PROXY CONFERS DISCRETIONARY AUTHORITY IN RESPECT TO MATTERS NOT KNOWN OR DETERMINED AT THE TIME OF THE MAILING OF THE NOTICE OF THE SPECIAL MEETING OF SHAREHOLDERS TO THE UNDERSIGNED.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Whether or not you plan to attend the Special Meeting, please complete, sign and date the accompanying proxy card and return it</w:t>
      </w:r>
    </w:p>
    <w:p>
      <w:pPr>
        <w:sectPr>
          <w:pgSz w:w="11900" w:h="16838" w:orient="portrait"/>
          <w:cols w:equalWidth="0" w:num="1">
            <w:col w:w="11420"/>
          </w:cols>
          <w:pgMar w:left="240" w:top="131" w:right="239" w:bottom="0" w:gutter="0" w:footer="0" w:header="0"/>
          <w:type w:val="continuous"/>
        </w:sectPr>
      </w:pPr>
    </w:p>
    <w:bookmarkStart w:id="15" w:name="page16"/>
    <w:bookmarkEnd w:id="15"/>
    <w:p>
      <w:pPr>
        <w:spacing w:after="0" w:line="268" w:lineRule="auto"/>
        <w:rPr>
          <w:sz w:val="20"/>
          <w:szCs w:val="20"/>
          <w:color w:val="auto"/>
        </w:rPr>
      </w:pPr>
      <w:r>
        <w:rPr>
          <w:rFonts w:ascii="Arial" w:cs="Arial" w:eastAsia="Arial" w:hAnsi="Arial"/>
          <w:sz w:val="18"/>
          <w:szCs w:val="18"/>
          <w:color w:val="auto"/>
        </w:rPr>
        <w:t>promptly in the enclosed postage-prepaid envelope. If you attend the Special Meeting, you may vote in person if you wish, even if you have previously returned a proxy.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DATE, SIGN AND MAIL YOUR PROXY CARD PROMPTLY.</w:t>
      </w:r>
    </w:p>
    <w:p>
      <w:pPr>
        <w:spacing w:after="0" w:line="231" w:lineRule="exact"/>
        <w:rPr>
          <w:sz w:val="20"/>
          <w:szCs w:val="20"/>
          <w:color w:val="auto"/>
        </w:rPr>
      </w:pPr>
    </w:p>
    <w:p>
      <w:pPr>
        <w:spacing w:after="0"/>
        <w:tabs>
          <w:tab w:leader="none" w:pos="4180" w:val="left"/>
          <w:tab w:leader="none" w:pos="5680" w:val="left"/>
          <w:tab w:leader="none" w:pos="9880" w:val="left"/>
        </w:tabs>
        <w:rPr>
          <w:sz w:val="20"/>
          <w:szCs w:val="20"/>
          <w:color w:val="auto"/>
        </w:rPr>
      </w:pPr>
      <w:r>
        <w:rPr>
          <w:rFonts w:ascii="Arial" w:cs="Arial" w:eastAsia="Arial" w:hAnsi="Arial"/>
          <w:sz w:val="18"/>
          <w:szCs w:val="18"/>
          <w:color w:val="auto"/>
        </w:rPr>
        <w:t>Signature of Shareholder:________________</w:t>
      </w:r>
      <w:r>
        <w:rPr>
          <w:sz w:val="20"/>
          <w:szCs w:val="20"/>
          <w:color w:val="auto"/>
        </w:rPr>
        <w:tab/>
      </w:r>
      <w:r>
        <w:rPr>
          <w:rFonts w:ascii="Arial" w:cs="Arial" w:eastAsia="Arial" w:hAnsi="Arial"/>
          <w:sz w:val="18"/>
          <w:szCs w:val="18"/>
          <w:color w:val="auto"/>
        </w:rPr>
        <w:t>Date:_______</w:t>
      </w:r>
      <w:r>
        <w:rPr>
          <w:sz w:val="20"/>
          <w:szCs w:val="20"/>
          <w:color w:val="auto"/>
        </w:rPr>
        <w:tab/>
      </w:r>
      <w:r>
        <w:rPr>
          <w:rFonts w:ascii="Arial" w:cs="Arial" w:eastAsia="Arial" w:hAnsi="Arial"/>
          <w:sz w:val="18"/>
          <w:szCs w:val="18"/>
          <w:color w:val="auto"/>
        </w:rPr>
        <w:t>Signature (Joint Owner):________________</w:t>
      </w:r>
      <w:r>
        <w:rPr>
          <w:sz w:val="20"/>
          <w:szCs w:val="20"/>
          <w:color w:val="auto"/>
        </w:rPr>
        <w:tab/>
      </w:r>
      <w:r>
        <w:rPr>
          <w:rFonts w:ascii="Arial" w:cs="Arial" w:eastAsia="Arial" w:hAnsi="Arial"/>
          <w:sz w:val="15"/>
          <w:szCs w:val="15"/>
          <w:color w:val="auto"/>
        </w:rPr>
        <w:t>Date:_______</w:t>
      </w:r>
    </w:p>
    <w:p>
      <w:pPr>
        <w:spacing w:after="0" w:line="246" w:lineRule="exact"/>
        <w:rPr>
          <w:sz w:val="20"/>
          <w:szCs w:val="20"/>
          <w:color w:val="auto"/>
        </w:rPr>
      </w:pPr>
    </w:p>
    <w:p>
      <w:pPr>
        <w:ind w:left="700" w:right="60" w:hanging="699"/>
        <w:spacing w:after="0" w:line="306" w:lineRule="auto"/>
        <w:tabs>
          <w:tab w:leader="none" w:pos="68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card. When shares are held jointly, each holder should sign. When signing as an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x"/>
      <w:numFmt w:val="bullet"/>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x"/>
      <w:numFmt w:val="bullet"/>
      <w:start w:val="1"/>
    </w:lvl>
  </w:abstractNum>
  <w:abstractNum w:abstractNumId="4">
    <w:nsid w:val="1190CDE7"/>
    <w:multiLevelType w:val="hybridMultilevel"/>
    <w:lvl w:ilvl="0">
      <w:lvlJc w:val="left"/>
      <w:lvlText w:val="o"/>
      <w:numFmt w:val="bullet"/>
      <w:start w:val="1"/>
    </w:lvl>
    <w:lvl w:ilvl="1">
      <w:lvlJc w:val="left"/>
      <w:lvlText w:val="%2."/>
      <w:numFmt w:val="decimal"/>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emdash "/>
      <w:numFmt w:val="bullet"/>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2019-12-21T02:19:01Z</dcterms:created>
  <dcterms:modified xsi:type="dcterms:W3CDTF">2019-12-21T02:19:01Z</dcterms:modified>
</cp:coreProperties>
</file>