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BROWN MICHAEL S</w:t>
              </w:r>
            </w:hyperlink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11/06/2006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11/06/2006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23,000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Disposition/acquisition made pursuant to a plan intended to comply with Rule 10b5-1(c).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/s/**Michael S. Brown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11/07/2006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2019-12-18T10:59:53Z</dcterms:created>
  <dcterms:modified xsi:type="dcterms:W3CDTF">2019-12-18T10:59:53Z</dcterms:modified>
</cp:coreProperties>
</file>